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right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附件1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right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报 价 单 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right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淮南市市场监督管理局：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在研究了询价文件后，我单位对采购项目******询价报价为***元。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right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法定代表人或授权代表签字：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（单位盖章）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月 日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right="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right="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</w:rPr>
        <w:sectPr>
          <w:footerReference r:id="rId3" w:type="default"/>
          <w:pgSz w:w="11909" w:h="16834"/>
          <w:pgMar w:top="1124" w:right="1578" w:bottom="1223" w:left="1672" w:header="720" w:footer="720" w:gutter="0"/>
          <w:cols w:space="720" w:num="1"/>
        </w:sectPr>
      </w:pPr>
    </w:p>
    <w:p>
      <w:pPr>
        <w:spacing w:before="214" w:line="185" w:lineRule="auto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2              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评审标准</w:t>
      </w:r>
    </w:p>
    <w:p>
      <w:pPr>
        <w:spacing w:line="152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9518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523"/>
        <w:gridCol w:w="6170"/>
        <w:gridCol w:w="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0" w:type="dxa"/>
            <w:noWrap w:val="0"/>
            <w:vAlign w:val="top"/>
          </w:tcPr>
          <w:p>
            <w:pPr>
              <w:spacing w:before="118" w:line="184" w:lineRule="auto"/>
              <w:ind w:firstLine="1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条款号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before="118" w:line="184" w:lineRule="auto"/>
              <w:ind w:firstLine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内容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before="118" w:line="185" w:lineRule="auto"/>
              <w:ind w:firstLine="27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编列内容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spacing w:before="118" w:line="185" w:lineRule="auto"/>
              <w:ind w:firstLine="2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90" w:type="dxa"/>
            <w:noWrap w:val="0"/>
            <w:vAlign w:val="top"/>
          </w:tcPr>
          <w:p>
            <w:pPr>
              <w:spacing w:line="32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3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3.2.1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before="57" w:line="276" w:lineRule="auto"/>
              <w:ind w:left="352" w:right="238" w:hanging="1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分值构成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w w:val="101"/>
                <w:sz w:val="21"/>
                <w:szCs w:val="21"/>
              </w:rPr>
              <w:t>(总分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分)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before="227" w:line="185" w:lineRule="auto"/>
              <w:ind w:firstLine="1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商务技术部分：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u w:val="single" w:color="auto"/>
              </w:rPr>
              <w:t>80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分</w:t>
            </w:r>
          </w:p>
          <w:p>
            <w:pPr>
              <w:spacing w:before="145" w:line="185" w:lineRule="auto"/>
              <w:ind w:firstLine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报价部分：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u w:val="single" w:color="auto"/>
              </w:rPr>
              <w:t>20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分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890" w:type="dxa"/>
            <w:noWrap w:val="0"/>
            <w:vAlign w:val="top"/>
          </w:tcPr>
          <w:p>
            <w:pPr>
              <w:spacing w:line="31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3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3.2.2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4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99" w:lineRule="auto"/>
              <w:ind w:left="136" w:right="133" w:firstLine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响应报价得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分计算方法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before="58" w:line="185" w:lineRule="auto"/>
              <w:ind w:firstLine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响应报价不得超过最高限价，否则作无效响应处理；通过初步评审</w:t>
            </w:r>
          </w:p>
          <w:p>
            <w:pPr>
              <w:spacing w:before="129" w:line="185" w:lineRule="auto"/>
              <w:ind w:firstLine="1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的响应报价参与报价评审。</w:t>
            </w:r>
          </w:p>
          <w:p>
            <w:pPr>
              <w:spacing w:before="130" w:line="276" w:lineRule="auto"/>
              <w:ind w:left="109" w:right="23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满足磋商文件要求且报价最低的为响应基准价，其价格分为满分，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其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他响应报价得分统一按照下列公式计算：响应报价得分= （基准 价/响应报价）×20。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0" w:type="dxa"/>
            <w:noWrap w:val="0"/>
            <w:vAlign w:val="top"/>
          </w:tcPr>
          <w:p>
            <w:pPr>
              <w:spacing w:before="115" w:line="180" w:lineRule="auto"/>
              <w:ind w:firstLine="2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3.2.3</w:t>
            </w:r>
          </w:p>
        </w:tc>
        <w:tc>
          <w:tcPr>
            <w:tcW w:w="8628" w:type="dxa"/>
            <w:gridSpan w:val="3"/>
            <w:noWrap w:val="0"/>
            <w:vAlign w:val="top"/>
          </w:tcPr>
          <w:p>
            <w:pPr>
              <w:spacing w:before="104" w:line="185" w:lineRule="auto"/>
              <w:ind w:firstLine="38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90" w:type="dxa"/>
            <w:noWrap w:val="0"/>
            <w:vAlign w:val="top"/>
          </w:tcPr>
          <w:p>
            <w:pPr>
              <w:spacing w:before="118" w:line="185" w:lineRule="auto"/>
              <w:ind w:firstLine="2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before="118" w:line="184" w:lineRule="auto"/>
              <w:ind w:firstLine="4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内容</w:t>
            </w:r>
          </w:p>
        </w:tc>
        <w:tc>
          <w:tcPr>
            <w:tcW w:w="6170" w:type="dxa"/>
            <w:noWrap w:val="0"/>
            <w:vAlign w:val="top"/>
          </w:tcPr>
          <w:p>
            <w:pPr>
              <w:spacing w:before="118" w:line="185" w:lineRule="auto"/>
              <w:ind w:firstLine="27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编列内容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spacing w:before="118" w:line="185" w:lineRule="auto"/>
              <w:ind w:firstLine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6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技术分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08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服务方案</w:t>
            </w:r>
          </w:p>
        </w:tc>
        <w:tc>
          <w:tcPr>
            <w:tcW w:w="6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8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1.对本项目的背景及现状需求的理解（0-5</w:t>
            </w:r>
            <w:r>
              <w:rPr>
                <w:rFonts w:hint="eastAsia" w:ascii="宋体" w:hAnsi="宋体" w:eastAsia="宋体" w:cs="宋体"/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8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（1）对项目理解透彻、深入细致的，得</w:t>
            </w:r>
            <w:r>
              <w:rPr>
                <w:rFonts w:hint="eastAsia"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8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（2）对项目理解较深的，得</w:t>
            </w:r>
            <w:r>
              <w:rPr>
                <w:rFonts w:hint="eastAsia"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4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（3）对项目理解一般的，得</w:t>
            </w:r>
            <w:r>
              <w:rPr>
                <w:rFonts w:hint="eastAsia"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4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 xml:space="preserve">4）对项目理解较浅或未提供相应内容的，不得分。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8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2.评价服务的组织（0-5 分）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388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（1）目标清晰，</w:t>
            </w:r>
            <w:r>
              <w:rPr>
                <w:rFonts w:hint="eastAsia" w:ascii="宋体" w:hAnsi="宋体" w:eastAsia="宋体" w:cs="宋体"/>
                <w:spacing w:val="6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组织措施得当，方案切实可行的，得</w:t>
            </w:r>
            <w:r>
              <w:rPr>
                <w:rFonts w:hint="eastAsia"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39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（2）目标较清晰，组织措施较得当，方案可行性较好的，得</w:t>
            </w:r>
            <w:r>
              <w:rPr>
                <w:rFonts w:hint="eastAsia"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388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（3）目标基本清晰，组织措施一般，方案具有一定可行性的，得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4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（4）方案较差不具有可行性或未提供相应内容的，不得分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16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3.评价服务的实施（前期准备、评价原则、评价程序和方法、整改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建议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）（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0-5</w:t>
            </w:r>
            <w:r>
              <w:rPr>
                <w:rFonts w:hint="eastAsia" w:ascii="宋体" w:hAnsi="宋体" w:eastAsia="宋体" w:cs="宋体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12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（1）实施方案科学，切实可行，能最大程度满足采购需求的，得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12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（2）实施方案合理，可行性较好，能较好满足采购需求的，得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12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（3）实施方案一般，具有一定可行性，基本满足采购需求的，得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4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10"/>
                <w:sz w:val="21"/>
                <w:szCs w:val="21"/>
              </w:rPr>
              <w:t>（4）实施方案较差或未提供相应内容的，不得分。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12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4.评价服务的总结（评价报告撰写架构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）（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0-5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8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（1）思路清晰，内容完善的，得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8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（2）思路较清晰，内容较完善的，得</w:t>
            </w:r>
            <w:r>
              <w:rPr>
                <w:rFonts w:hint="eastAsia"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4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（3）思路一般，内容基本涵盖的，得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408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（4）思路混乱，内容不完整，或未提供相应内容的，不得分。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08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0-20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  <w:sectPr>
          <w:footerReference r:id="rId4" w:type="default"/>
          <w:pgSz w:w="11906" w:h="16839"/>
          <w:pgMar w:top="587" w:right="1107" w:bottom="934" w:left="1108" w:header="0" w:footer="810" w:gutter="0"/>
          <w:cols w:space="720" w:num="1"/>
        </w:sect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3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9518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321"/>
        <w:gridCol w:w="6372"/>
        <w:gridCol w:w="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 w:hRule="atLeast"/>
        </w:trPr>
        <w:tc>
          <w:tcPr>
            <w:tcW w:w="8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2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firstLine="2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人员配备</w:t>
            </w:r>
          </w:p>
        </w:tc>
        <w:tc>
          <w:tcPr>
            <w:tcW w:w="6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项目负责人：具备中国认证认可协会(CCAA)注册的食品安全管理体系(FSMS)或危害分析与关键控制点(HACCP)资质且担任过省级或以上食用农产品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交易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市场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食品安全评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估项目的项目负责人的，得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分；不符合要求的不得分，满分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分；                          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检查人员：拟投入的项目组成员具有国家注册审核员资质（QMS、EMS、OSHMS、FSMS、HACCP 等）或具有实验室资质认定评审员资质或者是省级食品安全检查员；每具有一名得 2 分， 满分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leftChars="0" w:right="0" w:firstLine="418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leftChars="0" w:right="0" w:firstLine="418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（1）需提供资格或职称证书、省级市场监管部门文件扫描件；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leftChars="0" w:right="0" w:firstLine="418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（2）提供供应商为其缴纳的连续近 3 个月的社保证明；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leftChars="0" w:right="0" w:firstLine="418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（3）项目负责人与检查人员名单不得重复。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4" w:lineRule="auto"/>
              <w:ind w:firstLine="1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0-2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8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185" w:lineRule="auto"/>
              <w:ind w:firstLine="1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资信分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spacing w:line="31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5" w:lineRule="auto"/>
              <w:ind w:firstLine="1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供应商业绩</w:t>
            </w:r>
          </w:p>
        </w:tc>
        <w:tc>
          <w:tcPr>
            <w:tcW w:w="6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三年内（自 2018 年 1 月 1  日起）供应商组织举办过：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1.省级食品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安全快速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检测技能竞赛的，每提供一份得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2.市级食品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安全快速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检测技能竞赛的，每提供一份得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3.承担过地市级及以上食品流通企业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含农批、农贸市场）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飞行检查或者质量安全检查项目的， 每提供一份得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4.本项满分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 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8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备注： 业绩合同或市级及以上食品安全监管部门函件扫描件。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spacing w:line="30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4" w:lineRule="auto"/>
              <w:ind w:firstLine="1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0-2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8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99" w:lineRule="auto"/>
              <w:ind w:left="452" w:right="133" w:hanging="3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供应商综合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能力</w:t>
            </w:r>
          </w:p>
        </w:tc>
        <w:tc>
          <w:tcPr>
            <w:tcW w:w="6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1.供应商具有经中国国家认证认可监督管理委员会认可的认证机构 颁发的质量管理体系、环境管理体系、食品安全管理体系、危害分析与关键控制点体系认证的， 每提供 1 个得 1 分，最高 2 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8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备注：提供证书扫描件及全国认证认可信息公共服务平台官网证书 信息查询截图。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2.供应商三年内（自 2018 年 1 月 1  日起）主持或参与过省部级以上食品安全监管相关科研课题的，主持或参与编著过食品安全监管或检验方面国标、地标、行标或团体标准的， 每提供一项，得 2 分， 最高 8 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8" w:firstLineChars="200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备注：响应文件中须提供课题主管部门出具的函（或委托书、任务 书、通知等）、 标准扫描件（需体现供应商名称）。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spacing w:line="30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184" w:lineRule="auto"/>
              <w:ind w:firstLine="14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0-10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890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before="68" w:line="299" w:lineRule="auto"/>
              <w:ind w:left="452" w:right="133" w:hanging="319"/>
              <w:jc w:val="both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本地化服务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能力</w:t>
            </w:r>
          </w:p>
        </w:tc>
        <w:tc>
          <w:tcPr>
            <w:tcW w:w="6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供应商需提交本地化服务方案：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（1）人员调度能力强，响应时间迅速，方案全面的，得 5 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（2）人员调度能力较强，响应时间及时，方案较完整的，得 3 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（3）人员调度能力、响应时间一般，方案基本涵盖的，得 1 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Chars="0" w:right="0" w:rightChars="0" w:firstLine="416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（4）方案较差，或未提供的，得 0 分。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before="68" w:line="184" w:lineRule="auto"/>
              <w:ind w:firstLine="149"/>
              <w:jc w:val="both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0-5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</w:t>
            </w:r>
          </w:p>
        </w:tc>
      </w:tr>
    </w:tbl>
    <w:p>
      <w:pPr>
        <w:spacing w:before="182" w:line="363" w:lineRule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75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E68E2"/>
    <w:rsid w:val="3B4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2021-09-03T01:13:00Z</dcterms:created>
  <dc:creator>bbxt</dc:creator>
  <cp:lastModifiedBy>bbxt</cp:lastModifiedBy>
  <dcterms:modified xsi:type="dcterms:W3CDTF">2021-09-03T01:13:54Z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11D8FF9CB2AA402BB3D2AA111E75FB8F</vt:lpwstr>
  </property>
</Properties>
</file>