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jc w:val="both"/>
        <w:rPr>
          <w:rFonts w:hint="eastAsia" w:ascii="方正小标宋_GBK" w:hAnsi="Times New Roman" w:eastAsia="方正小标宋_GBK" w:cs="Times New Roman"/>
          <w:b/>
          <w:color w:val="333333"/>
          <w:spacing w:val="8"/>
          <w:sz w:val="44"/>
          <w:szCs w:val="44"/>
          <w:u w:val="none"/>
          <w:lang w:val="en-US" w:eastAsia="zh-CN"/>
        </w:rPr>
      </w:pPr>
    </w:p>
    <w:p>
      <w:pPr>
        <w:keepNext w:val="0"/>
        <w:keepLines w:val="0"/>
        <w:pageBreakBefore w:val="0"/>
        <w:widowControl/>
        <w:kinsoku/>
        <w:wordWrap w:val="0"/>
        <w:overflowPunct/>
        <w:topLinePunct w:val="0"/>
        <w:autoSpaceDE/>
        <w:autoSpaceDN/>
        <w:bidi w:val="0"/>
        <w:adjustRightInd/>
        <w:snapToGrid/>
        <w:spacing w:line="580" w:lineRule="exact"/>
        <w:jc w:val="center"/>
        <w:textAlignment w:val="auto"/>
        <w:rPr>
          <w:rFonts w:hint="eastAsia" w:ascii="仿宋" w:hAnsi="仿宋" w:eastAsia="仿宋" w:cs="仿宋"/>
          <w:b/>
          <w:color w:val="333333"/>
          <w:spacing w:val="8"/>
          <w:kern w:val="0"/>
          <w:sz w:val="24"/>
          <w:szCs w:val="24"/>
        </w:rPr>
      </w:pPr>
      <w:r>
        <w:rPr>
          <w:rFonts w:hint="eastAsia" w:ascii="仿宋" w:hAnsi="仿宋" w:eastAsia="仿宋" w:cs="仿宋"/>
          <w:b/>
          <w:color w:val="333333"/>
          <w:spacing w:val="8"/>
          <w:sz w:val="44"/>
          <w:szCs w:val="44"/>
          <w:u w:val="none"/>
        </w:rPr>
        <w:t>淮南市</w:t>
      </w:r>
      <w:r>
        <w:rPr>
          <w:rFonts w:hint="eastAsia" w:ascii="仿宋" w:hAnsi="仿宋" w:eastAsia="仿宋" w:cs="仿宋"/>
          <w:b/>
          <w:color w:val="333333"/>
          <w:spacing w:val="8"/>
          <w:sz w:val="44"/>
          <w:szCs w:val="44"/>
        </w:rPr>
        <w:t>疫苗药品和医疗器械安全</w:t>
      </w:r>
    </w:p>
    <w:p>
      <w:pPr>
        <w:keepNext w:val="0"/>
        <w:keepLines w:val="0"/>
        <w:pageBreakBefore w:val="0"/>
        <w:widowControl/>
        <w:kinsoku/>
        <w:wordWrap w:val="0"/>
        <w:overflowPunct/>
        <w:topLinePunct w:val="0"/>
        <w:autoSpaceDE/>
        <w:autoSpaceDN/>
        <w:bidi w:val="0"/>
        <w:adjustRightInd/>
        <w:snapToGrid/>
        <w:spacing w:line="580" w:lineRule="exact"/>
        <w:jc w:val="center"/>
        <w:textAlignment w:val="auto"/>
        <w:rPr>
          <w:rFonts w:hint="eastAsia" w:ascii="仿宋" w:hAnsi="仿宋" w:eastAsia="仿宋" w:cs="仿宋"/>
          <w:b/>
          <w:color w:val="333333"/>
          <w:spacing w:val="8"/>
          <w:sz w:val="44"/>
          <w:szCs w:val="44"/>
        </w:rPr>
      </w:pPr>
      <w:r>
        <w:rPr>
          <w:rFonts w:hint="eastAsia" w:ascii="仿宋" w:hAnsi="仿宋" w:eastAsia="仿宋" w:cs="仿宋"/>
          <w:b/>
          <w:color w:val="333333"/>
          <w:spacing w:val="8"/>
          <w:sz w:val="44"/>
          <w:szCs w:val="44"/>
        </w:rPr>
        <w:t>突发事件应急预案</w:t>
      </w:r>
    </w:p>
    <w:p>
      <w:pPr>
        <w:keepNext w:val="0"/>
        <w:keepLines w:val="0"/>
        <w:pageBreakBefore w:val="0"/>
        <w:widowControl/>
        <w:kinsoku/>
        <w:wordWrap w:val="0"/>
        <w:overflowPunct/>
        <w:topLinePunct w:val="0"/>
        <w:autoSpaceDE/>
        <w:autoSpaceDN/>
        <w:bidi w:val="0"/>
        <w:adjustRightInd/>
        <w:snapToGrid/>
        <w:spacing w:line="580" w:lineRule="exact"/>
        <w:jc w:val="center"/>
        <w:textAlignment w:val="auto"/>
        <w:rPr>
          <w:rFonts w:hint="eastAsia" w:ascii="仿宋" w:hAnsi="仿宋" w:eastAsia="仿宋" w:cs="仿宋"/>
          <w:color w:val="333333"/>
          <w:spacing w:val="8"/>
          <w:kern w:val="0"/>
          <w:sz w:val="32"/>
          <w:szCs w:val="32"/>
        </w:rPr>
      </w:pPr>
      <w:r>
        <w:rPr>
          <w:rFonts w:hint="eastAsia" w:ascii="仿宋" w:hAnsi="仿宋" w:eastAsia="仿宋" w:cs="仿宋"/>
          <w:color w:val="333333"/>
          <w:spacing w:val="8"/>
          <w:sz w:val="32"/>
          <w:szCs w:val="32"/>
        </w:rPr>
        <w:t>（</w:t>
      </w:r>
      <w:r>
        <w:rPr>
          <w:rFonts w:hint="eastAsia" w:ascii="仿宋" w:hAnsi="仿宋" w:eastAsia="仿宋" w:cs="仿宋"/>
          <w:color w:val="333333"/>
          <w:spacing w:val="8"/>
          <w:sz w:val="32"/>
          <w:szCs w:val="32"/>
          <w:lang w:eastAsia="zh-CN"/>
        </w:rPr>
        <w:t>征求意见</w:t>
      </w:r>
      <w:r>
        <w:rPr>
          <w:rFonts w:hint="eastAsia" w:ascii="仿宋" w:hAnsi="仿宋" w:eastAsia="仿宋" w:cs="仿宋"/>
          <w:color w:val="333333"/>
          <w:spacing w:val="8"/>
          <w:sz w:val="32"/>
          <w:szCs w:val="32"/>
        </w:rPr>
        <w:t>稿）</w:t>
      </w:r>
      <w:bookmarkStart w:id="0" w:name="_GoBack"/>
      <w:bookmarkEnd w:id="0"/>
    </w:p>
    <w:p>
      <w:pPr>
        <w:keepNext w:val="0"/>
        <w:keepLines w:val="0"/>
        <w:pageBreakBefore w:val="0"/>
        <w:widowControl/>
        <w:kinsoku/>
        <w:wordWrap w:val="0"/>
        <w:overflowPunct/>
        <w:topLinePunct w:val="0"/>
        <w:autoSpaceDE/>
        <w:autoSpaceDN/>
        <w:bidi w:val="0"/>
        <w:adjustRightInd/>
        <w:snapToGrid/>
        <w:spacing w:line="580" w:lineRule="exact"/>
        <w:jc w:val="center"/>
        <w:textAlignment w:val="auto"/>
        <w:rPr>
          <w:rFonts w:hint="eastAsia" w:ascii="仿宋" w:hAnsi="仿宋" w:eastAsia="仿宋" w:cs="仿宋"/>
          <w:color w:val="333333"/>
          <w:spacing w:val="8"/>
          <w:kern w:val="0"/>
          <w:sz w:val="24"/>
          <w:szCs w:val="24"/>
        </w:rPr>
      </w:pP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1.总则</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1.1 编制目的</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 xml:space="preserve">1.2 编制依据 </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1.3 适用范围</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1.4 事件分级</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1.5 工作原则</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2.组织体系及职责</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 xml:space="preserve">2.1 </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应急指挥部</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 xml:space="preserve">2.2 </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指挥部办公室</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2.3 成员单位</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2.4 工作组</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2.5 专家组</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2.6 专业技术机构</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 xml:space="preserve">2.7 </w:t>
      </w:r>
      <w:r>
        <w:rPr>
          <w:rFonts w:hint="eastAsia" w:ascii="仿宋" w:hAnsi="仿宋" w:eastAsia="仿宋" w:cs="仿宋"/>
          <w:color w:val="000000" w:themeColor="text1"/>
          <w:spacing w:val="8"/>
          <w:sz w:val="32"/>
          <w:szCs w:val="32"/>
          <w:lang w:eastAsia="zh-CN"/>
          <w14:textFill>
            <w14:solidFill>
              <w14:schemeClr w14:val="tx1"/>
            </w14:solidFill>
          </w14:textFill>
        </w:rPr>
        <w:t>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组织指挥机构</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3.监测与预警</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3.1 监测</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3.2预警</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3.3 预警分级</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3.4 预警报送</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3.5 预警发布</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3.6 预警行动</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3.7 预警调整</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4.信息报告</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4.1 信息来源</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4.2 报告主体</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4.3 报告时限</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4.4 报告内容</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4.5 报告方式</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5.先期处置</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6.应急响应</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6.1 响应分级</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6.2 响应措施</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6.3 响应调整</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6.4 响应终止</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6.5 信息发布</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7.后期处置</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7.1 善后处置</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7.2 总结评估</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7.3 奖惩</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8.应急保障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8.1 队伍保障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8.2 信息保障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8.3 医疗保障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8.4 技术保障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8.5 物质与经费保障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8.6社会动员保障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9.日常管理</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9.1 宣教培训</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9.2 应急演练</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10.附则</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10.1 预案管理与更新</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10.2预案解释</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10.3化妆品安全突发事件应急处置工作</w:t>
      </w:r>
    </w:p>
    <w:p>
      <w:pPr>
        <w:keepNext w:val="0"/>
        <w:keepLines w:val="0"/>
        <w:pageBreakBefore w:val="0"/>
        <w:widowControl/>
        <w:kinsoku/>
        <w:wordWrap w:val="0"/>
        <w:overflowPunct/>
        <w:topLinePunct w:val="0"/>
        <w:autoSpaceDE/>
        <w:autoSpaceDN/>
        <w:bidi w:val="0"/>
        <w:adjustRightInd/>
        <w:snapToGrid/>
        <w:spacing w:line="580" w:lineRule="exact"/>
        <w:ind w:left="3111" w:hanging="190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10.4预案实施</w:t>
      </w:r>
    </w:p>
    <w:p>
      <w:pPr>
        <w:widowControl/>
        <w:wordWrap w:val="0"/>
        <w:spacing w:line="600" w:lineRule="exac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b/>
          <w:bCs/>
          <w:color w:val="000000" w:themeColor="text1"/>
          <w:spacing w:val="8"/>
          <w:sz w:val="32"/>
          <w:szCs w:val="32"/>
          <w14:textFill>
            <w14:solidFill>
              <w14:schemeClr w14:val="tx1"/>
            </w14:solidFill>
          </w14:textFill>
        </w:rPr>
        <w:br w:type="page"/>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 总则</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1.1 编制目的</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建立健全疫苗药品和医疗器械安全突发事件（以下简称“事件”）应对工作机制，科学高效有序做好事件的应急处置工作，最大限度地减少危害，保障公众健康和生命安全，维护正常的社会经济秩序。</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1.2 编制依据</w:t>
      </w:r>
    </w:p>
    <w:p>
      <w:pPr>
        <w:keepNext w:val="0"/>
        <w:keepLines w:val="0"/>
        <w:pageBreakBefore w:val="0"/>
        <w:widowControl/>
        <w:kinsoku/>
        <w:overflowPunct/>
        <w:topLinePunct w:val="0"/>
        <w:autoSpaceDE/>
        <w:autoSpaceDN/>
        <w:bidi w:val="0"/>
        <w:snapToGrid/>
        <w:spacing w:line="580" w:lineRule="exact"/>
        <w:ind w:firstLine="672" w:firstLineChars="200"/>
        <w:jc w:val="left"/>
        <w:textAlignment w:val="auto"/>
        <w:rPr>
          <w:rFonts w:hint="eastAsia" w:ascii="仿宋" w:hAnsi="仿宋" w:eastAsia="仿宋" w:cs="仿宋"/>
          <w:color w:val="000000" w:themeColor="text1"/>
          <w:spacing w:val="8"/>
          <w:kern w:val="0"/>
          <w:sz w:val="32"/>
          <w:szCs w:val="32"/>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依据《中华人民共和国突发事件应对法》《中华人民共和国药品管理法》《中华人民共和国疫苗管理法》《突发公共卫生事件应急条例》《中华人民共和国药品管理法实施条例》《医疗器械监督管理条例》《国家药品监督管理局疫苗质量安全事件应急预案》《安徽省突发事件应对条例》《安徽省突发性公共事件总体应急预案》</w:t>
      </w:r>
      <w:r>
        <w:rPr>
          <w:rFonts w:hint="eastAsia" w:ascii="仿宋" w:hAnsi="仿宋" w:eastAsia="仿宋" w:cs="仿宋"/>
          <w:color w:val="000000" w:themeColor="text1"/>
          <w:spacing w:val="8"/>
          <w:kern w:val="0"/>
          <w:sz w:val="32"/>
          <w:szCs w:val="32"/>
          <w:u w:val="none"/>
          <w14:textFill>
            <w14:solidFill>
              <w14:schemeClr w14:val="tx1"/>
            </w14:solidFill>
          </w14:textFill>
        </w:rPr>
        <w:t>《安徽省疫苗药品和医疗器械安全突发事件应急预案》</w:t>
      </w:r>
      <w:r>
        <w:rPr>
          <w:rFonts w:hint="eastAsia" w:ascii="仿宋" w:hAnsi="仿宋" w:eastAsia="仿宋" w:cs="仿宋"/>
          <w:color w:val="000000" w:themeColor="text1"/>
          <w:spacing w:val="8"/>
          <w:kern w:val="0"/>
          <w:sz w:val="32"/>
          <w:szCs w:val="32"/>
          <w14:textFill>
            <w14:solidFill>
              <w14:schemeClr w14:val="tx1"/>
            </w14:solidFill>
          </w14:textFill>
        </w:rPr>
        <w:t>等法律法规及相关应急预案，制定本预案。</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1.3 适用范围</w:t>
      </w:r>
    </w:p>
    <w:p>
      <w:pPr>
        <w:keepNext w:val="0"/>
        <w:keepLines w:val="0"/>
        <w:pageBreakBefore w:val="0"/>
        <w:widowControl/>
        <w:kinsoku/>
        <w:wordWrap w:val="0"/>
        <w:overflowPunct/>
        <w:topLinePunct w:val="0"/>
        <w:autoSpaceDE/>
        <w:autoSpaceDN/>
        <w:bidi w:val="0"/>
        <w:adjustRightInd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本预案适用于发生在我</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的疫苗药品和医疗器械安全突发事件应对处置工作。对医疗事故、不合理使用疫苗药品和医疗器械等不涉及疫苗药品和医疗器械质量安全的突发卫生事件的应对处置工作，按照《医疗事故处理条例》《安徽省突发公共卫生事件应急预案》等有关规定，由卫生健康部门负责应对处置。</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1.4 事件分级</w:t>
      </w:r>
    </w:p>
    <w:p>
      <w:pPr>
        <w:keepNext w:val="0"/>
        <w:keepLines w:val="0"/>
        <w:pageBreakBefore w:val="0"/>
        <w:widowControl/>
        <w:kinsoku/>
        <w:wordWrap w:val="0"/>
        <w:overflowPunct/>
        <w:topLinePunct w:val="0"/>
        <w:autoSpaceDE/>
        <w:autoSpaceDN/>
        <w:bidi w:val="0"/>
        <w:adjustRightInd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根据事件的危害程度和影响范围等因素，疫苗药品和医疗器械安全突发事件分为四级：特别重大疫苗药品和医疗器械安全突发事件（</w:t>
      </w:r>
      <w:r>
        <w:rPr>
          <w:rFonts w:hint="eastAsia" w:ascii="仿宋" w:hAnsi="仿宋" w:eastAsia="仿宋" w:cs="仿宋"/>
          <w:b/>
          <w:bCs/>
          <w:color w:val="000000" w:themeColor="text1"/>
          <w:spacing w:val="8"/>
          <w:sz w:val="32"/>
          <w:szCs w:val="32"/>
          <w14:textFill>
            <w14:solidFill>
              <w14:schemeClr w14:val="tx1"/>
            </w14:solidFill>
          </w14:textFill>
        </w:rPr>
        <w:t>Ⅰ</w:t>
      </w:r>
      <w:r>
        <w:rPr>
          <w:rFonts w:hint="eastAsia" w:ascii="仿宋" w:hAnsi="仿宋" w:eastAsia="仿宋" w:cs="仿宋"/>
          <w:color w:val="000000" w:themeColor="text1"/>
          <w:spacing w:val="8"/>
          <w:sz w:val="32"/>
          <w:szCs w:val="32"/>
          <w14:textFill>
            <w14:solidFill>
              <w14:schemeClr w14:val="tx1"/>
            </w14:solidFill>
          </w14:textFill>
        </w:rPr>
        <w:t>级）、重大疫苗药品和医疗器械安全突发事件（</w:t>
      </w:r>
      <w:r>
        <w:rPr>
          <w:rFonts w:hint="eastAsia" w:ascii="仿宋" w:hAnsi="仿宋" w:eastAsia="仿宋" w:cs="仿宋"/>
          <w:b/>
          <w:bCs/>
          <w:color w:val="000000" w:themeColor="text1"/>
          <w:spacing w:val="8"/>
          <w:sz w:val="32"/>
          <w:szCs w:val="32"/>
          <w14:textFill>
            <w14:solidFill>
              <w14:schemeClr w14:val="tx1"/>
            </w14:solidFill>
          </w14:textFill>
        </w:rPr>
        <w:t>Ⅱ</w:t>
      </w:r>
      <w:r>
        <w:rPr>
          <w:rFonts w:hint="eastAsia" w:ascii="仿宋" w:hAnsi="仿宋" w:eastAsia="仿宋" w:cs="仿宋"/>
          <w:color w:val="000000" w:themeColor="text1"/>
          <w:spacing w:val="8"/>
          <w:sz w:val="32"/>
          <w:szCs w:val="32"/>
          <w14:textFill>
            <w14:solidFill>
              <w14:schemeClr w14:val="tx1"/>
            </w14:solidFill>
          </w14:textFill>
        </w:rPr>
        <w:t>级）、较大疫苗药品和医疗器械安全突发事件（</w:t>
      </w:r>
      <w:r>
        <w:rPr>
          <w:rFonts w:hint="eastAsia" w:ascii="仿宋" w:hAnsi="仿宋" w:eastAsia="仿宋" w:cs="仿宋"/>
          <w:b/>
          <w:bCs/>
          <w:color w:val="000000" w:themeColor="text1"/>
          <w:spacing w:val="8"/>
          <w:sz w:val="32"/>
          <w:szCs w:val="32"/>
          <w14:textFill>
            <w14:solidFill>
              <w14:schemeClr w14:val="tx1"/>
            </w14:solidFill>
          </w14:textFill>
        </w:rPr>
        <w:t>Ⅲ</w:t>
      </w:r>
      <w:r>
        <w:rPr>
          <w:rFonts w:hint="eastAsia" w:ascii="仿宋" w:hAnsi="仿宋" w:eastAsia="仿宋" w:cs="仿宋"/>
          <w:color w:val="000000" w:themeColor="text1"/>
          <w:spacing w:val="8"/>
          <w:sz w:val="32"/>
          <w:szCs w:val="32"/>
          <w14:textFill>
            <w14:solidFill>
              <w14:schemeClr w14:val="tx1"/>
            </w14:solidFill>
          </w14:textFill>
        </w:rPr>
        <w:t>级）和一般疫苗药品和医疗器械安全突发事件（</w:t>
      </w:r>
      <w:r>
        <w:rPr>
          <w:rFonts w:hint="eastAsia" w:ascii="仿宋" w:hAnsi="仿宋" w:eastAsia="仿宋" w:cs="仿宋"/>
          <w:b/>
          <w:bCs/>
          <w:color w:val="000000" w:themeColor="text1"/>
          <w:spacing w:val="8"/>
          <w:sz w:val="32"/>
          <w:szCs w:val="32"/>
          <w14:textFill>
            <w14:solidFill>
              <w14:schemeClr w14:val="tx1"/>
            </w14:solidFill>
          </w14:textFill>
        </w:rPr>
        <w:t>Ⅳ</w:t>
      </w:r>
      <w:r>
        <w:rPr>
          <w:rFonts w:hint="eastAsia" w:ascii="仿宋" w:hAnsi="仿宋" w:eastAsia="仿宋" w:cs="仿宋"/>
          <w:color w:val="000000" w:themeColor="text1"/>
          <w:spacing w:val="8"/>
          <w:sz w:val="32"/>
          <w:szCs w:val="32"/>
          <w14:textFill>
            <w14:solidFill>
              <w14:schemeClr w14:val="tx1"/>
            </w14:solidFill>
          </w14:textFill>
        </w:rPr>
        <w:t>级)（分级标准见附件1）。</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1.5 工作原则</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遵循以人为本、减少危害；统一领导、分级负责；预防为主、平战结合；快速反应、协同应对；依法规范、科学处置的原则开展事件应急处置工作。</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 组织机构及职责</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2.1</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应急指挥部</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较大</w:t>
      </w:r>
      <w:r>
        <w:rPr>
          <w:rFonts w:hint="eastAsia" w:ascii="仿宋" w:hAnsi="仿宋" w:eastAsia="仿宋" w:cs="仿宋"/>
          <w:color w:val="000000" w:themeColor="text1"/>
          <w:spacing w:val="8"/>
          <w:sz w:val="32"/>
          <w:szCs w:val="32"/>
          <w14:textFill>
            <w14:solidFill>
              <w14:schemeClr w14:val="tx1"/>
            </w14:solidFill>
          </w14:textFill>
        </w:rPr>
        <w:t>疫苗药品和医疗器械安全突发事件发生后，市人民政府成立应急指挥部（以下简称“</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指挥部”）。由</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人民政府分管负责同志任总指挥，</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人民政府相关副秘书长和</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市场监督管理局、</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卫生健康委主要负责同志任副总指挥。</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主要职责：统一领导组织协调</w:t>
      </w:r>
      <w:r>
        <w:rPr>
          <w:rFonts w:hint="eastAsia" w:ascii="仿宋" w:hAnsi="仿宋" w:eastAsia="仿宋" w:cs="仿宋"/>
          <w:color w:val="000000" w:themeColor="text1"/>
          <w:spacing w:val="8"/>
          <w:sz w:val="32"/>
          <w:szCs w:val="32"/>
          <w:u w:val="none"/>
          <w14:textFill>
            <w14:solidFill>
              <w14:schemeClr w14:val="tx1"/>
            </w14:solidFill>
          </w14:textFill>
        </w:rPr>
        <w:t>较大</w:t>
      </w:r>
      <w:r>
        <w:rPr>
          <w:rFonts w:hint="eastAsia" w:ascii="仿宋" w:hAnsi="仿宋" w:eastAsia="仿宋" w:cs="仿宋"/>
          <w:color w:val="000000" w:themeColor="text1"/>
          <w:spacing w:val="8"/>
          <w:sz w:val="32"/>
          <w:szCs w:val="32"/>
          <w14:textFill>
            <w14:solidFill>
              <w14:schemeClr w14:val="tx1"/>
            </w14:solidFill>
          </w14:textFill>
        </w:rPr>
        <w:t>疫苗药品和医疗器械安全突发事件的应急处置工作。发生特别重大</w:t>
      </w:r>
      <w:r>
        <w:rPr>
          <w:rFonts w:hint="eastAsia" w:ascii="仿宋" w:hAnsi="仿宋" w:eastAsia="仿宋" w:cs="仿宋"/>
          <w:color w:val="000000" w:themeColor="text1"/>
          <w:spacing w:val="8"/>
          <w:sz w:val="32"/>
          <w:szCs w:val="32"/>
          <w:u w:val="none"/>
          <w14:textFill>
            <w14:solidFill>
              <w14:schemeClr w14:val="tx1"/>
            </w14:solidFill>
          </w14:textFill>
        </w:rPr>
        <w:t>、重大</w:t>
      </w:r>
      <w:r>
        <w:rPr>
          <w:rFonts w:hint="eastAsia" w:ascii="仿宋" w:hAnsi="仿宋" w:eastAsia="仿宋" w:cs="仿宋"/>
          <w:color w:val="000000" w:themeColor="text1"/>
          <w:spacing w:val="8"/>
          <w:sz w:val="32"/>
          <w:szCs w:val="32"/>
          <w14:textFill>
            <w14:solidFill>
              <w14:schemeClr w14:val="tx1"/>
            </w14:solidFill>
          </w14:textFill>
        </w:rPr>
        <w:t>疫苗安全事件应在国务院</w:t>
      </w:r>
      <w:r>
        <w:rPr>
          <w:rFonts w:hint="eastAsia" w:ascii="仿宋" w:hAnsi="仿宋" w:eastAsia="仿宋" w:cs="仿宋"/>
          <w:color w:val="000000" w:themeColor="text1"/>
          <w:spacing w:val="8"/>
          <w:sz w:val="32"/>
          <w:szCs w:val="32"/>
          <w:u w:val="none"/>
          <w14:textFill>
            <w14:solidFill>
              <w14:schemeClr w14:val="tx1"/>
            </w14:solidFill>
          </w14:textFill>
        </w:rPr>
        <w:t>、省政府</w:t>
      </w:r>
      <w:r>
        <w:rPr>
          <w:rFonts w:hint="eastAsia" w:ascii="仿宋" w:hAnsi="仿宋" w:eastAsia="仿宋" w:cs="仿宋"/>
          <w:color w:val="000000" w:themeColor="text1"/>
          <w:spacing w:val="8"/>
          <w:sz w:val="32"/>
          <w:szCs w:val="32"/>
          <w14:textFill>
            <w14:solidFill>
              <w14:schemeClr w14:val="tx1"/>
            </w14:solidFill>
          </w14:textFill>
        </w:rPr>
        <w:t>领导下开展工作。</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2.2</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指挥部办公室</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指挥部下设办公室，为</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指挥部日常工作机构。办公室设在</w:t>
      </w:r>
      <w:r>
        <w:rPr>
          <w:rFonts w:hint="eastAsia" w:ascii="仿宋" w:hAnsi="仿宋" w:eastAsia="仿宋" w:cs="仿宋"/>
          <w:color w:val="000000" w:themeColor="text1"/>
          <w:spacing w:val="8"/>
          <w:sz w:val="32"/>
          <w:szCs w:val="32"/>
          <w:u w:val="none"/>
          <w14:textFill>
            <w14:solidFill>
              <w14:schemeClr w14:val="tx1"/>
            </w14:solidFill>
          </w14:textFill>
        </w:rPr>
        <w:t>市市场监督管理局</w:t>
      </w:r>
      <w:r>
        <w:rPr>
          <w:rFonts w:hint="eastAsia" w:ascii="仿宋" w:hAnsi="仿宋" w:eastAsia="仿宋" w:cs="仿宋"/>
          <w:color w:val="000000" w:themeColor="text1"/>
          <w:spacing w:val="8"/>
          <w:sz w:val="32"/>
          <w:szCs w:val="32"/>
          <w14:textFill>
            <w14:solidFill>
              <w14:schemeClr w14:val="tx1"/>
            </w14:solidFill>
          </w14:textFill>
        </w:rPr>
        <w:t>，主任由</w:t>
      </w:r>
      <w:r>
        <w:rPr>
          <w:rFonts w:hint="eastAsia" w:ascii="仿宋" w:hAnsi="仿宋" w:eastAsia="仿宋" w:cs="仿宋"/>
          <w:color w:val="000000" w:themeColor="text1"/>
          <w:spacing w:val="8"/>
          <w:sz w:val="32"/>
          <w:szCs w:val="32"/>
          <w:u w:val="none"/>
          <w14:textFill>
            <w14:solidFill>
              <w14:schemeClr w14:val="tx1"/>
            </w14:solidFill>
          </w14:textFill>
        </w:rPr>
        <w:t>市市场监督管理局</w:t>
      </w:r>
      <w:r>
        <w:rPr>
          <w:rFonts w:hint="eastAsia" w:ascii="仿宋" w:hAnsi="仿宋" w:eastAsia="仿宋" w:cs="仿宋"/>
          <w:color w:val="000000" w:themeColor="text1"/>
          <w:spacing w:val="8"/>
          <w:sz w:val="32"/>
          <w:szCs w:val="32"/>
          <w14:textFill>
            <w14:solidFill>
              <w14:schemeClr w14:val="tx1"/>
            </w14:solidFill>
          </w14:textFill>
        </w:rPr>
        <w:t>主要负责同志兼任。</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主要职责：承担</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指挥部的日常工作；贯彻落实</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指挥部各项部署；组织协调、检查督促各部门的应急处置工作；收集整理应急处置工作中的问题；向</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指挥部汇报应急处置工作情况，通报应急处置工作进展；根据</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指挥部授权，组织信息发布、接受媒体采访等。</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2.3成员单位</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市场监督管理局：</w:t>
      </w:r>
      <w:r>
        <w:rPr>
          <w:rFonts w:hint="eastAsia" w:ascii="仿宋" w:hAnsi="仿宋" w:eastAsia="仿宋" w:cs="仿宋"/>
          <w:color w:val="000000" w:themeColor="text1"/>
          <w:spacing w:val="8"/>
          <w:sz w:val="32"/>
          <w:szCs w:val="32"/>
          <w:u w:val="none"/>
          <w14:textFill>
            <w14:solidFill>
              <w14:schemeClr w14:val="tx1"/>
            </w14:solidFill>
          </w14:textFill>
        </w:rPr>
        <w:t>负责市指挥部办公室日常工作。负责事件信息的收集、分析、预警、报告等；组织开展疫苗药品和医疗器械经营环节安全突发事件的应急处置，依法采取应急处置措施；组织开展相关检验及技术鉴定；负责对事件中涉及违法违规行为</w:t>
      </w:r>
      <w:r>
        <w:rPr>
          <w:rFonts w:hint="eastAsia" w:ascii="仿宋" w:hAnsi="仿宋" w:eastAsia="仿宋" w:cs="仿宋"/>
          <w:color w:val="000000" w:themeColor="text1"/>
          <w:spacing w:val="8"/>
          <w:sz w:val="32"/>
          <w:szCs w:val="32"/>
          <w14:textFill>
            <w14:solidFill>
              <w14:schemeClr w14:val="tx1"/>
            </w14:solidFill>
          </w14:textFill>
        </w:rPr>
        <w:t>的调查处理。</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负责组织实施事件患者的医疗救治及心理康复；负责疫苗预防接种以及采购配送环节安全突发事件应急处置工作；负责医疗机构疫苗药品和医疗器械不良反应（事件）报告分析、评价和管理工作；组织开展预防接种异常反应监测。必要时对医疗机构使用的涉事疫苗药品和医疗器械采取暂停使用等紧急措施，配合事件的调查、确认等工作。</w:t>
      </w:r>
    </w:p>
    <w:p>
      <w:pPr>
        <w:widowControl/>
        <w:wordWrap w:val="0"/>
        <w:spacing w:line="600" w:lineRule="exact"/>
        <w:ind w:firstLine="640"/>
        <w:rPr>
          <w:rFonts w:hint="eastAsia" w:ascii="仿宋" w:hAnsi="仿宋" w:eastAsia="仿宋" w:cs="仿宋"/>
          <w:strike w:val="0"/>
          <w:dstrike w:val="0"/>
          <w:color w:val="000000" w:themeColor="text1"/>
          <w:spacing w:val="8"/>
          <w:sz w:val="32"/>
          <w:szCs w:val="32"/>
          <w:u w:val="none"/>
          <w:lang w:val="en-US" w:eastAsia="zh-CN"/>
          <w14:textFill>
            <w14:solidFill>
              <w14:schemeClr w14:val="tx1"/>
            </w14:solidFill>
          </w14:textFill>
        </w:rPr>
      </w:pPr>
      <w:r>
        <w:rPr>
          <w:rFonts w:hint="eastAsia" w:ascii="仿宋" w:hAnsi="仿宋" w:eastAsia="仿宋" w:cs="仿宋"/>
          <w:strike w:val="0"/>
          <w:dstrike w:val="0"/>
          <w:color w:val="000000" w:themeColor="text1"/>
          <w:spacing w:val="8"/>
          <w:sz w:val="32"/>
          <w:szCs w:val="32"/>
          <w:u w:val="none"/>
          <w14:textFill>
            <w14:solidFill>
              <w14:schemeClr w14:val="tx1"/>
            </w14:solidFill>
          </w14:textFill>
        </w:rPr>
        <w:t>市委宣传部</w:t>
      </w:r>
      <w:r>
        <w:rPr>
          <w:rFonts w:hint="eastAsia" w:ascii="仿宋" w:hAnsi="仿宋" w:eastAsia="仿宋" w:cs="仿宋"/>
          <w:strike w:val="0"/>
          <w:dstrike w:val="0"/>
          <w:color w:val="000000" w:themeColor="text1"/>
          <w:spacing w:val="8"/>
          <w:sz w:val="32"/>
          <w:szCs w:val="32"/>
          <w:u w:val="none"/>
          <w:lang w:val="en-US" w:eastAsia="zh-CN"/>
          <w14:textFill>
            <w14:solidFill>
              <w14:schemeClr w14:val="tx1"/>
            </w14:solidFill>
          </w14:textFill>
        </w:rPr>
        <w:t>:负责事件舆论引导、新闻发布及舆情应对处置的组织引导工作。</w:t>
      </w:r>
    </w:p>
    <w:p>
      <w:pPr>
        <w:widowControl/>
        <w:wordWrap w:val="0"/>
        <w:spacing w:line="600" w:lineRule="exact"/>
        <w:ind w:firstLine="640"/>
        <w:rPr>
          <w:rFonts w:hint="eastAsia" w:ascii="仿宋" w:hAnsi="仿宋" w:eastAsia="仿宋" w:cs="仿宋"/>
          <w:strike w:val="0"/>
          <w:dstrike w:val="0"/>
          <w:color w:val="000000" w:themeColor="text1"/>
          <w:spacing w:val="8"/>
          <w:sz w:val="32"/>
          <w:szCs w:val="32"/>
          <w:u w:val="none"/>
          <w:lang w:val="en-US" w:eastAsia="zh-CN"/>
          <w14:textFill>
            <w14:solidFill>
              <w14:schemeClr w14:val="tx1"/>
            </w14:solidFill>
          </w14:textFill>
        </w:rPr>
      </w:pPr>
      <w:r>
        <w:rPr>
          <w:rFonts w:hint="eastAsia" w:ascii="仿宋" w:hAnsi="仿宋" w:eastAsia="仿宋" w:cs="仿宋"/>
          <w:strike w:val="0"/>
          <w:dstrike w:val="0"/>
          <w:color w:val="000000" w:themeColor="text1"/>
          <w:spacing w:val="8"/>
          <w:sz w:val="32"/>
          <w:szCs w:val="32"/>
          <w:u w:val="none"/>
          <w:lang w:val="en-US" w:eastAsia="zh-CN"/>
          <w14:textFill>
            <w14:solidFill>
              <w14:schemeClr w14:val="tx1"/>
            </w14:solidFill>
          </w14:textFill>
        </w:rPr>
        <w:t>市委网信办：负责网上舆情的监测、上报，指导、协调事件相关单位做好网络舆情的应急处置工作。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信访局：负责处理事件中发生的群众来信来访事项。</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教体</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：协助处置发生在学校或托幼机构的疫苗药品和医疗器械安全突发事件，做好在校学生、教职工的宣传教育和自我防护工作。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经济和信息化</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：组织事件应急处置中所需疫苗药品、医疗器械等相关产品和设备、装备的保障供给。</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公安</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：负责维护事件处置中的治安秩序；负责对涉嫌刑事犯罪行为进行侦办；协助对麻醉、精神药品群体性滥用事件进行调查、核实、处理；对发布事件虚假信息、造谣滋事等违法行为依法予以调查处理。</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民政</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：负责事件发生后对困难受害家庭基本生活的救助工作。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财政</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：负责事件应急处置等工作所需经费的保障和使用管理。</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交通运输</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：负责事件应急处置过程中的道路、水路交通运力保障。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文化和旅游</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：负责协助对涉及旅游环节的药品和医疗器械安全突发事件进行应急处置。</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各成员单位在</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指挥部统一领导下开展事件应急处置工作，</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指挥部根据处置工作需要，可视情增加成员单位。</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2.4 工作组</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发生</w:t>
      </w:r>
      <w:r>
        <w:rPr>
          <w:rFonts w:hint="eastAsia" w:ascii="仿宋" w:hAnsi="仿宋" w:eastAsia="仿宋" w:cs="仿宋"/>
          <w:color w:val="000000" w:themeColor="text1"/>
          <w:spacing w:val="8"/>
          <w:sz w:val="32"/>
          <w:szCs w:val="32"/>
          <w:u w:val="none"/>
          <w14:textFill>
            <w14:solidFill>
              <w14:schemeClr w14:val="tx1"/>
            </w14:solidFill>
          </w14:textFill>
        </w:rPr>
        <w:t>较大</w:t>
      </w:r>
      <w:r>
        <w:rPr>
          <w:rFonts w:hint="eastAsia" w:ascii="仿宋" w:hAnsi="仿宋" w:eastAsia="仿宋" w:cs="仿宋"/>
          <w:color w:val="000000" w:themeColor="text1"/>
          <w:spacing w:val="8"/>
          <w:sz w:val="32"/>
          <w:szCs w:val="32"/>
          <w14:textFill>
            <w14:solidFill>
              <w14:schemeClr w14:val="tx1"/>
            </w14:solidFill>
          </w14:textFill>
        </w:rPr>
        <w:t>以上疫苗药品和医疗器械安全突发事件，</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指挥部视情成立由与应急处置工作紧密相关的部门和单位组成的若干工作组，各工作组在</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指挥部统一指挥下开展工作。（具体分组及职责见附件2）。</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2.5专家组</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事件发生后，根据应急处置工作需要，</w:t>
      </w:r>
      <w:r>
        <w:rPr>
          <w:rFonts w:hint="eastAsia" w:ascii="仿宋" w:hAnsi="仿宋" w:eastAsia="仿宋" w:cs="仿宋"/>
          <w:color w:val="000000" w:themeColor="text1"/>
          <w:spacing w:val="8"/>
          <w:sz w:val="32"/>
          <w:szCs w:val="32"/>
          <w:u w:val="none"/>
          <w14:textFill>
            <w14:solidFill>
              <w14:schemeClr w14:val="tx1"/>
            </w14:solidFill>
          </w14:textFill>
        </w:rPr>
        <w:t>市市场监督管理局</w:t>
      </w:r>
      <w:r>
        <w:rPr>
          <w:rFonts w:hint="eastAsia" w:ascii="仿宋" w:hAnsi="仿宋" w:eastAsia="仿宋" w:cs="仿宋"/>
          <w:color w:val="000000" w:themeColor="text1"/>
          <w:spacing w:val="8"/>
          <w:sz w:val="32"/>
          <w:szCs w:val="32"/>
          <w14:textFill>
            <w14:solidFill>
              <w14:schemeClr w14:val="tx1"/>
            </w14:solidFill>
          </w14:textFill>
        </w:rPr>
        <w:t>会同</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卫生健康委成立</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专家组。主要负责对事件进行分析评估、趋势研判；为制定应急处置技术方案提供决策建议；研判、建议应急响应级别的调整和解除；参与事件调查处置工作；对事发地不能定性或定性存在争议的事件进行定性。</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2.6 专业技术机构</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（1）药品和医疗器械检验机构：负责对药品和医疗器械质量进行检验和分析定性，及时出具检验结果。</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（2）药品和医疗器械不良反应（事件）监测机构：负责对涉及疫苗药品和医疗器械不良反应（事件）相关信息进行收集、核实、分析，及时出具评价报告。</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（3）疾病预防控制机构：负责对涉及疫苗接种异常反应事件的相关信息进行收集、核实、分析和评价，开展流行病学调查，及时出具评价结果。</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（4）医疗机构：负责事件发生后的患者救治工作;承担本单位药品和医疗器械不良反应（事件）监测和报告工作；</w:t>
      </w:r>
      <w:r>
        <w:rPr>
          <w:rFonts w:hint="eastAsia" w:ascii="仿宋" w:hAnsi="仿宋" w:eastAsia="仿宋" w:cs="仿宋"/>
          <w:color w:val="000000" w:themeColor="text1"/>
          <w:spacing w:val="8"/>
          <w:kern w:val="0"/>
          <w:sz w:val="32"/>
          <w:szCs w:val="32"/>
          <w:shd w:val="clear" w:color="auto" w:fill="FFFFFF"/>
          <w14:textFill>
            <w14:solidFill>
              <w14:schemeClr w14:val="tx1"/>
            </w14:solidFill>
          </w14:textFill>
        </w:rPr>
        <w:t>配合开展临床调查，分析事件发生的原因，必要时可采取暂停使用相关疫苗药品和医疗器械的紧急措施。</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2.7</w:t>
      </w:r>
      <w:r>
        <w:rPr>
          <w:rFonts w:hint="eastAsia" w:ascii="仿宋" w:hAnsi="仿宋" w:eastAsia="仿宋" w:cs="仿宋"/>
          <w:color w:val="000000" w:themeColor="text1"/>
          <w:spacing w:val="8"/>
          <w:sz w:val="32"/>
          <w:szCs w:val="32"/>
          <w:u w:val="none"/>
          <w14:textFill>
            <w14:solidFill>
              <w14:schemeClr w14:val="tx1"/>
            </w14:solidFill>
          </w14:textFill>
        </w:rPr>
        <w:t xml:space="preserve"> </w:t>
      </w:r>
      <w:r>
        <w:rPr>
          <w:rFonts w:hint="eastAsia" w:ascii="仿宋" w:hAnsi="仿宋" w:eastAsia="仿宋" w:cs="仿宋"/>
          <w:color w:val="000000" w:themeColor="text1"/>
          <w:spacing w:val="8"/>
          <w:sz w:val="32"/>
          <w:szCs w:val="32"/>
          <w:u w:val="none"/>
          <w:lang w:eastAsia="zh-CN"/>
          <w14:textFill>
            <w14:solidFill>
              <w14:schemeClr w14:val="tx1"/>
            </w14:solidFill>
          </w14:textFill>
        </w:rPr>
        <w:t>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组织指挥机构</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较大</w:t>
      </w:r>
      <w:r>
        <w:rPr>
          <w:rFonts w:hint="eastAsia" w:ascii="仿宋" w:hAnsi="仿宋" w:eastAsia="仿宋" w:cs="仿宋"/>
          <w:color w:val="000000" w:themeColor="text1"/>
          <w:spacing w:val="8"/>
          <w:sz w:val="32"/>
          <w:szCs w:val="32"/>
          <w14:textFill>
            <w14:solidFill>
              <w14:schemeClr w14:val="tx1"/>
            </w14:solidFill>
          </w14:textFill>
        </w:rPr>
        <w:t>疫苗药品和医疗器械安全突发事件发生的</w:t>
      </w:r>
      <w:r>
        <w:rPr>
          <w:rFonts w:hint="eastAsia" w:ascii="仿宋" w:hAnsi="仿宋" w:eastAsia="仿宋" w:cs="仿宋"/>
          <w:color w:val="000000" w:themeColor="text1"/>
          <w:spacing w:val="8"/>
          <w:sz w:val="32"/>
          <w:szCs w:val="32"/>
          <w:lang w:eastAsia="zh-CN"/>
          <w14:textFill>
            <w14:solidFill>
              <w14:schemeClr w14:val="tx1"/>
            </w14:solidFill>
          </w14:textFill>
        </w:rPr>
        <w:t>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lang w:val="en-US"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应在</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指挥部统一领导下，按照属地管理的原则做好事件应急处置工作。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一般疫苗药品和医疗器械安全突发事件应急处置工作由事件发生地</w:t>
      </w:r>
      <w:r>
        <w:rPr>
          <w:rFonts w:hint="eastAsia" w:ascii="仿宋" w:hAnsi="仿宋" w:eastAsia="仿宋" w:cs="仿宋"/>
          <w:color w:val="000000" w:themeColor="text1"/>
          <w:spacing w:val="8"/>
          <w:sz w:val="32"/>
          <w:szCs w:val="32"/>
          <w:lang w:eastAsia="zh-CN"/>
          <w14:textFill>
            <w14:solidFill>
              <w14:schemeClr w14:val="tx1"/>
            </w14:solidFill>
          </w14:textFill>
        </w:rPr>
        <w:t>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val="en-US"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成立相应的应急处置指挥机构，统一领导、指挥本行政区域内事件应急处置工作。</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 监测与预警</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3.1监测</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建立健全事件预警监测制度，积极开展风险分析和评估，做到“早发现、早报告、早预警、早处置”。各级</w:t>
      </w:r>
      <w:r>
        <w:rPr>
          <w:rFonts w:hint="eastAsia" w:ascii="仿宋" w:hAnsi="仿宋" w:eastAsia="仿宋" w:cs="仿宋"/>
          <w:color w:val="000000" w:themeColor="text1"/>
          <w:spacing w:val="8"/>
          <w:sz w:val="32"/>
          <w:szCs w:val="32"/>
          <w:u w:val="none"/>
          <w14:textFill>
            <w14:solidFill>
              <w14:schemeClr w14:val="tx1"/>
            </w14:solidFill>
          </w14:textFill>
        </w:rPr>
        <w:t>市场监管</w:t>
      </w:r>
      <w:r>
        <w:rPr>
          <w:rFonts w:hint="eastAsia" w:ascii="仿宋" w:hAnsi="仿宋" w:eastAsia="仿宋" w:cs="仿宋"/>
          <w:color w:val="000000" w:themeColor="text1"/>
          <w:spacing w:val="8"/>
          <w:sz w:val="32"/>
          <w:szCs w:val="32"/>
          <w14:textFill>
            <w14:solidFill>
              <w14:schemeClr w14:val="tx1"/>
            </w14:solidFill>
          </w14:textFill>
        </w:rPr>
        <w:t>部门、卫生健康主管部门以及其他有关部门按照职责分工开展疫苗药品和医疗器械质量检测、疫苗药品和医疗器械不良反应（事件）监测、预防接种异常反应监测、药物滥用监测等工作。对监督抽验、执法检查、医疗行为中发现的疫苗药品和医疗器械安全风险隐患，以及广播、电视、报刊、微信、微博、论坛等媒体上的疫苗药品和医疗器械安全热点敏感信息进行跟踪、收集、分析和研判。</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3.2 预警</w:t>
      </w:r>
    </w:p>
    <w:p>
      <w:pPr>
        <w:keepNext w:val="0"/>
        <w:keepLines w:val="0"/>
        <w:pageBreakBefore w:val="0"/>
        <w:widowControl/>
        <w:kinsoku/>
        <w:wordWrap w:val="0"/>
        <w:overflowPunct/>
        <w:topLinePunct w:val="0"/>
        <w:autoSpaceDE/>
        <w:autoSpaceDN/>
        <w:bidi w:val="0"/>
        <w:snapToGrid/>
        <w:spacing w:line="580" w:lineRule="exact"/>
        <w:ind w:firstLine="642"/>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w:t>
      </w:r>
      <w:r>
        <w:rPr>
          <w:rFonts w:hint="eastAsia" w:ascii="仿宋" w:hAnsi="仿宋" w:eastAsia="仿宋" w:cs="仿宋"/>
          <w:color w:val="000000" w:themeColor="text1"/>
          <w:spacing w:val="8"/>
          <w:sz w:val="32"/>
          <w:szCs w:val="32"/>
          <w:u w:val="none"/>
          <w14:textFill>
            <w14:solidFill>
              <w14:schemeClr w14:val="tx1"/>
            </w14:solidFill>
          </w14:textFill>
        </w:rPr>
        <w:t>市场监管</w:t>
      </w:r>
      <w:r>
        <w:rPr>
          <w:rFonts w:hint="eastAsia" w:ascii="仿宋" w:hAnsi="仿宋" w:eastAsia="仿宋" w:cs="仿宋"/>
          <w:color w:val="000000" w:themeColor="text1"/>
          <w:spacing w:val="8"/>
          <w:sz w:val="32"/>
          <w:szCs w:val="32"/>
          <w14:textFill>
            <w14:solidFill>
              <w14:schemeClr w14:val="tx1"/>
            </w14:solidFill>
          </w14:textFill>
        </w:rPr>
        <w:t>部门应根据疫苗药品和医疗器械不良反应（事件）监测等多种渠道获取的信息和数据，对辖区内事件的相关危险因素进行分析，对可能危害公众健康的风险因素、风险级别、影响范围、紧急程度和可能危害提出分析评估意见；必要时组织有关专家分析危险因素对公众健康可能造成的危害程度及发展趋势，研究确定向医药专业人士和公众发布风险提示信息和用药、用械指导信息，对可以预警的疫苗药品和医疗器械安全突发事件，根据风险分析结果进行预警，分别采取警示、通报、暂停使用等预防措施；对于容易引发社会恐慌，或者区域性系统性的重大疫苗药品和医疗器械安全信息，应强化跨地区、跨部门信息交流与风险会商，做好社会风险评估工作，并按照规定上报审批发布。</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3.3预警分级</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按照事件的紧急程度、发展态势和可能造成的危害程度分为一级、二级、三级和四级，分别用红色、橙色、黄色和蓝色标示。根据事件的后续发展和采取措施的效果，预警可以升级、降级或解除。</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一级：已发生重大疫苗药品和医疗器械安全突发事件，并有可能发生特别重大疫苗药品和医疗器械安全突发事件。</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二级：已发生较大疫苗药品和医疗器械安全突发事件，并有可能发生重大疫苗药品和医疗器械安全突发事件。</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三级：已发生一般疫苗药品和医疗器械安全突发事件，并有可能发生较大疫苗药品和医疗器械安全突发事件。</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四级：有可能发生一般疫苗药品和医疗器械安全突发事件。</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3.4预警报送</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w:t>
      </w:r>
      <w:r>
        <w:rPr>
          <w:rFonts w:hint="eastAsia" w:ascii="仿宋" w:hAnsi="仿宋" w:eastAsia="仿宋" w:cs="仿宋"/>
          <w:color w:val="000000" w:themeColor="text1"/>
          <w:spacing w:val="8"/>
          <w:sz w:val="32"/>
          <w:szCs w:val="32"/>
          <w:u w:val="none"/>
          <w14:textFill>
            <w14:solidFill>
              <w14:schemeClr w14:val="tx1"/>
            </w14:solidFill>
          </w14:textFill>
        </w:rPr>
        <w:t>市场监管</w:t>
      </w:r>
      <w:r>
        <w:rPr>
          <w:rFonts w:hint="eastAsia" w:ascii="仿宋" w:hAnsi="仿宋" w:eastAsia="仿宋" w:cs="仿宋"/>
          <w:color w:val="000000" w:themeColor="text1"/>
          <w:spacing w:val="8"/>
          <w:sz w:val="32"/>
          <w:szCs w:val="32"/>
          <w14:textFill>
            <w14:solidFill>
              <w14:schemeClr w14:val="tx1"/>
            </w14:solidFill>
          </w14:textFill>
        </w:rPr>
        <w:t>部门作出的风险评估意见，应及时向上一级</w:t>
      </w:r>
      <w:r>
        <w:rPr>
          <w:rFonts w:hint="eastAsia" w:ascii="仿宋" w:hAnsi="仿宋" w:eastAsia="仿宋" w:cs="仿宋"/>
          <w:color w:val="000000" w:themeColor="text1"/>
          <w:spacing w:val="8"/>
          <w:sz w:val="32"/>
          <w:szCs w:val="32"/>
          <w:u w:val="none"/>
          <w14:textFill>
            <w14:solidFill>
              <w14:schemeClr w14:val="tx1"/>
            </w14:solidFill>
          </w14:textFill>
        </w:rPr>
        <w:t>市场监管部门</w:t>
      </w:r>
      <w:r>
        <w:rPr>
          <w:rFonts w:hint="eastAsia" w:ascii="仿宋" w:hAnsi="仿宋" w:eastAsia="仿宋" w:cs="仿宋"/>
          <w:color w:val="000000" w:themeColor="text1"/>
          <w:spacing w:val="8"/>
          <w:sz w:val="32"/>
          <w:szCs w:val="32"/>
          <w14:textFill>
            <w14:solidFill>
              <w14:schemeClr w14:val="tx1"/>
            </w14:solidFill>
          </w14:textFill>
        </w:rPr>
        <w:t>和同级人民政府报告。</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市市场监督管理局</w:t>
      </w:r>
      <w:r>
        <w:rPr>
          <w:rFonts w:hint="eastAsia" w:ascii="仿宋" w:hAnsi="仿宋" w:eastAsia="仿宋" w:cs="仿宋"/>
          <w:color w:val="000000" w:themeColor="text1"/>
          <w:spacing w:val="8"/>
          <w:sz w:val="32"/>
          <w:szCs w:val="32"/>
          <w14:textFill>
            <w14:solidFill>
              <w14:schemeClr w14:val="tx1"/>
            </w14:solidFill>
          </w14:textFill>
        </w:rPr>
        <w:t>、</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卫生健康委等有关部门针对发现的苗头性、倾向性疫苗药品和医疗器械安全风险，应当及时进行通报，实现信息共享。根据各自职责发布风险预警信息，并通报相关部门、发生地县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做好预警防范工作。</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3.5预警发布</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人民政府根据突发事件的管理权限，适时发布预警信息。预警信息主要内容包括发布单位、事件性质、预警级别、起始时间、可能影响范围、警示事项、相关措施和发布时间。预警信息的发布、调整和解除，可通过广播、电视、报刊、手机短信、信息网络等方式进行。</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一级预警由省人民政府、国家药品监督管理局报国务院同意后，按相关规定发布。二级预警经市级人民政府和省药品监督管理局报请省人民政府同意，由省人民政府发布。三级</w:t>
      </w:r>
      <w:r>
        <w:rPr>
          <w:rFonts w:hint="eastAsia" w:ascii="仿宋" w:hAnsi="仿宋" w:eastAsia="仿宋" w:cs="仿宋"/>
          <w:color w:val="000000" w:themeColor="text1"/>
          <w:spacing w:val="8"/>
          <w:sz w:val="32"/>
          <w:szCs w:val="32"/>
          <w:u w:val="none"/>
          <w14:textFill>
            <w14:solidFill>
              <w14:schemeClr w14:val="tx1"/>
            </w14:solidFill>
          </w14:textFill>
        </w:rPr>
        <w:t>预警由市人民政府发布</w:t>
      </w:r>
      <w:r>
        <w:rPr>
          <w:rFonts w:hint="eastAsia" w:ascii="仿宋" w:hAnsi="仿宋" w:eastAsia="仿宋" w:cs="仿宋"/>
          <w:color w:val="000000" w:themeColor="text1"/>
          <w:spacing w:val="8"/>
          <w:sz w:val="32"/>
          <w:szCs w:val="32"/>
          <w:u w:val="none"/>
          <w:lang w:eastAsia="zh-CN"/>
          <w14:textFill>
            <w14:solidFill>
              <w14:schemeClr w14:val="tx1"/>
            </w14:solidFill>
          </w14:textFill>
        </w:rPr>
        <w:t>。</w:t>
      </w:r>
      <w:r>
        <w:rPr>
          <w:rFonts w:hint="eastAsia" w:ascii="仿宋" w:hAnsi="仿宋" w:eastAsia="仿宋" w:cs="仿宋"/>
          <w:color w:val="000000" w:themeColor="text1"/>
          <w:spacing w:val="8"/>
          <w:sz w:val="32"/>
          <w:szCs w:val="32"/>
          <w14:textFill>
            <w14:solidFill>
              <w14:schemeClr w14:val="tx1"/>
            </w14:solidFill>
          </w14:textFill>
        </w:rPr>
        <w:t>四级预警发布</w:t>
      </w:r>
      <w:r>
        <w:rPr>
          <w:rFonts w:hint="eastAsia" w:ascii="仿宋" w:hAnsi="仿宋" w:eastAsia="仿宋" w:cs="仿宋"/>
          <w:color w:val="000000" w:themeColor="text1"/>
          <w:spacing w:val="8"/>
          <w:sz w:val="32"/>
          <w:szCs w:val="32"/>
          <w:lang w:eastAsia="zh-CN"/>
          <w14:textFill>
            <w14:solidFill>
              <w14:schemeClr w14:val="tx1"/>
            </w14:solidFill>
          </w14:textFill>
        </w:rPr>
        <w:t>由</w:t>
      </w:r>
      <w:r>
        <w:rPr>
          <w:rFonts w:hint="eastAsia" w:ascii="仿宋" w:hAnsi="仿宋" w:eastAsia="仿宋" w:cs="仿宋"/>
          <w:color w:val="000000" w:themeColor="text1"/>
          <w:spacing w:val="8"/>
          <w:sz w:val="32"/>
          <w:szCs w:val="32"/>
          <w14:textFill>
            <w14:solidFill>
              <w14:schemeClr w14:val="tx1"/>
            </w14:solidFill>
          </w14:textFill>
        </w:rPr>
        <w:t>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参照执行。</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3.6预警行动</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人民政府发布</w:t>
      </w:r>
      <w:r>
        <w:rPr>
          <w:rFonts w:hint="eastAsia" w:ascii="仿宋" w:hAnsi="仿宋" w:eastAsia="仿宋" w:cs="仿宋"/>
          <w:color w:val="000000" w:themeColor="text1"/>
          <w:spacing w:val="8"/>
          <w:sz w:val="32"/>
          <w:szCs w:val="32"/>
          <w:u w:val="none"/>
          <w14:textFill>
            <w14:solidFill>
              <w14:schemeClr w14:val="tx1"/>
            </w14:solidFill>
          </w14:textFill>
        </w:rPr>
        <w:t>三</w:t>
      </w:r>
      <w:r>
        <w:rPr>
          <w:rFonts w:hint="eastAsia" w:ascii="仿宋" w:hAnsi="仿宋" w:eastAsia="仿宋" w:cs="仿宋"/>
          <w:color w:val="000000" w:themeColor="text1"/>
          <w:spacing w:val="8"/>
          <w:sz w:val="32"/>
          <w:szCs w:val="32"/>
          <w14:textFill>
            <w14:solidFill>
              <w14:schemeClr w14:val="tx1"/>
            </w14:solidFill>
          </w14:textFill>
        </w:rPr>
        <w:t>级预警后，根据可能发生的突发事件的特点和造成的危害，及时采取相应措施。</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（1）分析研判。</w:t>
      </w:r>
      <w:r>
        <w:rPr>
          <w:rFonts w:hint="eastAsia" w:ascii="仿宋" w:hAnsi="仿宋" w:eastAsia="仿宋" w:cs="仿宋"/>
          <w:color w:val="000000" w:themeColor="text1"/>
          <w:spacing w:val="8"/>
          <w:sz w:val="32"/>
          <w:szCs w:val="32"/>
          <w:u w:val="none"/>
          <w14:textFill>
            <w14:solidFill>
              <w14:schemeClr w14:val="tx1"/>
            </w14:solidFill>
          </w14:textFill>
        </w:rPr>
        <w:t>市市场监督管理局</w:t>
      </w:r>
      <w:r>
        <w:rPr>
          <w:rFonts w:hint="eastAsia" w:ascii="仿宋" w:hAnsi="仿宋" w:eastAsia="仿宋" w:cs="仿宋"/>
          <w:color w:val="000000" w:themeColor="text1"/>
          <w:spacing w:val="8"/>
          <w:sz w:val="32"/>
          <w:szCs w:val="32"/>
          <w14:textFill>
            <w14:solidFill>
              <w14:schemeClr w14:val="tx1"/>
            </w14:solidFill>
          </w14:textFill>
        </w:rPr>
        <w:t>组织有关部门和机构对疫苗药品和医疗器械安全信息和舆情进行收集、核查、汇总和分析研判；及时组织开展跟踪监测工作；研判事件发展趋势，经分析评估与调查核实，可能发生</w:t>
      </w:r>
      <w:r>
        <w:rPr>
          <w:rFonts w:hint="eastAsia" w:ascii="仿宋" w:hAnsi="仿宋" w:eastAsia="仿宋" w:cs="仿宋"/>
          <w:color w:val="000000" w:themeColor="text1"/>
          <w:spacing w:val="8"/>
          <w:sz w:val="32"/>
          <w:szCs w:val="32"/>
          <w:u w:val="none"/>
          <w14:textFill>
            <w14:solidFill>
              <w14:schemeClr w14:val="tx1"/>
            </w14:solidFill>
          </w14:textFill>
        </w:rPr>
        <w:t>较大</w:t>
      </w:r>
      <w:r>
        <w:rPr>
          <w:rFonts w:hint="eastAsia" w:ascii="仿宋" w:hAnsi="仿宋" w:eastAsia="仿宋" w:cs="仿宋"/>
          <w:color w:val="000000" w:themeColor="text1"/>
          <w:spacing w:val="8"/>
          <w:sz w:val="32"/>
          <w:szCs w:val="32"/>
          <w14:textFill>
            <w14:solidFill>
              <w14:schemeClr w14:val="tx1"/>
            </w14:solidFill>
          </w14:textFill>
        </w:rPr>
        <w:t>以上疫苗药品和医疗器械安全突发事件的，按本预案规定做好启动</w:t>
      </w:r>
      <w:r>
        <w:rPr>
          <w:rFonts w:hint="eastAsia" w:ascii="仿宋" w:hAnsi="仿宋" w:eastAsia="仿宋" w:cs="仿宋"/>
          <w:b/>
          <w:color w:val="000000" w:themeColor="text1"/>
          <w:spacing w:val="8"/>
          <w:sz w:val="32"/>
          <w:szCs w:val="32"/>
          <w:u w:val="none"/>
          <w14:textFill>
            <w14:solidFill>
              <w14:schemeClr w14:val="tx1"/>
            </w14:solidFill>
          </w14:textFill>
        </w:rPr>
        <w:t>Ⅲ</w:t>
      </w:r>
      <w:r>
        <w:rPr>
          <w:rFonts w:hint="eastAsia" w:ascii="仿宋" w:hAnsi="仿宋" w:eastAsia="仿宋" w:cs="仿宋"/>
          <w:color w:val="000000" w:themeColor="text1"/>
          <w:spacing w:val="8"/>
          <w:sz w:val="32"/>
          <w:szCs w:val="32"/>
          <w14:textFill>
            <w14:solidFill>
              <w14:schemeClr w14:val="tx1"/>
            </w14:solidFill>
          </w14:textFill>
        </w:rPr>
        <w:t>级应急响应准备。</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（2）防范措施。迅速采取有效防范措施，防止事件进一步蔓延扩大。利用各种渠道增加宣传频次，加强对相关疫苗药品安全以及可能存在的危害进行科普宣教，告知公众停止使用涉事疫苗药品和医疗器械。</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（3）应急准备。各有关部门、工作组、专家组、专业技术机构进入待命状态；</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指挥部办公室做好调集事件应急所需物资、装备和设备等应急保障准备工作；加强对事发地应急处置工作的指导，必要时派出工作组赶赴现场。</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（4）舆论引导。准确发布事态进展情况，组织专家对可能产生的危害进行分析、说明，加强舆情跟踪监测，主动回应社会关切，及时澄清谣言传言。</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（5）信息互通。向各成员单位及时通报预警信息。</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3.7预警调整</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各级人民政府根据事件的发展态势、处置情况和评估结果，应及时作出预警级别提升、降低和解除的调整。</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当研判可能引发事件的因素已经消除或得到有效控制，应解除</w:t>
      </w:r>
      <w:r>
        <w:rPr>
          <w:rFonts w:hint="eastAsia" w:ascii="仿宋" w:hAnsi="仿宋" w:eastAsia="仿宋" w:cs="仿宋"/>
          <w:color w:val="000000" w:themeColor="text1"/>
          <w:spacing w:val="8"/>
          <w:sz w:val="32"/>
          <w:szCs w:val="32"/>
          <w:u w:val="none"/>
          <w14:textFill>
            <w14:solidFill>
              <w14:schemeClr w14:val="tx1"/>
            </w14:solidFill>
          </w14:textFill>
        </w:rPr>
        <w:t>三</w:t>
      </w:r>
      <w:r>
        <w:rPr>
          <w:rFonts w:hint="eastAsia" w:ascii="仿宋" w:hAnsi="仿宋" w:eastAsia="仿宋" w:cs="仿宋"/>
          <w:color w:val="000000" w:themeColor="text1"/>
          <w:spacing w:val="8"/>
          <w:sz w:val="32"/>
          <w:szCs w:val="32"/>
          <w14:textFill>
            <w14:solidFill>
              <w14:schemeClr w14:val="tx1"/>
            </w14:solidFill>
          </w14:textFill>
        </w:rPr>
        <w:t>级预警，终止有关措施。决定降为</w:t>
      </w:r>
      <w:r>
        <w:rPr>
          <w:rFonts w:hint="eastAsia" w:ascii="仿宋" w:hAnsi="仿宋" w:eastAsia="仿宋" w:cs="仿宋"/>
          <w:color w:val="000000" w:themeColor="text1"/>
          <w:spacing w:val="8"/>
          <w:sz w:val="32"/>
          <w:szCs w:val="32"/>
          <w:u w:val="none"/>
          <w14:textFill>
            <w14:solidFill>
              <w14:schemeClr w14:val="tx1"/>
            </w14:solidFill>
          </w14:textFill>
        </w:rPr>
        <w:t>四</w:t>
      </w:r>
      <w:r>
        <w:rPr>
          <w:rFonts w:hint="eastAsia" w:ascii="仿宋" w:hAnsi="仿宋" w:eastAsia="仿宋" w:cs="仿宋"/>
          <w:color w:val="000000" w:themeColor="text1"/>
          <w:spacing w:val="8"/>
          <w:sz w:val="32"/>
          <w:szCs w:val="32"/>
          <w14:textFill>
            <w14:solidFill>
              <w14:schemeClr w14:val="tx1"/>
            </w14:solidFill>
          </w14:textFill>
        </w:rPr>
        <w:t>级预警的，应通知相关</w:t>
      </w:r>
      <w:r>
        <w:rPr>
          <w:rFonts w:hint="eastAsia" w:ascii="仿宋" w:hAnsi="仿宋" w:eastAsia="仿宋" w:cs="仿宋"/>
          <w:color w:val="000000" w:themeColor="text1"/>
          <w:spacing w:val="8"/>
          <w:sz w:val="32"/>
          <w:szCs w:val="32"/>
          <w:u w:val="none"/>
          <w14:textFill>
            <w14:solidFill>
              <w14:schemeClr w14:val="tx1"/>
            </w14:solidFill>
          </w14:textFill>
        </w:rPr>
        <w:t>县区市场监管</w:t>
      </w:r>
      <w:r>
        <w:rPr>
          <w:rFonts w:hint="eastAsia" w:ascii="仿宋" w:hAnsi="仿宋" w:eastAsia="仿宋" w:cs="仿宋"/>
          <w:color w:val="000000" w:themeColor="text1"/>
          <w:spacing w:val="8"/>
          <w:sz w:val="32"/>
          <w:szCs w:val="32"/>
          <w14:textFill>
            <w14:solidFill>
              <w14:schemeClr w14:val="tx1"/>
            </w14:solidFill>
          </w14:textFill>
        </w:rPr>
        <w:t>部门继续采取预警行动。三级、四级预警级别调整与解除</w:t>
      </w:r>
      <w:r>
        <w:rPr>
          <w:rFonts w:hint="eastAsia" w:ascii="仿宋" w:hAnsi="仿宋" w:eastAsia="仿宋" w:cs="仿宋"/>
          <w:color w:val="000000" w:themeColor="text1"/>
          <w:spacing w:val="8"/>
          <w:sz w:val="32"/>
          <w:szCs w:val="32"/>
          <w:u w:val="none"/>
          <w14:textFill>
            <w14:solidFill>
              <w14:schemeClr w14:val="tx1"/>
            </w14:solidFill>
          </w14:textFill>
        </w:rPr>
        <w:t>分别</w:t>
      </w:r>
      <w:r>
        <w:rPr>
          <w:rFonts w:hint="eastAsia" w:ascii="仿宋" w:hAnsi="仿宋" w:eastAsia="仿宋" w:cs="仿宋"/>
          <w:color w:val="000000" w:themeColor="text1"/>
          <w:spacing w:val="8"/>
          <w:sz w:val="32"/>
          <w:szCs w:val="32"/>
          <w14:textFill>
            <w14:solidFill>
              <w14:schemeClr w14:val="tx1"/>
            </w14:solidFill>
          </w14:textFill>
        </w:rPr>
        <w:t>由市、县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负责。</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 信息报告</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4.1 信息来源</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（1）事件发生单位与引发事件的疫苗药品和医疗器械生产、经营和使用单位报告的信息；</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（2）疫苗药品上市许可持有人、医疗器械申请人报告的信息；</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（3）各级人民政府和药品监管部门的报告；</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（4）药品和医疗器械检验机构、不良反应（事件）监测机构等疫苗药品和医疗器械安全相关技术机构监测、分析结果；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（5）公众举报信息；</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（6）媒体披露与报道信息；</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（7）国家有关部门、外省（市）向本</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通报的信息；</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（8）其他渠道来源的信息。</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4.2报告主体</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（1）发生事件的医疗卫生机构、疫苗药品上市许可持有人、医疗器械申请人，以及疫苗药品和医疗器械生产、经营、使用单位；</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（2）药品和医疗器械不良反应（事件）监测机构；</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监管部门、卫生健康主管部门；</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（4）药品和医疗器械检验检测机构。</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其他单位和个人应当向各级人民政府及有关部门报告事件及其隐患的相关信息。</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4.3 报告时限</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按照由下至上逐级报告的原则，各责任主体应及时报告事件信息，紧急情况可越级报告。特别重大、重大、较大疫苗药品和医疗器械安全突发事件应每日报告事件进展情况，重要情况随时上报。</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（1）疫苗药品上市许可持有人、医疗器械申请人，以及疫苗药品和医疗器械生产企业、经营企业，医疗机构在发现或获知事件发生后，应在2小时内向所在地</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监管部门、卫生健康主管部门报告。</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（2）接到报告的</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监管部门应在2小时内向本级人民政府和上级主管部门报告。</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监管、卫生健康、公安等部门在接到事件信息报告后，应按规定在2小时内进行相互通报。</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信息报送时限另有规定的，按有关规定执行。</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4.4 报告内容</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按照事件发生、发展、控制过程，事件信息报告分为初报、续报和终结报告。</w:t>
      </w:r>
    </w:p>
    <w:p>
      <w:pPr>
        <w:keepNext w:val="0"/>
        <w:keepLines w:val="0"/>
        <w:pageBreakBefore w:val="0"/>
        <w:widowControl/>
        <w:kinsoku/>
        <w:wordWrap w:val="0"/>
        <w:overflowPunct/>
        <w:topLinePunct w:val="0"/>
        <w:autoSpaceDE/>
        <w:autoSpaceDN/>
        <w:bidi w:val="0"/>
        <w:snapToGrid/>
        <w:spacing w:line="580" w:lineRule="exact"/>
        <w:ind w:firstLine="672" w:firstLineChars="200"/>
        <w:jc w:val="left"/>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（1）初报：初报是事发地</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监管部门在获知事件发生后报告的初始信息，内容包括：事件发生时间、地点、</w:t>
      </w:r>
      <w:r>
        <w:rPr>
          <w:rFonts w:hint="eastAsia" w:ascii="仿宋" w:hAnsi="仿宋" w:eastAsia="仿宋" w:cs="仿宋"/>
          <w:color w:val="000000" w:themeColor="text1"/>
          <w:spacing w:val="8"/>
          <w:kern w:val="0"/>
          <w:sz w:val="32"/>
          <w:szCs w:val="32"/>
          <w:shd w:val="clear" w:color="auto" w:fill="FFFFFF"/>
          <w14:textFill>
            <w14:solidFill>
              <w14:schemeClr w14:val="tx1"/>
            </w14:solidFill>
          </w14:textFill>
        </w:rPr>
        <w:t>危害范围和程度（患病人数、诊疗人数和危重人数）</w:t>
      </w:r>
      <w:r>
        <w:rPr>
          <w:rFonts w:hint="eastAsia" w:ascii="仿宋" w:hAnsi="仿宋" w:eastAsia="仿宋" w:cs="仿宋"/>
          <w:color w:val="000000" w:themeColor="text1"/>
          <w:spacing w:val="8"/>
          <w:sz w:val="32"/>
          <w:szCs w:val="32"/>
          <w14:textFill>
            <w14:solidFill>
              <w14:schemeClr w14:val="tx1"/>
            </w14:solidFill>
          </w14:textFill>
        </w:rPr>
        <w:t>、主要症状与体征；涉事产品的生产经营企业以及产品名称（批号或生产日期）；先期处置情况、接报途径、发展趋势以及其他应当报告的内容等。</w:t>
      </w:r>
    </w:p>
    <w:p>
      <w:pPr>
        <w:keepNext w:val="0"/>
        <w:keepLines w:val="0"/>
        <w:pageBreakBefore w:val="0"/>
        <w:widowControl/>
        <w:kinsoku/>
        <w:wordWrap w:val="0"/>
        <w:overflowPunct/>
        <w:topLinePunct w:val="0"/>
        <w:autoSpaceDE/>
        <w:autoSpaceDN/>
        <w:bidi w:val="0"/>
        <w:snapToGrid/>
        <w:spacing w:line="580" w:lineRule="exact"/>
        <w:ind w:firstLine="672" w:firstLineChars="200"/>
        <w:jc w:val="left"/>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（2）续报：续报是事发地</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在事件处置过程中的阶段性报告，主要内容包括：事件进展、调查处置（卫生监督学调查和流行病学调查等）情况、舆情研判、原因分析、事件影响评估、后续应对措施等信息。续报可根据事件进展多次进行，直至事件调查处理结束。</w:t>
      </w:r>
    </w:p>
    <w:p>
      <w:pPr>
        <w:keepNext w:val="0"/>
        <w:keepLines w:val="0"/>
        <w:pageBreakBefore w:val="0"/>
        <w:widowControl/>
        <w:kinsoku/>
        <w:wordWrap w:val="0"/>
        <w:overflowPunct/>
        <w:topLinePunct w:val="0"/>
        <w:autoSpaceDE/>
        <w:autoSpaceDN/>
        <w:bidi w:val="0"/>
        <w:snapToGrid/>
        <w:spacing w:line="580" w:lineRule="exact"/>
        <w:ind w:firstLine="672" w:firstLineChars="200"/>
        <w:jc w:val="left"/>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（3）终报：终报是事发地</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监管部门在事件处置结束后的总结评估报告。主要内容包括：基本情况、事件定性、</w:t>
      </w:r>
      <w:r>
        <w:rPr>
          <w:rFonts w:hint="eastAsia" w:ascii="仿宋" w:hAnsi="仿宋" w:eastAsia="仿宋" w:cs="仿宋"/>
          <w:color w:val="000000" w:themeColor="text1"/>
          <w:spacing w:val="8"/>
          <w:kern w:val="0"/>
          <w:sz w:val="32"/>
          <w:szCs w:val="32"/>
          <w:shd w:val="clear" w:color="auto" w:fill="FFFFFF"/>
          <w14:textFill>
            <w14:solidFill>
              <w14:schemeClr w14:val="tx1"/>
            </w14:solidFill>
          </w14:textFill>
        </w:rPr>
        <w:t>应对情况、</w:t>
      </w:r>
      <w:r>
        <w:rPr>
          <w:rFonts w:hint="eastAsia" w:ascii="仿宋" w:hAnsi="仿宋" w:eastAsia="仿宋" w:cs="仿宋"/>
          <w:color w:val="000000" w:themeColor="text1"/>
          <w:spacing w:val="8"/>
          <w:sz w:val="32"/>
          <w:szCs w:val="32"/>
          <w14:textFill>
            <w14:solidFill>
              <w14:schemeClr w14:val="tx1"/>
            </w14:solidFill>
          </w14:textFill>
        </w:rPr>
        <w:t>原因分析、处罚情况、责任追究（认定）等内容，并附流行病学调查报告；对事件应对处置过程中的经验和存在问题进行总结评估，并提出今后防范类似事件发生的措施和建议。终报应在事件处置结束后7个工作日内报送。</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4.5 报告途径</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初报和续报由单位分管负责同志签发后可通过电子邮箱、传真等形式报告；终报经上报单位主要负责同志签发后，以单位正式文件形式上报；报告内容涉及秘密的，应按照有关规定办理。</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5. 先期处置</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发生疫苗药品和医疗器械安全突发事件，事发地县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以及</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监管、卫生健康、公安等有关部门应当立即赶赴现场，组织开展先期处置，进行调查核实，采取必要措施防止事态扩大蔓延，并对事件危害进行风险分析评估，初步判定事件级别。</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督管理部门：依法采取必要紧急控制措施，对涉事疫苗药品和医疗器械进行查封扣押；对涉事疫苗药品和医疗器械的供货渠道、索证索票、储存验收、运输等进行调查；对涉事疫苗药品和医疗器械进行应急检验；责令疫苗药品和医疗器械生产、经营和使用单位暂停生产、经营和使用涉事疫苗药品和医疗器械，防止危害蔓延扩大；开展疫苗药品和医疗器械不良反应（事件）初步调查。</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（2）卫生健康主管部门：组织医疗卫生机构实施医疗救援，积极开展患者救治；对相关患者病历资料进行封存，对问题疫苗药品和医疗器械的使用情况进行调查。</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（3）公安部门：加强事件现场及周边区域的治安管理；对事件中涉嫌刑事犯罪的，依法开展侦办工作。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（4）新闻宣传部门：做好舆情引导和应对工作。</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 应急响应</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6.1 响应分级</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根据事件的严重程度和发展态势，按照特别重大、重大、较大和一般4个级别启动事件应急响应。</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b/>
          <w:bCs/>
          <w:color w:val="000000" w:themeColor="text1"/>
          <w:spacing w:val="8"/>
          <w:sz w:val="32"/>
          <w:szCs w:val="32"/>
          <w14:textFill>
            <w14:solidFill>
              <w14:schemeClr w14:val="tx1"/>
            </w14:solidFill>
          </w14:textFill>
        </w:rPr>
        <w:t>I</w:t>
      </w:r>
      <w:r>
        <w:rPr>
          <w:rFonts w:hint="eastAsia" w:ascii="仿宋" w:hAnsi="仿宋" w:eastAsia="仿宋" w:cs="仿宋"/>
          <w:color w:val="000000" w:themeColor="text1"/>
          <w:spacing w:val="8"/>
          <w:sz w:val="32"/>
          <w:szCs w:val="32"/>
          <w14:textFill>
            <w14:solidFill>
              <w14:schemeClr w14:val="tx1"/>
            </w14:solidFill>
          </w14:textFill>
        </w:rPr>
        <w:t>级应急响应：经评估认为符合特别重大疫苗药品和医疗器械安全突发事件标准时，省药品监督管理局提出响应建议，由省人民政府启动Ⅰ级应急响应，同时报请并在国务院指挥机构领导下开展应急处置工作。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b/>
          <w:bCs/>
          <w:color w:val="000000" w:themeColor="text1"/>
          <w:spacing w:val="8"/>
          <w:sz w:val="32"/>
          <w:szCs w:val="32"/>
          <w14:textFill>
            <w14:solidFill>
              <w14:schemeClr w14:val="tx1"/>
            </w14:solidFill>
          </w14:textFill>
        </w:rPr>
        <w:t>Ⅱ</w:t>
      </w:r>
      <w:r>
        <w:rPr>
          <w:rFonts w:hint="eastAsia" w:ascii="仿宋" w:hAnsi="仿宋" w:eastAsia="仿宋" w:cs="仿宋"/>
          <w:color w:val="000000" w:themeColor="text1"/>
          <w:spacing w:val="8"/>
          <w:sz w:val="32"/>
          <w:szCs w:val="32"/>
          <w14:textFill>
            <w14:solidFill>
              <w14:schemeClr w14:val="tx1"/>
            </w14:solidFill>
          </w14:textFill>
        </w:rPr>
        <w:t>级应急响应：经评估认为符合重大疫苗药品和医疗器械安全突发事件标准时，</w:t>
      </w:r>
      <w:r>
        <w:rPr>
          <w:rFonts w:hint="eastAsia" w:ascii="仿宋" w:hAnsi="仿宋" w:eastAsia="仿宋" w:cs="仿宋"/>
          <w:color w:val="FF0000"/>
          <w:spacing w:val="8"/>
          <w:sz w:val="32"/>
          <w:szCs w:val="32"/>
        </w:rPr>
        <w:t>事发地</w:t>
      </w:r>
      <w:r>
        <w:rPr>
          <w:rFonts w:hint="eastAsia" w:ascii="仿宋" w:hAnsi="仿宋" w:eastAsia="仿宋" w:cs="仿宋"/>
          <w:color w:val="000000" w:themeColor="text1"/>
          <w:spacing w:val="8"/>
          <w:sz w:val="32"/>
          <w:szCs w:val="32"/>
          <w14:textFill>
            <w14:solidFill>
              <w14:schemeClr w14:val="tx1"/>
            </w14:solidFill>
          </w14:textFill>
        </w:rPr>
        <w:t>市人民政府按照报告程序，向省政府及省药品监督管理局报告情况并提出事件应急响应级别建议，由省药品监督管理局组织研判，报请省政府批准启动</w:t>
      </w:r>
      <w:r>
        <w:rPr>
          <w:rFonts w:hint="eastAsia" w:ascii="仿宋" w:hAnsi="仿宋" w:eastAsia="仿宋" w:cs="仿宋"/>
          <w:b/>
          <w:bCs/>
          <w:color w:val="000000" w:themeColor="text1"/>
          <w:spacing w:val="8"/>
          <w:sz w:val="32"/>
          <w:szCs w:val="32"/>
          <w14:textFill>
            <w14:solidFill>
              <w14:schemeClr w14:val="tx1"/>
            </w14:solidFill>
          </w14:textFill>
        </w:rPr>
        <w:t>Ⅱ</w:t>
      </w:r>
      <w:r>
        <w:rPr>
          <w:rFonts w:hint="eastAsia" w:ascii="仿宋" w:hAnsi="仿宋" w:eastAsia="仿宋" w:cs="仿宋"/>
          <w:color w:val="000000" w:themeColor="text1"/>
          <w:spacing w:val="8"/>
          <w:sz w:val="32"/>
          <w:szCs w:val="32"/>
          <w14:textFill>
            <w14:solidFill>
              <w14:schemeClr w14:val="tx1"/>
            </w14:solidFill>
          </w14:textFill>
        </w:rPr>
        <w:t>级响应。在省人民政府领导下，事发地市人民政府组织实施事件应急处置，省药品监督管理局向国家药品监督管理局报告相关情况。</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b/>
          <w:bCs/>
          <w:color w:val="000000" w:themeColor="text1"/>
          <w:spacing w:val="8"/>
          <w:sz w:val="32"/>
          <w:szCs w:val="32"/>
          <w14:textFill>
            <w14:solidFill>
              <w14:schemeClr w14:val="tx1"/>
            </w14:solidFill>
          </w14:textFill>
        </w:rPr>
        <w:t>Ⅲ</w:t>
      </w:r>
      <w:r>
        <w:rPr>
          <w:rFonts w:hint="eastAsia" w:ascii="仿宋" w:hAnsi="仿宋" w:eastAsia="仿宋" w:cs="仿宋"/>
          <w:color w:val="000000" w:themeColor="text1"/>
          <w:spacing w:val="8"/>
          <w:sz w:val="32"/>
          <w:szCs w:val="32"/>
          <w14:textFill>
            <w14:solidFill>
              <w14:schemeClr w14:val="tx1"/>
            </w14:solidFill>
          </w14:textFill>
        </w:rPr>
        <w:t>级应急响应：县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经评估认为符合较大疫苗药品和医疗器械安全突发事件标准时，按照报告程序，向市人民政府及市市场监督管理局报告情况并提出事件应急响应级别建议，由市市场监督管理局组织研判，报请市人民政府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批准启动</w:t>
      </w:r>
      <w:r>
        <w:rPr>
          <w:rFonts w:hint="eastAsia" w:ascii="仿宋" w:hAnsi="仿宋" w:eastAsia="仿宋" w:cs="仿宋"/>
          <w:b/>
          <w:bCs/>
          <w:color w:val="000000" w:themeColor="text1"/>
          <w:spacing w:val="8"/>
          <w:sz w:val="32"/>
          <w:szCs w:val="32"/>
          <w14:textFill>
            <w14:solidFill>
              <w14:schemeClr w14:val="tx1"/>
            </w14:solidFill>
          </w14:textFill>
        </w:rPr>
        <w:t>Ⅲ</w:t>
      </w:r>
      <w:r>
        <w:rPr>
          <w:rFonts w:hint="eastAsia" w:ascii="仿宋" w:hAnsi="仿宋" w:eastAsia="仿宋" w:cs="仿宋"/>
          <w:color w:val="000000" w:themeColor="text1"/>
          <w:spacing w:val="8"/>
          <w:sz w:val="32"/>
          <w:szCs w:val="32"/>
          <w14:textFill>
            <w14:solidFill>
              <w14:schemeClr w14:val="tx1"/>
            </w14:solidFill>
          </w14:textFill>
        </w:rPr>
        <w:t>级响应。在市人民政府领导下，事发地县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人民政府组织实施事件应急处置，由市市场监督管理局向省药品监督管理局报告相关情况。</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b/>
          <w:bCs/>
          <w:color w:val="000000" w:themeColor="text1"/>
          <w:spacing w:val="8"/>
          <w:sz w:val="32"/>
          <w:szCs w:val="32"/>
          <w14:textFill>
            <w14:solidFill>
              <w14:schemeClr w14:val="tx1"/>
            </w14:solidFill>
          </w14:textFill>
        </w:rPr>
        <w:t>Ⅳ</w:t>
      </w:r>
      <w:r>
        <w:rPr>
          <w:rFonts w:hint="eastAsia" w:ascii="仿宋" w:hAnsi="仿宋" w:eastAsia="仿宋" w:cs="仿宋"/>
          <w:color w:val="000000" w:themeColor="text1"/>
          <w:spacing w:val="8"/>
          <w:sz w:val="32"/>
          <w:szCs w:val="32"/>
          <w14:textFill>
            <w14:solidFill>
              <w14:schemeClr w14:val="tx1"/>
            </w14:solidFill>
          </w14:textFill>
        </w:rPr>
        <w:t>级应急响应：经县</w:t>
      </w:r>
      <w:r>
        <w:rPr>
          <w:rFonts w:hint="eastAsia" w:ascii="仿宋" w:hAnsi="仿宋" w:eastAsia="仿宋" w:cs="仿宋"/>
          <w:color w:val="000000" w:themeColor="text1"/>
          <w:spacing w:val="8"/>
          <w:sz w:val="32"/>
          <w:szCs w:val="32"/>
          <w:lang w:eastAsia="zh-CN"/>
          <w14:textFill>
            <w14:solidFill>
              <w14:schemeClr w14:val="tx1"/>
            </w14:solidFill>
          </w14:textFill>
        </w:rPr>
        <w:t>区（园区）</w:t>
      </w:r>
      <w:r>
        <w:rPr>
          <w:rFonts w:hint="eastAsia" w:ascii="仿宋" w:hAnsi="仿宋" w:eastAsia="仿宋" w:cs="仿宋"/>
          <w:color w:val="000000" w:themeColor="text1"/>
          <w:spacing w:val="8"/>
          <w:sz w:val="32"/>
          <w:szCs w:val="32"/>
          <w14:textFill>
            <w14:solidFill>
              <w14:schemeClr w14:val="tx1"/>
            </w14:solidFill>
          </w14:textFill>
        </w:rPr>
        <w:t>市场监管部门评估认为符合一般疫苗药品和医疗器械安全突发事件标准时，按照报告程序，由县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市场监管部门报请县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批准启动</w:t>
      </w:r>
      <w:r>
        <w:rPr>
          <w:rFonts w:hint="eastAsia" w:ascii="仿宋" w:hAnsi="仿宋" w:eastAsia="仿宋" w:cs="仿宋"/>
          <w:b/>
          <w:bCs/>
          <w:color w:val="000000" w:themeColor="text1"/>
          <w:spacing w:val="8"/>
          <w:sz w:val="32"/>
          <w:szCs w:val="32"/>
          <w14:textFill>
            <w14:solidFill>
              <w14:schemeClr w14:val="tx1"/>
            </w14:solidFill>
          </w14:textFill>
        </w:rPr>
        <w:t>Ⅳ</w:t>
      </w:r>
      <w:r>
        <w:rPr>
          <w:rFonts w:hint="eastAsia" w:ascii="仿宋" w:hAnsi="仿宋" w:eastAsia="仿宋" w:cs="仿宋"/>
          <w:color w:val="000000" w:themeColor="text1"/>
          <w:spacing w:val="8"/>
          <w:sz w:val="32"/>
          <w:szCs w:val="32"/>
          <w14:textFill>
            <w14:solidFill>
              <w14:schemeClr w14:val="tx1"/>
            </w14:solidFill>
          </w14:textFill>
        </w:rPr>
        <w:t>级响应，组织实施事件应急处置，并向市市场监督管理局报告情况。</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监督管理局对</w:t>
      </w:r>
      <w:r>
        <w:rPr>
          <w:rFonts w:hint="eastAsia" w:ascii="仿宋" w:hAnsi="仿宋" w:eastAsia="仿宋" w:cs="仿宋"/>
          <w:b/>
          <w:bCs/>
          <w:color w:val="000000" w:themeColor="text1"/>
          <w:spacing w:val="8"/>
          <w:sz w:val="32"/>
          <w:szCs w:val="32"/>
          <w14:textFill>
            <w14:solidFill>
              <w14:schemeClr w14:val="tx1"/>
            </w14:solidFill>
          </w14:textFill>
        </w:rPr>
        <w:t>Ⅳ</w:t>
      </w:r>
      <w:r>
        <w:rPr>
          <w:rFonts w:hint="eastAsia" w:ascii="仿宋" w:hAnsi="仿宋" w:eastAsia="仿宋" w:cs="仿宋"/>
          <w:color w:val="000000" w:themeColor="text1"/>
          <w:spacing w:val="8"/>
          <w:sz w:val="32"/>
          <w:szCs w:val="32"/>
          <w14:textFill>
            <w14:solidFill>
              <w14:schemeClr w14:val="tx1"/>
            </w14:solidFill>
          </w14:textFill>
        </w:rPr>
        <w:t>级疫苗药品和医疗器械安全突发事件进行密切跟踪，必要时对应急处置工作给予指导和支持。</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6.2 响应措施</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b w:val="0"/>
          <w:bCs w:val="0"/>
          <w:color w:val="000000" w:themeColor="text1"/>
          <w:spacing w:val="8"/>
          <w:kern w:val="0"/>
          <w:sz w:val="24"/>
          <w:szCs w:val="24"/>
          <w14:textFill>
            <w14:solidFill>
              <w14:schemeClr w14:val="tx1"/>
            </w14:solidFill>
          </w14:textFill>
        </w:rPr>
      </w:pPr>
      <w:r>
        <w:rPr>
          <w:rFonts w:hint="eastAsia" w:ascii="仿宋" w:hAnsi="仿宋" w:eastAsia="仿宋" w:cs="仿宋"/>
          <w:b w:val="0"/>
          <w:bCs w:val="0"/>
          <w:color w:val="000000" w:themeColor="text1"/>
          <w:spacing w:val="8"/>
          <w:sz w:val="32"/>
          <w:szCs w:val="32"/>
          <w14:textFill>
            <w14:solidFill>
              <w14:schemeClr w14:val="tx1"/>
            </w14:solidFill>
          </w14:textFill>
        </w:rPr>
        <w:t>6.2.1</w:t>
      </w:r>
      <w:r>
        <w:rPr>
          <w:rFonts w:hint="eastAsia" w:ascii="仿宋" w:hAnsi="仿宋" w:eastAsia="仿宋" w:cs="仿宋"/>
          <w:b/>
          <w:bCs/>
          <w:color w:val="000000" w:themeColor="text1"/>
          <w:spacing w:val="8"/>
          <w:sz w:val="32"/>
          <w:szCs w:val="32"/>
          <w14:textFill>
            <w14:solidFill>
              <w14:schemeClr w14:val="tx1"/>
            </w14:solidFill>
          </w14:textFill>
        </w:rPr>
        <w:t xml:space="preserve">  </w:t>
      </w:r>
      <w:r>
        <w:rPr>
          <w:rFonts w:hint="eastAsia" w:ascii="仿宋" w:hAnsi="仿宋" w:eastAsia="仿宋" w:cs="仿宋"/>
          <w:b/>
          <w:color w:val="000000" w:themeColor="text1"/>
          <w:spacing w:val="8"/>
          <w:sz w:val="32"/>
          <w:szCs w:val="32"/>
          <w:u w:val="none"/>
          <w14:textFill>
            <w14:solidFill>
              <w14:schemeClr w14:val="tx1"/>
            </w14:solidFill>
          </w14:textFill>
        </w:rPr>
        <w:t>Ⅲ</w:t>
      </w:r>
      <w:r>
        <w:rPr>
          <w:rFonts w:hint="eastAsia" w:ascii="仿宋" w:hAnsi="仿宋" w:eastAsia="仿宋" w:cs="仿宋"/>
          <w:b w:val="0"/>
          <w:bCs w:val="0"/>
          <w:color w:val="000000" w:themeColor="text1"/>
          <w:spacing w:val="8"/>
          <w:kern w:val="0"/>
          <w:sz w:val="32"/>
          <w:szCs w:val="32"/>
          <w14:textFill>
            <w14:solidFill>
              <w14:schemeClr w14:val="tx1"/>
            </w14:solidFill>
          </w14:textFill>
        </w:rPr>
        <w:t>级应急响应</w:t>
      </w:r>
    </w:p>
    <w:p>
      <w:pPr>
        <w:keepNext w:val="0"/>
        <w:keepLines w:val="0"/>
        <w:pageBreakBefore w:val="0"/>
        <w:widowControl/>
        <w:kinsoku/>
        <w:wordWrap w:val="0"/>
        <w:overflowPunct/>
        <w:topLinePunct w:val="0"/>
        <w:autoSpaceDE/>
        <w:autoSpaceDN/>
        <w:bidi w:val="0"/>
        <w:snapToGrid/>
        <w:spacing w:line="580" w:lineRule="exact"/>
        <w:ind w:firstLine="675"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b/>
          <w:color w:val="000000" w:themeColor="text1"/>
          <w:spacing w:val="8"/>
          <w:sz w:val="32"/>
          <w:szCs w:val="32"/>
          <w:u w:val="none"/>
          <w14:textFill>
            <w14:solidFill>
              <w14:schemeClr w14:val="tx1"/>
            </w14:solidFill>
          </w14:textFill>
        </w:rPr>
        <w:t>Ⅲ</w:t>
      </w:r>
      <w:r>
        <w:rPr>
          <w:rFonts w:hint="eastAsia" w:ascii="仿宋" w:hAnsi="仿宋" w:eastAsia="仿宋" w:cs="仿宋"/>
          <w:color w:val="000000" w:themeColor="text1"/>
          <w:spacing w:val="8"/>
          <w:sz w:val="32"/>
          <w:szCs w:val="32"/>
          <w14:textFill>
            <w14:solidFill>
              <w14:schemeClr w14:val="tx1"/>
            </w14:solidFill>
          </w14:textFill>
        </w:rPr>
        <w:t>级应急响应启动后，各相关成员单位到</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指挥部指定地点集中，</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指挥部根据事发地、相关企业和单位所在地的分布情况以及事件的性质、危害程度、范围和控制情况，成立相应工作组和专家组，作出以下处置措施：</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（1）召开</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指挥部会议，研究、部署应急处置工作。指挥部办公室负责收集、分析、汇总相关事件调查情况并通知各成员单位到指定地点集中，根据事件处置需要成立相应工作组，各工作组按照职责组织开展工作。</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（2）有效利用医疗资源，组织指导医疗机构救治患者，筛查和确认可疑病例。必要时组织相关医疗专家和卫生应急队伍开展医疗救治工作，提出保护公众身体健康的措施建议，做好患者的心理援助。</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组织有关部门和监测、检验机构开展事件调查，尽快查明事件发生原因，认定事件责任，提出对责任单位、责任人的处理建议，研究提出防范措施和整改意见，并提交调查报告。对涉嫌犯罪的，及时移送公安机关依法处理。</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组织监管部门依法封存相关疫苗药品和医疗器械、原辅料及相关设施设备，待查明原因后依法处理；根据事件需要，暂停有关产品的生产、经营和使用；监督医疗机构、生产和经营单位开展封存、溯源、流向追踪和召回等工作；实施监督抽检，采取紧急控制措施防止或减轻事件危害，控制事态蔓延。</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5）指导事发地人民政府加强社会治安管理，严厉打击编造传播事件谣言、制造社会恐慌，趁机扰乱社会秩序等违法犯罪行为；加强救助患者的医疗机构、涉事生产经营单位、应急物资存放点等重点地区治安管控；密切关注社会动态，做好患者及亲属安抚、信访接访等工作，化解各类矛盾纠纷，防止发生群体性事件，维护社会稳定。</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（6）做好疫苗药品和医疗器械不良反应（事件）跟踪监测工作，检索查询国内外相关资料，汇总相关信息。</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（7）根据事件调查进展情况，适时组织召开专家组会议，及时分析、研判事件的性质及发生原因、发展趋势、严重程度和处置结果，提出处置意见、建议。</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（8）及时向社会发布相关警示信息，设立并对外公布咨询电话；密切关注社会及网络舆情，做好舆论引导工作；根据事件处置进展和需要组织新闻发布，</w:t>
      </w:r>
      <w:r>
        <w:rPr>
          <w:rFonts w:hint="eastAsia" w:ascii="仿宋" w:hAnsi="仿宋" w:eastAsia="仿宋" w:cs="仿宋"/>
          <w:color w:val="000000" w:themeColor="text1"/>
          <w:spacing w:val="8"/>
          <w:sz w:val="32"/>
          <w:szCs w:val="32"/>
          <w:u w:val="none"/>
          <w14:textFill>
            <w14:solidFill>
              <w14:schemeClr w14:val="tx1"/>
            </w14:solidFill>
          </w14:textFill>
        </w:rPr>
        <w:t>按照规定上报审批后</w:t>
      </w:r>
      <w:r>
        <w:rPr>
          <w:rFonts w:hint="eastAsia" w:ascii="仿宋" w:hAnsi="仿宋" w:eastAsia="仿宋" w:cs="仿宋"/>
          <w:color w:val="000000" w:themeColor="text1"/>
          <w:spacing w:val="8"/>
          <w:sz w:val="32"/>
          <w:szCs w:val="32"/>
          <w14:textFill>
            <w14:solidFill>
              <w14:schemeClr w14:val="tx1"/>
            </w14:solidFill>
          </w14:textFill>
        </w:rPr>
        <w:t>客观、准确地发布事件信息；开展安全使用疫苗药品和医疗器械知识宣传教育，消除公众恐慌心理。</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各工作组及专家组工作情况应及时向</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指挥部办公室报告。</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b w:val="0"/>
          <w:bCs w:val="0"/>
          <w:color w:val="000000" w:themeColor="text1"/>
          <w:spacing w:val="8"/>
          <w:kern w:val="0"/>
          <w:sz w:val="24"/>
          <w:szCs w:val="24"/>
          <w14:textFill>
            <w14:solidFill>
              <w14:schemeClr w14:val="tx1"/>
            </w14:solidFill>
          </w14:textFill>
        </w:rPr>
      </w:pPr>
      <w:r>
        <w:rPr>
          <w:rFonts w:hint="eastAsia" w:ascii="仿宋" w:hAnsi="仿宋" w:eastAsia="仿宋" w:cs="仿宋"/>
          <w:b w:val="0"/>
          <w:bCs w:val="0"/>
          <w:color w:val="000000" w:themeColor="text1"/>
          <w:spacing w:val="8"/>
          <w:sz w:val="32"/>
          <w:szCs w:val="32"/>
          <w14:textFill>
            <w14:solidFill>
              <w14:schemeClr w14:val="tx1"/>
            </w14:solidFill>
          </w14:textFill>
        </w:rPr>
        <w:t>6.2.2</w:t>
      </w:r>
      <w:r>
        <w:rPr>
          <w:rFonts w:hint="eastAsia" w:ascii="仿宋" w:hAnsi="仿宋" w:eastAsia="仿宋" w:cs="仿宋"/>
          <w:b/>
          <w:bCs/>
          <w:color w:val="000000" w:themeColor="text1"/>
          <w:spacing w:val="8"/>
          <w:sz w:val="32"/>
          <w:szCs w:val="32"/>
          <w14:textFill>
            <w14:solidFill>
              <w14:schemeClr w14:val="tx1"/>
            </w14:solidFill>
          </w14:textFill>
        </w:rPr>
        <w:t xml:space="preserve"> Ⅰ</w:t>
      </w:r>
      <w:r>
        <w:rPr>
          <w:rFonts w:hint="eastAsia" w:ascii="仿宋" w:hAnsi="仿宋" w:eastAsia="仿宋" w:cs="仿宋"/>
          <w:b/>
          <w:color w:val="000000" w:themeColor="text1"/>
          <w:spacing w:val="8"/>
          <w:sz w:val="32"/>
          <w:szCs w:val="32"/>
          <w:u w:val="none"/>
          <w14:textFill>
            <w14:solidFill>
              <w14:schemeClr w14:val="tx1"/>
            </w14:solidFill>
          </w14:textFill>
        </w:rPr>
        <w:t>、Ⅱ</w:t>
      </w:r>
      <w:r>
        <w:rPr>
          <w:rFonts w:hint="eastAsia" w:ascii="仿宋" w:hAnsi="仿宋" w:eastAsia="仿宋" w:cs="仿宋"/>
          <w:b w:val="0"/>
          <w:bCs w:val="0"/>
          <w:color w:val="000000" w:themeColor="text1"/>
          <w:spacing w:val="8"/>
          <w:sz w:val="32"/>
          <w:szCs w:val="32"/>
          <w14:textFill>
            <w14:solidFill>
              <w14:schemeClr w14:val="tx1"/>
            </w14:solidFill>
          </w14:textFill>
        </w:rPr>
        <w:t>级应急响应</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strike/>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当事件达到</w:t>
      </w:r>
      <w:r>
        <w:rPr>
          <w:rFonts w:hint="eastAsia" w:ascii="仿宋" w:hAnsi="仿宋" w:eastAsia="仿宋" w:cs="仿宋"/>
          <w:b/>
          <w:color w:val="000000" w:themeColor="text1"/>
          <w:spacing w:val="8"/>
          <w:sz w:val="32"/>
          <w:szCs w:val="32"/>
          <w14:textFill>
            <w14:solidFill>
              <w14:schemeClr w14:val="tx1"/>
            </w14:solidFill>
          </w14:textFill>
        </w:rPr>
        <w:t>Ⅰ</w:t>
      </w:r>
      <w:r>
        <w:rPr>
          <w:rFonts w:hint="eastAsia" w:ascii="仿宋" w:hAnsi="仿宋" w:eastAsia="仿宋" w:cs="仿宋"/>
          <w:b/>
          <w:color w:val="000000" w:themeColor="text1"/>
          <w:spacing w:val="8"/>
          <w:sz w:val="32"/>
          <w:szCs w:val="32"/>
          <w:u w:val="none"/>
          <w14:textFill>
            <w14:solidFill>
              <w14:schemeClr w14:val="tx1"/>
            </w14:solidFill>
          </w14:textFill>
        </w:rPr>
        <w:t>、Ⅱ</w:t>
      </w:r>
      <w:r>
        <w:rPr>
          <w:rFonts w:hint="eastAsia" w:ascii="仿宋" w:hAnsi="仿宋" w:eastAsia="仿宋" w:cs="仿宋"/>
          <w:color w:val="000000" w:themeColor="text1"/>
          <w:spacing w:val="8"/>
          <w:sz w:val="32"/>
          <w:szCs w:val="32"/>
          <w14:textFill>
            <w14:solidFill>
              <w14:schemeClr w14:val="tx1"/>
            </w14:solidFill>
          </w14:textFill>
        </w:rPr>
        <w:t>级标准，或经分析研判认为事件有进一步升级为</w:t>
      </w:r>
      <w:r>
        <w:rPr>
          <w:rFonts w:hint="eastAsia" w:ascii="仿宋" w:hAnsi="仿宋" w:eastAsia="仿宋" w:cs="仿宋"/>
          <w:b/>
          <w:color w:val="000000" w:themeColor="text1"/>
          <w:spacing w:val="8"/>
          <w:sz w:val="32"/>
          <w:szCs w:val="32"/>
          <w14:textFill>
            <w14:solidFill>
              <w14:schemeClr w14:val="tx1"/>
            </w14:solidFill>
          </w14:textFill>
        </w:rPr>
        <w:t>Ⅰ</w:t>
      </w:r>
      <w:r>
        <w:rPr>
          <w:rFonts w:hint="eastAsia" w:ascii="仿宋" w:hAnsi="仿宋" w:eastAsia="仿宋" w:cs="仿宋"/>
          <w:b/>
          <w:color w:val="000000" w:themeColor="text1"/>
          <w:spacing w:val="8"/>
          <w:sz w:val="32"/>
          <w:szCs w:val="32"/>
          <w:u w:val="none"/>
          <w14:textFill>
            <w14:solidFill>
              <w14:schemeClr w14:val="tx1"/>
            </w14:solidFill>
          </w14:textFill>
        </w:rPr>
        <w:t>、Ⅱ</w:t>
      </w:r>
      <w:r>
        <w:rPr>
          <w:rFonts w:hint="eastAsia" w:ascii="仿宋" w:hAnsi="仿宋" w:eastAsia="仿宋" w:cs="仿宋"/>
          <w:color w:val="000000" w:themeColor="text1"/>
          <w:spacing w:val="8"/>
          <w:sz w:val="32"/>
          <w:szCs w:val="32"/>
          <w14:textFill>
            <w14:solidFill>
              <w14:schemeClr w14:val="tx1"/>
            </w14:solidFill>
          </w14:textFill>
        </w:rPr>
        <w:t>级趋势时，</w:t>
      </w:r>
      <w:r>
        <w:rPr>
          <w:rFonts w:hint="eastAsia" w:ascii="仿宋" w:hAnsi="仿宋" w:eastAsia="仿宋" w:cs="仿宋"/>
          <w:color w:val="000000" w:themeColor="text1"/>
          <w:spacing w:val="8"/>
          <w:sz w:val="32"/>
          <w:szCs w:val="32"/>
          <w:u w:val="none"/>
          <w14:textFill>
            <w14:solidFill>
              <w14:schemeClr w14:val="tx1"/>
            </w14:solidFill>
          </w14:textFill>
        </w:rPr>
        <w:t>应及时向省政府及省药品监督管理局报告情况并提出事件应急响应级别建议。</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6.3 响应调整</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在事件处置过程中，应遵循事件发生、发展的客观规律，结合实际情况和处置工作需要，根据评估结果及时调整应急响应级别。</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（1）级别提升。当事件进一步加重，影响和危害有扩大蔓延趋势，情况复杂难以控制时，应当及时提升响应级别。</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当学校或托幼机构、全国性或区域性重要活动期间发生疫苗药品和医疗器械安全突发事件时，可提高响应级别，加大应急处置力度，确保迅速、有效控制事件的影响和危害。</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（2）级别降低。当事件危害或不良影响得到有效控制，经研判认为事件危害或不良影响降低到原级别评估标准以下，且无进一步蔓延趋势的，应当及时降低应急响应级别。</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6.4 响应终止</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当患者病情稳定或好转，没有新发、次发病例，引发事件的疫苗药品和医疗器械得到有效控制，事件危害已消除，经分析评估认为可终止应急响应的，应当及时终止应急响应。</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6.5 信息发布</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kern w:val="0"/>
          <w:sz w:val="32"/>
          <w:szCs w:val="32"/>
          <w14:textFill>
            <w14:solidFill>
              <w14:schemeClr w14:val="tx1"/>
            </w14:solidFill>
          </w14:textFill>
        </w:rPr>
        <w:t>事件信息发布应</w:t>
      </w:r>
      <w:r>
        <w:rPr>
          <w:rFonts w:hint="eastAsia" w:ascii="仿宋" w:hAnsi="仿宋" w:eastAsia="仿宋" w:cs="仿宋"/>
          <w:color w:val="000000" w:themeColor="text1"/>
          <w:spacing w:val="8"/>
          <w:sz w:val="32"/>
          <w:szCs w:val="32"/>
          <w14:textFill>
            <w14:solidFill>
              <w14:schemeClr w14:val="tx1"/>
            </w14:solidFill>
          </w14:textFill>
        </w:rPr>
        <w:t>坚持实事求是、及时准确、客观公正的原则，</w:t>
      </w:r>
      <w:r>
        <w:rPr>
          <w:rFonts w:hint="eastAsia" w:ascii="仿宋" w:hAnsi="仿宋" w:eastAsia="仿宋" w:cs="仿宋"/>
          <w:color w:val="000000" w:themeColor="text1"/>
          <w:spacing w:val="8"/>
          <w:sz w:val="32"/>
          <w:szCs w:val="32"/>
          <w:u w:val="none"/>
          <w14:textFill>
            <w14:solidFill>
              <w14:schemeClr w14:val="tx1"/>
            </w14:solidFill>
          </w14:textFill>
        </w:rPr>
        <w:t>按照规定上报审批后</w:t>
      </w:r>
      <w:r>
        <w:rPr>
          <w:rFonts w:hint="eastAsia" w:ascii="仿宋" w:hAnsi="仿宋" w:eastAsia="仿宋" w:cs="仿宋"/>
          <w:color w:val="000000" w:themeColor="text1"/>
          <w:spacing w:val="8"/>
          <w:kern w:val="0"/>
          <w:sz w:val="32"/>
          <w:szCs w:val="32"/>
          <w14:textFill>
            <w14:solidFill>
              <w14:schemeClr w14:val="tx1"/>
            </w14:solidFill>
          </w14:textFill>
        </w:rPr>
        <w:t>由</w:t>
      </w:r>
      <w:r>
        <w:rPr>
          <w:rFonts w:hint="eastAsia" w:ascii="仿宋" w:hAnsi="仿宋" w:eastAsia="仿宋" w:cs="仿宋"/>
          <w:color w:val="000000" w:themeColor="text1"/>
          <w:spacing w:val="8"/>
          <w:kern w:val="0"/>
          <w:sz w:val="32"/>
          <w:szCs w:val="32"/>
          <w:u w:val="none"/>
          <w14:textFill>
            <w14:solidFill>
              <w14:schemeClr w14:val="tx1"/>
            </w14:solidFill>
          </w14:textFill>
        </w:rPr>
        <w:t>市</w:t>
      </w:r>
      <w:r>
        <w:rPr>
          <w:rFonts w:hint="eastAsia" w:ascii="仿宋" w:hAnsi="仿宋" w:eastAsia="仿宋" w:cs="仿宋"/>
          <w:color w:val="000000" w:themeColor="text1"/>
          <w:spacing w:val="8"/>
          <w:kern w:val="0"/>
          <w:sz w:val="32"/>
          <w:szCs w:val="32"/>
          <w14:textFill>
            <w14:solidFill>
              <w14:schemeClr w14:val="tx1"/>
            </w14:solidFill>
          </w14:textFill>
        </w:rPr>
        <w:t>指挥部或者授权其新闻宣传组统一协调、组织报道，通过接受记者采访、召开新闻发布会等多种方式，</w:t>
      </w:r>
      <w:r>
        <w:rPr>
          <w:rFonts w:hint="eastAsia" w:ascii="仿宋" w:hAnsi="仿宋" w:eastAsia="仿宋" w:cs="仿宋"/>
          <w:color w:val="000000" w:themeColor="text1"/>
          <w:spacing w:val="8"/>
          <w:sz w:val="32"/>
          <w:szCs w:val="32"/>
          <w14:textFill>
            <w14:solidFill>
              <w14:schemeClr w14:val="tx1"/>
            </w14:solidFill>
          </w14:textFill>
        </w:rPr>
        <w:t>利用广播、电视、报纸</w:t>
      </w:r>
      <w:r>
        <w:rPr>
          <w:rFonts w:hint="eastAsia" w:ascii="仿宋" w:hAnsi="仿宋" w:eastAsia="仿宋" w:cs="仿宋"/>
          <w:color w:val="000000" w:themeColor="text1"/>
          <w:spacing w:val="8"/>
          <w:kern w:val="0"/>
          <w:sz w:val="32"/>
          <w:szCs w:val="32"/>
          <w14:textFill>
            <w14:solidFill>
              <w14:schemeClr w14:val="tx1"/>
            </w14:solidFill>
          </w14:textFill>
        </w:rPr>
        <w:t>、政府网站</w:t>
      </w:r>
      <w:r>
        <w:rPr>
          <w:rFonts w:hint="eastAsia" w:ascii="仿宋" w:hAnsi="仿宋" w:eastAsia="仿宋" w:cs="仿宋"/>
          <w:color w:val="000000" w:themeColor="text1"/>
          <w:spacing w:val="8"/>
          <w:sz w:val="32"/>
          <w:szCs w:val="32"/>
          <w14:textFill>
            <w14:solidFill>
              <w14:schemeClr w14:val="tx1"/>
            </w14:solidFill>
          </w14:textFill>
        </w:rPr>
        <w:t>、</w:t>
      </w:r>
      <w:r>
        <w:rPr>
          <w:rFonts w:hint="eastAsia" w:ascii="仿宋" w:hAnsi="仿宋" w:eastAsia="仿宋" w:cs="仿宋"/>
          <w:color w:val="000000" w:themeColor="text1"/>
          <w:spacing w:val="8"/>
          <w:kern w:val="0"/>
          <w:sz w:val="32"/>
          <w:szCs w:val="32"/>
          <w14:textFill>
            <w14:solidFill>
              <w14:schemeClr w14:val="tx1"/>
            </w14:solidFill>
          </w14:textFill>
        </w:rPr>
        <w:t>重点新闻网站、</w:t>
      </w:r>
      <w:r>
        <w:rPr>
          <w:rFonts w:hint="eastAsia" w:ascii="仿宋" w:hAnsi="仿宋" w:eastAsia="仿宋" w:cs="仿宋"/>
          <w:color w:val="000000" w:themeColor="text1"/>
          <w:spacing w:val="8"/>
          <w:sz w:val="32"/>
          <w:szCs w:val="32"/>
          <w14:textFill>
            <w14:solidFill>
              <w14:schemeClr w14:val="tx1"/>
            </w14:solidFill>
          </w14:textFill>
        </w:rPr>
        <w:t>微博、微信等多种途径，</w:t>
      </w:r>
      <w:r>
        <w:rPr>
          <w:rFonts w:hint="eastAsia" w:ascii="仿宋" w:hAnsi="仿宋" w:eastAsia="仿宋" w:cs="仿宋"/>
          <w:color w:val="000000" w:themeColor="text1"/>
          <w:spacing w:val="8"/>
          <w:kern w:val="0"/>
          <w:sz w:val="32"/>
          <w:szCs w:val="32"/>
          <w14:textFill>
            <w14:solidFill>
              <w14:schemeClr w14:val="tx1"/>
            </w14:solidFill>
          </w14:textFill>
        </w:rPr>
        <w:t>发布</w:t>
      </w:r>
      <w:r>
        <w:rPr>
          <w:rFonts w:hint="eastAsia" w:ascii="仿宋" w:hAnsi="仿宋" w:eastAsia="仿宋" w:cs="仿宋"/>
          <w:color w:val="000000" w:themeColor="text1"/>
          <w:spacing w:val="8"/>
          <w:sz w:val="32"/>
          <w:szCs w:val="32"/>
          <w14:textFill>
            <w14:solidFill>
              <w14:schemeClr w14:val="tx1"/>
            </w14:solidFill>
          </w14:textFill>
        </w:rPr>
        <w:t>事件</w:t>
      </w:r>
      <w:r>
        <w:rPr>
          <w:rFonts w:hint="eastAsia" w:ascii="仿宋" w:hAnsi="仿宋" w:eastAsia="仿宋" w:cs="仿宋"/>
          <w:color w:val="000000" w:themeColor="text1"/>
          <w:spacing w:val="8"/>
          <w:kern w:val="0"/>
          <w:sz w:val="32"/>
          <w:szCs w:val="32"/>
          <w14:textFill>
            <w14:solidFill>
              <w14:schemeClr w14:val="tx1"/>
            </w14:solidFill>
          </w14:textFill>
        </w:rPr>
        <w:t>及应急处置</w:t>
      </w:r>
      <w:r>
        <w:rPr>
          <w:rFonts w:hint="eastAsia" w:ascii="仿宋" w:hAnsi="仿宋" w:eastAsia="仿宋" w:cs="仿宋"/>
          <w:color w:val="000000" w:themeColor="text1"/>
          <w:spacing w:val="8"/>
          <w:sz w:val="32"/>
          <w:szCs w:val="32"/>
          <w14:textFill>
            <w14:solidFill>
              <w14:schemeClr w14:val="tx1"/>
            </w14:solidFill>
          </w14:textFill>
        </w:rPr>
        <w:t>工作</w:t>
      </w:r>
      <w:r>
        <w:rPr>
          <w:rFonts w:hint="eastAsia" w:ascii="仿宋" w:hAnsi="仿宋" w:eastAsia="仿宋" w:cs="仿宋"/>
          <w:color w:val="000000" w:themeColor="text1"/>
          <w:spacing w:val="8"/>
          <w:kern w:val="0"/>
          <w:sz w:val="32"/>
          <w:szCs w:val="32"/>
          <w14:textFill>
            <w14:solidFill>
              <w14:schemeClr w14:val="tx1"/>
            </w14:solidFill>
          </w14:textFill>
        </w:rPr>
        <w:t>情况，</w:t>
      </w:r>
      <w:r>
        <w:rPr>
          <w:rFonts w:hint="eastAsia" w:ascii="仿宋" w:hAnsi="仿宋" w:eastAsia="仿宋" w:cs="仿宋"/>
          <w:color w:val="000000" w:themeColor="text1"/>
          <w:spacing w:val="8"/>
          <w:sz w:val="32"/>
          <w:szCs w:val="32"/>
          <w14:textFill>
            <w14:solidFill>
              <w14:schemeClr w14:val="tx1"/>
            </w14:solidFill>
          </w14:textFill>
        </w:rPr>
        <w:t>回应社会关切，澄清不实信息，正确引导舆论。</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较大、一般疫苗药品和医疗器械安全突发事件信息发布按照有关规定执行。</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 后期处置</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7.1 善后处置</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事件的善后处置主要包括人员安置、补偿，征用物资及运输工具补偿；应急处置及医疗机构垫付费用、事件受害者后续治疗费用、产品抽样及检验费用的及时拨付；污染物收集、清理与处理；涉及</w:t>
      </w:r>
      <w:r>
        <w:rPr>
          <w:rFonts w:hint="eastAsia" w:ascii="仿宋" w:hAnsi="仿宋" w:eastAsia="仿宋" w:cs="仿宋"/>
          <w:color w:val="000000" w:themeColor="text1"/>
          <w:spacing w:val="8"/>
          <w:sz w:val="32"/>
          <w:szCs w:val="32"/>
          <w:u w:val="none"/>
          <w14:textFill>
            <w14:solidFill>
              <w14:schemeClr w14:val="tx1"/>
            </w14:solidFill>
          </w14:textFill>
        </w:rPr>
        <w:t>市外</w:t>
      </w:r>
      <w:r>
        <w:rPr>
          <w:rFonts w:hint="eastAsia" w:ascii="仿宋" w:hAnsi="仿宋" w:eastAsia="仿宋" w:cs="仿宋"/>
          <w:color w:val="000000" w:themeColor="text1"/>
          <w:spacing w:val="8"/>
          <w:sz w:val="32"/>
          <w:szCs w:val="32"/>
          <w14:textFill>
            <w14:solidFill>
              <w14:schemeClr w14:val="tx1"/>
            </w14:solidFill>
          </w14:textFill>
        </w:rPr>
        <w:t>的有关善后处置工作等。</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（1）事发地人民政府及有关部门应积极做好善后处置工作，尽快妥善安置、慰问受害和受影响人员，消除事件影响，恢复正常秩序，确保社会稳定；完善相关政策，促进行业健康发展。</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（2）事件的责任单位和责任人应当按照有关规定对受害人给予赔偿或补偿。</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7.2 总结评估</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事件处置工作结束后，</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指挥部办公室应当及时组织相关部门、工作组进行评估，总结经验教训，分析事件原因和影响因素，评估应急处置工作开展情况和效果，提出对类似事件的防范和处置建议，形成总结评估报告。</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7.3 奖惩</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在事件应急处置工作中，对作出突出贡献的集体和个人，应按照有关规定给予表彰和奖励。</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对隐瞒、谎报、缓报疫苗药品和医疗器械安全突发事件的，或者在事件处置过程中有玩忽职守、失职、渎职等行为的，按照有关规定，由监察机关依法追究有关责任单位或责任人的责任。</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 应急保障</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8.1 队伍保障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强化应急处置专业队伍能力建设，各级人民政府适时组织开展应急培训和演练，提高事件快速响应和应急处置能力。疫苗药品和医疗器械安全应急处置专业队伍及其他相关应急队伍应当积极参加事件应对工作。应当充分发挥应急处置专家队伍作用，为事件应急处置制订方案、评估危害等工作提供咨询建议。</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8.2 信息保障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监督管理局应会同</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政府有关部门充分利用大数据技术，疫苗药品和医疗器械不良反应（事件）监测、疫苗预防接种异常反应、药物滥用监测、疫苗药品和医疗器械检验检测、审核查验、投诉举报等疫苗药品和医疗器械安全信息与热点敏感信息进行采集、监测和分析。各级</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监管部门应当充分发挥协管员、信息员和志愿者的作用，畅通信息报告渠道，确保事件信息及时收集、报送。</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8.3 医疗保障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卫生健康主管部门应当发挥应急医疗救治体系的作用，在事件造成人员伤害时，及时组织开展医疗救治工作。</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8.4 技术保障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政府有关部门应当提高事件监测、预警、预防和应急检验检测等技术水平，促进交流与合作，为事件应急处置提供技术保障。</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8.5 后勤保障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人民政府应当对事件应急处置所需设施、设备和物资的储备与调用提供有效的保障，提供应急处置资金，所需经费列入同级财政预算；建立应急装备、物资储备体系，并做好应急装备、物资储备使用后的补充。</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8.6 社会动员保障</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各级人民政府应当根据事件应急处置的需要，动员和组织社会力量协助参与应急处置工作；必要时，依法征用企业及个人物资。在应急处置中动用社会力量或企业、个人物资的，应当及时归还或给予补偿。</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9. 日常管理</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9.1 宣教培训</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卫生健康等有关部门应当对监管人员、疫苗药品上市许可持有人、医疗器械申请人、疫苗药品和医疗器械生产经营者、医疗卫生人员及社会公众开展应急知识宣传、教育与培训，增强应急责任意识，提高公众的风险意识和防范能力。</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9.2 应急演练</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级人民政府和有关部门要按照“统一规划、分类实施、分级负责、突出重点、适应需求”的原则，采取定期与不定期相结合的方式，组织开展应急演练，检验和强化应急响应和应急处置能力，及时对应急演练进行总结评估，完善应急处置措施。</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 附则</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10.1 预案管理与更新</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预案实施后，</w:t>
      </w: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监督管理局应当结合应急工作实际，会同有关部门组织预案宣传、培训和演练。出现新情况、新问题时，应当及时组织修订本预案，报</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政府批准后实施。</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各县</w:t>
      </w:r>
      <w:r>
        <w:rPr>
          <w:rFonts w:hint="eastAsia" w:ascii="仿宋" w:hAnsi="仿宋" w:eastAsia="仿宋" w:cs="仿宋"/>
          <w:color w:val="000000" w:themeColor="text1"/>
          <w:spacing w:val="8"/>
          <w:sz w:val="32"/>
          <w:szCs w:val="32"/>
          <w:u w:val="none"/>
          <w14:textFill>
            <w14:solidFill>
              <w14:schemeClr w14:val="tx1"/>
            </w14:solidFill>
          </w14:textFill>
        </w:rPr>
        <w:t>区</w:t>
      </w:r>
      <w:r>
        <w:rPr>
          <w:rFonts w:hint="eastAsia" w:ascii="仿宋" w:hAnsi="仿宋" w:eastAsia="仿宋" w:cs="仿宋"/>
          <w:color w:val="000000" w:themeColor="text1"/>
          <w:spacing w:val="8"/>
          <w:sz w:val="32"/>
          <w:szCs w:val="32"/>
          <w14:textFill>
            <w14:solidFill>
              <w14:schemeClr w14:val="tx1"/>
            </w14:solidFill>
          </w14:textFill>
        </w:rPr>
        <w:t>人民政府</w:t>
      </w:r>
      <w:r>
        <w:rPr>
          <w:rFonts w:hint="eastAsia" w:ascii="仿宋" w:hAnsi="仿宋" w:eastAsia="仿宋" w:cs="仿宋"/>
          <w:color w:val="000000" w:themeColor="text1"/>
          <w:spacing w:val="8"/>
          <w:sz w:val="32"/>
          <w:szCs w:val="32"/>
          <w:lang w:eastAsia="zh-CN"/>
          <w14:textFill>
            <w14:solidFill>
              <w14:schemeClr w14:val="tx1"/>
            </w14:solidFill>
          </w14:textFill>
        </w:rPr>
        <w:t>（园区）</w:t>
      </w:r>
      <w:r>
        <w:rPr>
          <w:rFonts w:hint="eastAsia" w:ascii="仿宋" w:hAnsi="仿宋" w:eastAsia="仿宋" w:cs="仿宋"/>
          <w:color w:val="000000" w:themeColor="text1"/>
          <w:spacing w:val="8"/>
          <w:sz w:val="32"/>
          <w:szCs w:val="32"/>
          <w14:textFill>
            <w14:solidFill>
              <w14:schemeClr w14:val="tx1"/>
            </w14:solidFill>
          </w14:textFill>
        </w:rPr>
        <w:t>应参照本预案，结合当地实际，制定或修订疫苗药品和医疗器械安全突发事件应急预案，预案对事件的分级应当与《国家药品监督管理局药品和医疗器械安全突发事件应急预案(试行)》保持一致，并报上一级人民政府和</w:t>
      </w:r>
      <w:r>
        <w:rPr>
          <w:rFonts w:hint="eastAsia" w:ascii="仿宋" w:hAnsi="仿宋" w:eastAsia="仿宋" w:cs="仿宋"/>
          <w:color w:val="000000" w:themeColor="text1"/>
          <w:spacing w:val="8"/>
          <w:sz w:val="32"/>
          <w:szCs w:val="32"/>
          <w:u w:val="none"/>
          <w14:textFill>
            <w14:solidFill>
              <w14:schemeClr w14:val="tx1"/>
            </w14:solidFill>
          </w14:textFill>
        </w:rPr>
        <w:t>市场</w:t>
      </w:r>
      <w:r>
        <w:rPr>
          <w:rFonts w:hint="eastAsia" w:ascii="仿宋" w:hAnsi="仿宋" w:eastAsia="仿宋" w:cs="仿宋"/>
          <w:color w:val="000000" w:themeColor="text1"/>
          <w:spacing w:val="8"/>
          <w:sz w:val="32"/>
          <w:szCs w:val="32"/>
          <w14:textFill>
            <w14:solidFill>
              <w14:schemeClr w14:val="tx1"/>
            </w14:solidFill>
          </w14:textFill>
        </w:rPr>
        <w:t>监管部门备案。</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10.2预案解释</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本预案由</w:t>
      </w: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监督管理局负责解释。</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10.3 化妆品安全突发事件应急处置工作</w:t>
      </w:r>
    </w:p>
    <w:p>
      <w:pPr>
        <w:keepNext w:val="0"/>
        <w:keepLines w:val="0"/>
        <w:pageBreakBefore w:val="0"/>
        <w:widowControl/>
        <w:kinsoku/>
        <w:wordWrap w:val="0"/>
        <w:overflowPunct/>
        <w:topLinePunct w:val="0"/>
        <w:autoSpaceDE/>
        <w:autoSpaceDN/>
        <w:bidi w:val="0"/>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化妆品安全突发事件应急处置和化妆品安全事件分级标准参照本预案执行。</w:t>
      </w:r>
    </w:p>
    <w:p>
      <w:pPr>
        <w:keepNext w:val="0"/>
        <w:keepLines w:val="0"/>
        <w:pageBreakBefore w:val="0"/>
        <w:widowControl/>
        <w:kinsoku/>
        <w:wordWrap w:val="0"/>
        <w:overflowPunct/>
        <w:topLinePunct w:val="0"/>
        <w:autoSpaceDE/>
        <w:autoSpaceDN/>
        <w:bidi w:val="0"/>
        <w:snapToGrid/>
        <w:spacing w:line="580" w:lineRule="exact"/>
        <w:ind w:firstLine="658" w:firstLineChars="196"/>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10.4 预案实施</w:t>
      </w: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strike/>
          <w:color w:val="000000" w:themeColor="text1"/>
          <w:spacing w:val="8"/>
          <w:sz w:val="32"/>
          <w:szCs w:val="32"/>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本预案自发布之日起施行。《淮南市人民政府办公室关于印发淮南市药品和医疗器械突发性群体不良事件应急预案的通知》（淮府办秘〔2017〕108 号）同时废止。</w:t>
      </w:r>
    </w:p>
    <w:p>
      <w:pPr>
        <w:keepNext w:val="0"/>
        <w:keepLines w:val="0"/>
        <w:pageBreakBefore w:val="0"/>
        <w:widowControl/>
        <w:kinsoku/>
        <w:wordWrap w:val="0"/>
        <w:overflowPunct/>
        <w:topLinePunct w:val="0"/>
        <w:autoSpaceDE/>
        <w:autoSpaceDN/>
        <w:bidi w:val="0"/>
        <w:snapToGrid/>
        <w:spacing w:line="580" w:lineRule="exact"/>
        <w:ind w:firstLine="480"/>
        <w:textAlignment w:val="auto"/>
        <w:rPr>
          <w:rFonts w:hint="eastAsia" w:ascii="仿宋" w:hAnsi="仿宋" w:eastAsia="仿宋" w:cs="仿宋"/>
          <w:color w:val="000000" w:themeColor="text1"/>
          <w:spacing w:val="8"/>
          <w:kern w:val="0"/>
          <w:sz w:val="24"/>
          <w:szCs w:val="24"/>
          <w14:textFill>
            <w14:solidFill>
              <w14:schemeClr w14:val="tx1"/>
            </w14:solidFill>
          </w14:textFill>
        </w:rPr>
      </w:pPr>
    </w:p>
    <w:p>
      <w:pPr>
        <w:keepNext w:val="0"/>
        <w:keepLines w:val="0"/>
        <w:pageBreakBefore w:val="0"/>
        <w:widowControl/>
        <w:kinsoku/>
        <w:wordWrap w:val="0"/>
        <w:overflowPunct/>
        <w:topLinePunct w:val="0"/>
        <w:autoSpaceDE/>
        <w:autoSpaceDN/>
        <w:bidi w:val="0"/>
        <w:snapToGrid/>
        <w:spacing w:line="580" w:lineRule="exact"/>
        <w:ind w:firstLine="64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附件：1．疫苗药品和医疗器械安全突发事件分级标准和响应规定</w:t>
      </w:r>
    </w:p>
    <w:p>
      <w:pPr>
        <w:keepNext w:val="0"/>
        <w:keepLines w:val="0"/>
        <w:pageBreakBefore w:val="0"/>
        <w:widowControl/>
        <w:kinsoku/>
        <w:wordWrap w:val="0"/>
        <w:overflowPunct/>
        <w:topLinePunct w:val="0"/>
        <w:autoSpaceDE/>
        <w:autoSpaceDN/>
        <w:bidi w:val="0"/>
        <w:snapToGrid/>
        <w:spacing w:line="580" w:lineRule="exact"/>
        <w:ind w:firstLine="1669" w:firstLineChars="497"/>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指挥部工作组分组及职责</w:t>
      </w:r>
    </w:p>
    <w:p>
      <w:pPr>
        <w:widowControl/>
        <w:wordWrap w:val="0"/>
        <w:spacing w:line="500" w:lineRule="exac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Cs w:val="21"/>
          <w14:textFill>
            <w14:solidFill>
              <w14:schemeClr w14:val="tx1"/>
            </w14:solidFill>
          </w14:textFill>
        </w:rPr>
        <w:br w:type="page"/>
      </w:r>
      <w:r>
        <w:rPr>
          <w:rFonts w:hint="eastAsia" w:ascii="仿宋" w:hAnsi="仿宋" w:eastAsia="仿宋" w:cs="仿宋"/>
          <w:color w:val="000000" w:themeColor="text1"/>
          <w:spacing w:val="8"/>
          <w:sz w:val="32"/>
          <w:szCs w:val="32"/>
          <w14:textFill>
            <w14:solidFill>
              <w14:schemeClr w14:val="tx1"/>
            </w14:solidFill>
          </w14:textFill>
        </w:rPr>
        <w:t>附件1</w:t>
      </w:r>
    </w:p>
    <w:p>
      <w:pPr>
        <w:widowControl/>
        <w:wordWrap w:val="0"/>
        <w:spacing w:line="62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p>
    <w:p>
      <w:pPr>
        <w:widowControl/>
        <w:wordWrap w:val="0"/>
        <w:spacing w:line="62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44"/>
          <w:szCs w:val="44"/>
          <w14:textFill>
            <w14:solidFill>
              <w14:schemeClr w14:val="tx1"/>
            </w14:solidFill>
          </w14:textFill>
        </w:rPr>
        <w:t>疫苗药品和医疗器械安全突发事件</w:t>
      </w:r>
    </w:p>
    <w:p>
      <w:pPr>
        <w:widowControl/>
        <w:wordWrap w:val="0"/>
        <w:spacing w:line="62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44"/>
          <w:szCs w:val="44"/>
          <w14:textFill>
            <w14:solidFill>
              <w14:schemeClr w14:val="tx1"/>
            </w14:solidFill>
          </w14:textFill>
        </w:rPr>
        <w:t>分级标准和响应规定</w:t>
      </w:r>
    </w:p>
    <w:p>
      <w:pPr>
        <w:widowControl/>
        <w:wordWrap w:val="0"/>
        <w:spacing w:line="62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p>
    <w:tbl>
      <w:tblPr>
        <w:tblStyle w:val="4"/>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6960"/>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级别</w:t>
            </w:r>
          </w:p>
        </w:tc>
        <w:tc>
          <w:tcPr>
            <w:tcW w:w="6960" w:type="dxa"/>
            <w:tcBorders>
              <w:top w:val="single" w:color="auto" w:sz="4" w:space="0"/>
              <w:left w:val="nil"/>
              <w:bottom w:val="single" w:color="auto" w:sz="4" w:space="0"/>
              <w:right w:val="single" w:color="auto" w:sz="4" w:space="0"/>
            </w:tcBorders>
            <w:vAlign w:val="center"/>
          </w:tcPr>
          <w:p>
            <w:pPr>
              <w:widowControl/>
              <w:spacing w:line="400" w:lineRule="exact"/>
              <w:ind w:firstLine="480"/>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标准</w:t>
            </w:r>
          </w:p>
        </w:tc>
        <w:tc>
          <w:tcPr>
            <w:tcW w:w="13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响应级别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7"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特别重大疫苗药品和医疗器械安全事件</w:t>
            </w:r>
          </w:p>
        </w:tc>
        <w:tc>
          <w:tcPr>
            <w:tcW w:w="696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1．在相对集中的时间和（或）区域内，批号相对集中的同一药品、医疗器械（指同一生产企业生产的同一名称、同一剂型、同一规格的药品、医疗器械，下同）引起临床表现相似的，且罕见的或非预期的不良事件的人数超过50人，疫苗超过20人；或者引起特别严重不良事件（可能对人体造成永久性伤残、对器官功能造成永久性损伤或危及生命的，下同）的人数超过10人，疫苗超过5人，疑似与质量相关的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2．同一批号疫苗药品和医疗器械短期内引起5例以上患者死亡。</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3．短期内2个以上省（自治区、直辖市，其中包括我省）因同一疫苗药品、医疗器械发生</w:t>
            </w:r>
            <w:r>
              <w:rPr>
                <w:rFonts w:hint="eastAsia" w:ascii="仿宋" w:hAnsi="仿宋" w:eastAsia="仿宋" w:cs="仿宋"/>
                <w:b/>
                <w:bCs/>
                <w:color w:val="000000" w:themeColor="text1"/>
                <w:spacing w:val="8"/>
                <w:sz w:val="24"/>
                <w:szCs w:val="24"/>
                <w14:textFill>
                  <w14:solidFill>
                    <w14:schemeClr w14:val="tx1"/>
                  </w14:solidFill>
                </w14:textFill>
              </w:rPr>
              <w:t>Ⅱ</w:t>
            </w:r>
            <w:r>
              <w:rPr>
                <w:rFonts w:hint="eastAsia" w:ascii="仿宋" w:hAnsi="仿宋" w:eastAsia="仿宋" w:cs="仿宋"/>
                <w:color w:val="000000" w:themeColor="text1"/>
                <w:spacing w:val="8"/>
                <w:sz w:val="24"/>
                <w:szCs w:val="24"/>
                <w14:textFill>
                  <w14:solidFill>
                    <w14:schemeClr w14:val="tx1"/>
                  </w14:solidFill>
                </w14:textFill>
              </w:rPr>
              <w:t>级疫苗药品和医疗器械安全突发事件。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4．国务院认定的其他特别重大疫苗药品和医疗器械安全突发事件。</w:t>
            </w:r>
          </w:p>
        </w:tc>
        <w:tc>
          <w:tcPr>
            <w:tcW w:w="139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省级人民政府启动Ⅰ级响应，同时报请并在国务院指挥机构领导或指导协调下开展处置工作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重大疫苗药品和医疗器械安全事件</w:t>
            </w:r>
          </w:p>
        </w:tc>
        <w:tc>
          <w:tcPr>
            <w:tcW w:w="696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1．在相对集中的时间和（或）区域内，批号相对集中的同一药品、医疗器械引起临床表现相似的，且罕见的或非预期的不良事件的人数超过30人，不多于50人。疫苗超过10人，不多于20人；或者引起特别严重不良事件，涉及人数超过5人。疫苗超过3人，不多于5人，疑似与质量相关的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2．同一批号药品、医疗器械短期内引起至少2例患者死亡，且在同一区域内同时出现其他类似病例。</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3．短期内，我省2个以上设区的市因同一疫苗药品或医疗器械发生</w:t>
            </w:r>
            <w:r>
              <w:rPr>
                <w:rFonts w:hint="eastAsia" w:ascii="仿宋" w:hAnsi="仿宋" w:eastAsia="仿宋" w:cs="仿宋"/>
                <w:b/>
                <w:bCs/>
                <w:color w:val="000000" w:themeColor="text1"/>
                <w:spacing w:val="8"/>
                <w:sz w:val="24"/>
                <w:szCs w:val="24"/>
                <w14:textFill>
                  <w14:solidFill>
                    <w14:schemeClr w14:val="tx1"/>
                  </w14:solidFill>
                </w14:textFill>
              </w:rPr>
              <w:t>Ⅲ</w:t>
            </w:r>
            <w:r>
              <w:rPr>
                <w:rFonts w:hint="eastAsia" w:ascii="仿宋" w:hAnsi="仿宋" w:eastAsia="仿宋" w:cs="仿宋"/>
                <w:color w:val="000000" w:themeColor="text1"/>
                <w:spacing w:val="8"/>
                <w:sz w:val="24"/>
                <w:szCs w:val="24"/>
                <w14:textFill>
                  <w14:solidFill>
                    <w14:schemeClr w14:val="tx1"/>
                  </w14:solidFill>
                </w14:textFill>
              </w:rPr>
              <w:t>级疫苗药品和医疗器械安全突发事件。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4．省级以上人民政府认定的其他重大疫苗药品和医疗器械安全突发事件。</w:t>
            </w:r>
          </w:p>
        </w:tc>
        <w:tc>
          <w:tcPr>
            <w:tcW w:w="13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省级人民政府启动</w:t>
            </w:r>
            <w:r>
              <w:rPr>
                <w:rFonts w:hint="eastAsia" w:ascii="仿宋" w:hAnsi="仿宋" w:eastAsia="仿宋" w:cs="仿宋"/>
                <w:b/>
                <w:bCs/>
                <w:color w:val="000000" w:themeColor="text1"/>
                <w:spacing w:val="8"/>
                <w:sz w:val="24"/>
                <w:szCs w:val="24"/>
                <w14:textFill>
                  <w14:solidFill>
                    <w14:schemeClr w14:val="tx1"/>
                  </w14:solidFill>
                </w14:textFill>
              </w:rPr>
              <w:t>Ⅱ</w:t>
            </w:r>
            <w:r>
              <w:rPr>
                <w:rFonts w:hint="eastAsia" w:ascii="仿宋" w:hAnsi="仿宋" w:eastAsia="仿宋" w:cs="仿宋"/>
                <w:color w:val="000000" w:themeColor="text1"/>
                <w:spacing w:val="8"/>
                <w:sz w:val="24"/>
                <w:szCs w:val="24"/>
                <w14:textFill>
                  <w14:solidFill>
                    <w14:schemeClr w14:val="tx1"/>
                  </w14:solidFill>
                </w14:textFill>
              </w:rPr>
              <w:t>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较大疫苗药品和医疗器械安全事件</w:t>
            </w:r>
          </w:p>
        </w:tc>
        <w:tc>
          <w:tcPr>
            <w:tcW w:w="696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1．在相对集中的时间和（或）区域内，批号相对集中的同一药品、医疗器械引起临床表现相似的，且罕见的或非预期的不良事件的人数超过20人，不多于30人；疫苗超过5人，不多于10人。或者引起特别严重不良事件，涉及人数超过3人；疫苗超过2人，疑似与质量相关的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2．同一批号疫苗引起1例患者死亡，疑似与质量相关的事件。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3．短期内，1个设区的市内2个以上县因同一疫苗药品和医疗器械发生</w:t>
            </w:r>
            <w:r>
              <w:rPr>
                <w:rFonts w:hint="eastAsia" w:ascii="仿宋" w:hAnsi="仿宋" w:eastAsia="仿宋" w:cs="仿宋"/>
                <w:b/>
                <w:bCs/>
                <w:color w:val="000000" w:themeColor="text1"/>
                <w:spacing w:val="8"/>
                <w:sz w:val="24"/>
                <w:szCs w:val="24"/>
                <w14:textFill>
                  <w14:solidFill>
                    <w14:schemeClr w14:val="tx1"/>
                  </w14:solidFill>
                </w14:textFill>
              </w:rPr>
              <w:t>Ⅳ</w:t>
            </w:r>
            <w:r>
              <w:rPr>
                <w:rFonts w:hint="eastAsia" w:ascii="仿宋" w:hAnsi="仿宋" w:eastAsia="仿宋" w:cs="仿宋"/>
                <w:color w:val="000000" w:themeColor="text1"/>
                <w:spacing w:val="8"/>
                <w:sz w:val="24"/>
                <w:szCs w:val="24"/>
                <w14:textFill>
                  <w14:solidFill>
                    <w14:schemeClr w14:val="tx1"/>
                  </w14:solidFill>
                </w14:textFill>
              </w:rPr>
              <w:t>级疫苗药品安全突发事件。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4．市级以上人民政府认定的其他较大疫苗药品和医疗器械安全突发事件。</w:t>
            </w:r>
          </w:p>
        </w:tc>
        <w:tc>
          <w:tcPr>
            <w:tcW w:w="13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市级人民政府启动</w:t>
            </w:r>
            <w:r>
              <w:rPr>
                <w:rFonts w:hint="eastAsia" w:ascii="仿宋" w:hAnsi="仿宋" w:eastAsia="仿宋" w:cs="仿宋"/>
                <w:b/>
                <w:bCs/>
                <w:color w:val="000000" w:themeColor="text1"/>
                <w:spacing w:val="8"/>
                <w:sz w:val="24"/>
                <w:szCs w:val="24"/>
                <w14:textFill>
                  <w14:solidFill>
                    <w14:schemeClr w14:val="tx1"/>
                  </w14:solidFill>
                </w14:textFill>
              </w:rPr>
              <w:t>Ⅲ</w:t>
            </w:r>
            <w:r>
              <w:rPr>
                <w:rFonts w:hint="eastAsia" w:ascii="仿宋" w:hAnsi="仿宋" w:eastAsia="仿宋" w:cs="仿宋"/>
                <w:color w:val="000000" w:themeColor="text1"/>
                <w:spacing w:val="8"/>
                <w:sz w:val="24"/>
                <w:szCs w:val="24"/>
                <w14:textFill>
                  <w14:solidFill>
                    <w14:schemeClr w14:val="tx1"/>
                  </w14:solidFill>
                </w14:textFill>
              </w:rPr>
              <w:t>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一般疫苗药品和医疗器械安全事件</w:t>
            </w:r>
          </w:p>
        </w:tc>
        <w:tc>
          <w:tcPr>
            <w:tcW w:w="696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1．在相对集中的时间和（或）区域内，批号相对集中的同一药品和医疗器械引起临床表现相似的，且罕见的或非预期的不良事件的人数超过10人，不多于20人；疫苗超过3人，不多于5人。或者引起特别严重不良事件，涉及人数超过2人，疫苗超过1人，疑似与质量相关的事件。</w:t>
            </w:r>
          </w:p>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2．县级以上人民政府认定的其他一般疫苗药品和医疗器械安全突发事件。</w:t>
            </w:r>
          </w:p>
        </w:tc>
        <w:tc>
          <w:tcPr>
            <w:tcW w:w="139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县级人民政府启动Ⅳ级响应</w:t>
            </w:r>
          </w:p>
        </w:tc>
      </w:tr>
    </w:tbl>
    <w:p>
      <w:pPr>
        <w:widowControl/>
        <w:wordWrap w:val="0"/>
        <w:spacing w:line="500" w:lineRule="exac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24"/>
          <w:szCs w:val="24"/>
          <w14:textFill>
            <w14:solidFill>
              <w14:schemeClr w14:val="tx1"/>
            </w14:solidFill>
          </w14:textFill>
        </w:rPr>
        <w:t>注：本预案有关数量的表述中，“以上”“超过”含本数，“以下”不含本数。</w:t>
      </w:r>
    </w:p>
    <w:p>
      <w:pPr>
        <w:widowControl/>
        <w:wordWrap w:val="0"/>
        <w:rPr>
          <w:rFonts w:hint="eastAsia" w:ascii="仿宋" w:hAnsi="仿宋" w:eastAsia="仿宋" w:cs="仿宋"/>
          <w:color w:val="000000" w:themeColor="text1"/>
          <w:spacing w:val="8"/>
          <w:sz w:val="32"/>
          <w:szCs w:val="32"/>
          <w14:textFill>
            <w14:solidFill>
              <w14:schemeClr w14:val="tx1"/>
            </w14:solidFill>
          </w14:textFill>
        </w:rPr>
        <w:sectPr>
          <w:footerReference r:id="rId3" w:type="default"/>
          <w:pgSz w:w="12240" w:h="15840"/>
          <w:pgMar w:top="1440" w:right="1800" w:bottom="1440" w:left="1800" w:header="720" w:footer="720" w:gutter="0"/>
          <w:cols w:space="720" w:num="1"/>
        </w:sectPr>
      </w:pPr>
    </w:p>
    <w:p>
      <w:pPr>
        <w:widowControl/>
        <w:wordWrap w:val="0"/>
        <w:spacing w:line="590" w:lineRule="exact"/>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附件2</w:t>
      </w:r>
    </w:p>
    <w:p>
      <w:pPr>
        <w:widowControl/>
        <w:wordWrap w:val="0"/>
        <w:spacing w:line="590" w:lineRule="exact"/>
        <w:rPr>
          <w:rFonts w:hint="eastAsia" w:ascii="仿宋" w:hAnsi="仿宋" w:eastAsia="仿宋" w:cs="仿宋"/>
          <w:color w:val="000000" w:themeColor="text1"/>
          <w:spacing w:val="8"/>
          <w:kern w:val="0"/>
          <w:sz w:val="24"/>
          <w:szCs w:val="24"/>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line="580" w:lineRule="exact"/>
        <w:jc w:val="center"/>
        <w:textAlignment w:val="auto"/>
        <w:rPr>
          <w:rFonts w:hint="eastAsia" w:ascii="仿宋" w:hAnsi="仿宋" w:eastAsia="仿宋" w:cs="仿宋"/>
          <w:color w:val="000000" w:themeColor="text1"/>
          <w:spacing w:val="8"/>
          <w:kern w:val="0"/>
          <w:sz w:val="44"/>
          <w:szCs w:val="44"/>
          <w14:textFill>
            <w14:solidFill>
              <w14:schemeClr w14:val="tx1"/>
            </w14:solidFill>
          </w14:textFill>
        </w:rPr>
      </w:pPr>
      <w:r>
        <w:rPr>
          <w:rFonts w:hint="eastAsia" w:ascii="仿宋" w:hAnsi="仿宋" w:eastAsia="仿宋" w:cs="仿宋"/>
          <w:color w:val="000000" w:themeColor="text1"/>
          <w:spacing w:val="8"/>
          <w:sz w:val="44"/>
          <w:szCs w:val="44"/>
          <w:u w:val="none"/>
          <w14:textFill>
            <w14:solidFill>
              <w14:schemeClr w14:val="tx1"/>
            </w14:solidFill>
          </w14:textFill>
        </w:rPr>
        <w:t>市</w:t>
      </w:r>
      <w:r>
        <w:rPr>
          <w:rFonts w:hint="eastAsia" w:ascii="仿宋" w:hAnsi="仿宋" w:eastAsia="仿宋" w:cs="仿宋"/>
          <w:color w:val="000000" w:themeColor="text1"/>
          <w:spacing w:val="8"/>
          <w:sz w:val="44"/>
          <w:szCs w:val="44"/>
          <w14:textFill>
            <w14:solidFill>
              <w14:schemeClr w14:val="tx1"/>
            </w14:solidFill>
          </w14:textFill>
        </w:rPr>
        <w:t>指挥部工作组分组及职责</w:t>
      </w:r>
    </w:p>
    <w:p>
      <w:pPr>
        <w:keepNext w:val="0"/>
        <w:keepLines w:val="0"/>
        <w:pageBreakBefore w:val="0"/>
        <w:widowControl/>
        <w:kinsoku/>
        <w:wordWrap w:val="0"/>
        <w:overflowPunct/>
        <w:topLinePunct w:val="0"/>
        <w:autoSpaceDE/>
        <w:autoSpaceDN/>
        <w:bidi w:val="0"/>
        <w:adjustRightInd/>
        <w:snapToGrid/>
        <w:spacing w:line="580" w:lineRule="exact"/>
        <w:textAlignment w:val="auto"/>
        <w:rPr>
          <w:rFonts w:hint="eastAsia" w:ascii="仿宋" w:hAnsi="仿宋" w:eastAsia="仿宋" w:cs="仿宋"/>
          <w:color w:val="000000" w:themeColor="text1"/>
          <w:spacing w:val="8"/>
          <w:kern w:val="0"/>
          <w:sz w:val="24"/>
          <w:szCs w:val="24"/>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1．事件调查组。由</w:t>
      </w: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监督管理局牵头，</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监察委、</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公安</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等部门组成。负责对引发事件的医疗行为、事件发生的原因和疫苗药品和医疗器械质量进行全面调查，提出调查结论和处理意见；组织对相关疫苗药品和医疗器械进行监督抽样和应急检验。</w:t>
      </w:r>
    </w:p>
    <w:p>
      <w:pPr>
        <w:keepNext w:val="0"/>
        <w:keepLines w:val="0"/>
        <w:pageBreakBefore w:val="0"/>
        <w:widowControl/>
        <w:kinsoku/>
        <w:wordWrap w:val="0"/>
        <w:overflowPunct/>
        <w:topLinePunct w:val="0"/>
        <w:autoSpaceDE/>
        <w:autoSpaceDN/>
        <w:bidi w:val="0"/>
        <w:adjustRightInd/>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2．危害控制组。由</w:t>
      </w: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监督管理局牵头，</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公安</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等部门组成。负责组织对引发事件的疫苗药品和医疗器械采取停止生产、经营、使用和召回等紧急控制措施；查处事件所涉疫苗药品和医疗器械违法违规行为的案件。</w:t>
      </w:r>
    </w:p>
    <w:p>
      <w:pPr>
        <w:keepNext w:val="0"/>
        <w:keepLines w:val="0"/>
        <w:pageBreakBefore w:val="0"/>
        <w:widowControl/>
        <w:kinsoku/>
        <w:wordWrap w:val="0"/>
        <w:overflowPunct/>
        <w:topLinePunct w:val="0"/>
        <w:autoSpaceDE/>
        <w:autoSpaceDN/>
        <w:bidi w:val="0"/>
        <w:adjustRightInd/>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3．医疗救治组。由</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卫生健康委牵头，负责筛查和确认可疑病例，组织指导相关医疗机构开展患者救治工作。</w:t>
      </w:r>
    </w:p>
    <w:p>
      <w:pPr>
        <w:keepNext w:val="0"/>
        <w:keepLines w:val="0"/>
        <w:pageBreakBefore w:val="0"/>
        <w:widowControl/>
        <w:kinsoku/>
        <w:wordWrap w:val="0"/>
        <w:overflowPunct/>
        <w:topLinePunct w:val="0"/>
        <w:autoSpaceDE/>
        <w:autoSpaceDN/>
        <w:bidi w:val="0"/>
        <w:adjustRightInd/>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4．社会稳定组。由</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公安</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牵头，</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政府信访局等部门组成。密切关注突发事件动态和社会动态，依法处置由疫苗药品和医疗器械安全突发事件引发的社会安全事件。</w:t>
      </w:r>
    </w:p>
    <w:p>
      <w:pPr>
        <w:keepNext w:val="0"/>
        <w:keepLines w:val="0"/>
        <w:pageBreakBefore w:val="0"/>
        <w:widowControl/>
        <w:kinsoku/>
        <w:wordWrap w:val="0"/>
        <w:overflowPunct/>
        <w:topLinePunct w:val="0"/>
        <w:autoSpaceDE/>
        <w:autoSpaceDN/>
        <w:bidi w:val="0"/>
        <w:adjustRightInd/>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5．检测评估组。由</w:t>
      </w: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监督管理局牵头，</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卫生健康委等部门组成。提出检测方案和要求，组织实施相关检测。必要时指定相关机构进行检验检测，查找事故原因，分析事故发展趋势，预判事件影响，为制定现场抢救方案和采取控制措施提供参考。检测分析结果及时报告</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指挥部办公室。</w:t>
      </w:r>
    </w:p>
    <w:p>
      <w:pPr>
        <w:keepNext w:val="0"/>
        <w:keepLines w:val="0"/>
        <w:pageBreakBefore w:val="0"/>
        <w:widowControl/>
        <w:kinsoku/>
        <w:wordWrap w:val="0"/>
        <w:overflowPunct/>
        <w:topLinePunct w:val="0"/>
        <w:autoSpaceDE/>
        <w:autoSpaceDN/>
        <w:bidi w:val="0"/>
        <w:adjustRightInd/>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6．新闻宣传组。由</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委宣传部牵头，</w:t>
      </w:r>
      <w:r>
        <w:rPr>
          <w:rFonts w:hint="eastAsia" w:ascii="仿宋" w:hAnsi="仿宋" w:eastAsia="仿宋" w:cs="仿宋"/>
          <w:color w:val="000000" w:themeColor="text1"/>
          <w:spacing w:val="8"/>
          <w:sz w:val="32"/>
          <w:szCs w:val="32"/>
          <w:u w:val="none"/>
          <w14:textFill>
            <w14:solidFill>
              <w14:schemeClr w14:val="tx1"/>
            </w14:solidFill>
          </w14:textFill>
        </w:rPr>
        <w:t>市市场</w:t>
      </w:r>
      <w:r>
        <w:rPr>
          <w:rFonts w:hint="eastAsia" w:ascii="仿宋" w:hAnsi="仿宋" w:eastAsia="仿宋" w:cs="仿宋"/>
          <w:color w:val="000000" w:themeColor="text1"/>
          <w:spacing w:val="8"/>
          <w:sz w:val="32"/>
          <w:szCs w:val="32"/>
          <w14:textFill>
            <w14:solidFill>
              <w14:schemeClr w14:val="tx1"/>
            </w14:solidFill>
          </w14:textFill>
        </w:rPr>
        <w:t>监督管理局、</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政府新闻办、</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u w:val="none"/>
          <w:lang w:eastAsia="zh-CN"/>
          <w14:textFill>
            <w14:solidFill>
              <w14:schemeClr w14:val="tx1"/>
            </w14:solidFill>
          </w14:textFill>
        </w:rPr>
        <w:t>委</w:t>
      </w:r>
      <w:r>
        <w:rPr>
          <w:rFonts w:hint="eastAsia" w:ascii="仿宋" w:hAnsi="仿宋" w:eastAsia="仿宋" w:cs="仿宋"/>
          <w:color w:val="000000" w:themeColor="text1"/>
          <w:spacing w:val="8"/>
          <w:sz w:val="32"/>
          <w:szCs w:val="32"/>
          <w14:textFill>
            <w14:solidFill>
              <w14:schemeClr w14:val="tx1"/>
            </w14:solidFill>
          </w14:textFill>
        </w:rPr>
        <w:t>网信办等部门组成。负责事件处置的宣传报道和舆论引导工作；跟踪</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内外舆情，及时、客观通报事件情况；负责受理记者采访申请和管理工作；经</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指挥部授权，组织召开新闻发布会，向社会发布处置工作信息。</w:t>
      </w:r>
    </w:p>
    <w:p>
      <w:pPr>
        <w:keepNext w:val="0"/>
        <w:keepLines w:val="0"/>
        <w:pageBreakBefore w:val="0"/>
        <w:widowControl/>
        <w:kinsoku/>
        <w:wordWrap w:val="0"/>
        <w:overflowPunct/>
        <w:topLinePunct w:val="0"/>
        <w:autoSpaceDE/>
        <w:autoSpaceDN/>
        <w:bidi w:val="0"/>
        <w:adjustRightInd/>
        <w:snapToGrid/>
        <w:spacing w:line="580" w:lineRule="exact"/>
        <w:ind w:firstLine="672" w:firstLineChars="200"/>
        <w:textAlignment w:val="auto"/>
        <w:rPr>
          <w:rFonts w:hint="eastAsia" w:ascii="仿宋" w:hAnsi="仿宋" w:eastAsia="仿宋" w:cs="仿宋"/>
          <w:color w:val="000000" w:themeColor="text1"/>
          <w:spacing w:val="8"/>
          <w:kern w:val="0"/>
          <w:sz w:val="24"/>
          <w:szCs w:val="24"/>
          <w14:textFill>
            <w14:solidFill>
              <w14:schemeClr w14:val="tx1"/>
            </w14:solidFill>
          </w14:textFill>
        </w:rPr>
      </w:pPr>
      <w:r>
        <w:rPr>
          <w:rFonts w:hint="eastAsia" w:ascii="仿宋" w:hAnsi="仿宋" w:eastAsia="仿宋" w:cs="仿宋"/>
          <w:color w:val="000000" w:themeColor="text1"/>
          <w:spacing w:val="8"/>
          <w:sz w:val="32"/>
          <w:szCs w:val="32"/>
          <w14:textFill>
            <w14:solidFill>
              <w14:schemeClr w14:val="tx1"/>
            </w14:solidFill>
          </w14:textFill>
        </w:rPr>
        <w:t>7．经费保障组。由</w:t>
      </w:r>
      <w:r>
        <w:rPr>
          <w:rFonts w:hint="eastAsia" w:ascii="仿宋" w:hAnsi="仿宋" w:eastAsia="仿宋" w:cs="仿宋"/>
          <w:color w:val="000000" w:themeColor="text1"/>
          <w:spacing w:val="8"/>
          <w:sz w:val="32"/>
          <w:szCs w:val="32"/>
          <w:u w:val="none"/>
          <w14:textFill>
            <w14:solidFill>
              <w14:schemeClr w14:val="tx1"/>
            </w14:solidFill>
          </w14:textFill>
        </w:rPr>
        <w:t>市</w:t>
      </w:r>
      <w:r>
        <w:rPr>
          <w:rFonts w:hint="eastAsia" w:ascii="仿宋" w:hAnsi="仿宋" w:eastAsia="仿宋" w:cs="仿宋"/>
          <w:color w:val="000000" w:themeColor="text1"/>
          <w:spacing w:val="8"/>
          <w:sz w:val="32"/>
          <w:szCs w:val="32"/>
          <w14:textFill>
            <w14:solidFill>
              <w14:schemeClr w14:val="tx1"/>
            </w14:solidFill>
          </w14:textFill>
        </w:rPr>
        <w:t>财政</w:t>
      </w:r>
      <w:r>
        <w:rPr>
          <w:rFonts w:hint="eastAsia" w:ascii="仿宋" w:hAnsi="仿宋" w:eastAsia="仿宋" w:cs="仿宋"/>
          <w:color w:val="000000" w:themeColor="text1"/>
          <w:spacing w:val="8"/>
          <w:sz w:val="32"/>
          <w:szCs w:val="32"/>
          <w:u w:val="none"/>
          <w14:textFill>
            <w14:solidFill>
              <w14:schemeClr w14:val="tx1"/>
            </w14:solidFill>
          </w14:textFill>
        </w:rPr>
        <w:t>局</w:t>
      </w:r>
      <w:r>
        <w:rPr>
          <w:rFonts w:hint="eastAsia" w:ascii="仿宋" w:hAnsi="仿宋" w:eastAsia="仿宋" w:cs="仿宋"/>
          <w:color w:val="000000" w:themeColor="text1"/>
          <w:spacing w:val="8"/>
          <w:sz w:val="32"/>
          <w:szCs w:val="32"/>
          <w14:textFill>
            <w14:solidFill>
              <w14:schemeClr w14:val="tx1"/>
            </w14:solidFill>
          </w14:textFill>
        </w:rPr>
        <w:t>牵头负责，相关部门参加，保障事件的应急处置工作经费。</w:t>
      </w:r>
    </w:p>
    <w:p>
      <w:pPr>
        <w:keepNext w:val="0"/>
        <w:keepLines w:val="0"/>
        <w:pageBreakBefore w:val="0"/>
        <w:kinsoku/>
        <w:overflowPunct/>
        <w:topLinePunct w:val="0"/>
        <w:autoSpaceDE/>
        <w:autoSpaceDN/>
        <w:bidi w:val="0"/>
        <w:adjustRightInd/>
        <w:snapToGrid/>
        <w:spacing w:line="580" w:lineRule="exact"/>
        <w:textAlignment w:val="auto"/>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770659"/>
      <w:docPartObj>
        <w:docPartGallery w:val="autotext"/>
      </w:docPartObj>
    </w:sdtPr>
    <w:sdtContent>
      <w:p>
        <w:pPr>
          <w:pStyle w:val="2"/>
          <w:jc w:val="center"/>
        </w:pPr>
        <w:r>
          <w:fldChar w:fldCharType="begin"/>
        </w:r>
        <w:r>
          <w:instrText xml:space="preserve">PAGE   \* MERGEFORMAT</w:instrText>
        </w:r>
        <w:r>
          <w:fldChar w:fldCharType="separate"/>
        </w:r>
        <w:r>
          <w:rPr>
            <w:lang w:val="zh-CN"/>
          </w:rPr>
          <w:t>32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6"/>
    <w:rsid w:val="00013168"/>
    <w:rsid w:val="00023F2B"/>
    <w:rsid w:val="00041F20"/>
    <w:rsid w:val="000C3252"/>
    <w:rsid w:val="000F4D2F"/>
    <w:rsid w:val="000F542C"/>
    <w:rsid w:val="000F54C2"/>
    <w:rsid w:val="000F661E"/>
    <w:rsid w:val="001A19C2"/>
    <w:rsid w:val="001F377D"/>
    <w:rsid w:val="00265486"/>
    <w:rsid w:val="00277D27"/>
    <w:rsid w:val="00290C90"/>
    <w:rsid w:val="002A2E7C"/>
    <w:rsid w:val="00393AE5"/>
    <w:rsid w:val="003B1EF4"/>
    <w:rsid w:val="003C4576"/>
    <w:rsid w:val="003D57C5"/>
    <w:rsid w:val="00425FD7"/>
    <w:rsid w:val="0044401F"/>
    <w:rsid w:val="00463DE7"/>
    <w:rsid w:val="00472341"/>
    <w:rsid w:val="004764BA"/>
    <w:rsid w:val="00477B8E"/>
    <w:rsid w:val="00494602"/>
    <w:rsid w:val="006063B5"/>
    <w:rsid w:val="00612677"/>
    <w:rsid w:val="006431D2"/>
    <w:rsid w:val="00654E29"/>
    <w:rsid w:val="00655515"/>
    <w:rsid w:val="00715DFC"/>
    <w:rsid w:val="0074265A"/>
    <w:rsid w:val="007D014B"/>
    <w:rsid w:val="008A3911"/>
    <w:rsid w:val="008E19D7"/>
    <w:rsid w:val="00940946"/>
    <w:rsid w:val="0099697C"/>
    <w:rsid w:val="00A028D5"/>
    <w:rsid w:val="00A0355F"/>
    <w:rsid w:val="00A37168"/>
    <w:rsid w:val="00AF3789"/>
    <w:rsid w:val="00B16820"/>
    <w:rsid w:val="00B3144D"/>
    <w:rsid w:val="00C3659E"/>
    <w:rsid w:val="00C5047E"/>
    <w:rsid w:val="00CF74E3"/>
    <w:rsid w:val="00D23838"/>
    <w:rsid w:val="00DA635F"/>
    <w:rsid w:val="00DD446C"/>
    <w:rsid w:val="00E1198F"/>
    <w:rsid w:val="00E126AB"/>
    <w:rsid w:val="00E21A34"/>
    <w:rsid w:val="00E504B3"/>
    <w:rsid w:val="00EC2E7C"/>
    <w:rsid w:val="00F007DC"/>
    <w:rsid w:val="00F1397F"/>
    <w:rsid w:val="00F476C3"/>
    <w:rsid w:val="00F476F7"/>
    <w:rsid w:val="00FF7592"/>
    <w:rsid w:val="01DB6C43"/>
    <w:rsid w:val="03667929"/>
    <w:rsid w:val="04322874"/>
    <w:rsid w:val="04DC4D44"/>
    <w:rsid w:val="05501B2C"/>
    <w:rsid w:val="06F36E57"/>
    <w:rsid w:val="096400F5"/>
    <w:rsid w:val="0A4263DE"/>
    <w:rsid w:val="0A6F2970"/>
    <w:rsid w:val="0DC90BA9"/>
    <w:rsid w:val="123E3F05"/>
    <w:rsid w:val="13806D80"/>
    <w:rsid w:val="1693312C"/>
    <w:rsid w:val="17924A5B"/>
    <w:rsid w:val="186800F4"/>
    <w:rsid w:val="1A436099"/>
    <w:rsid w:val="1AF1291D"/>
    <w:rsid w:val="22372D31"/>
    <w:rsid w:val="25801181"/>
    <w:rsid w:val="25812B70"/>
    <w:rsid w:val="2A4931F8"/>
    <w:rsid w:val="2DB07E7D"/>
    <w:rsid w:val="2FE62AC3"/>
    <w:rsid w:val="376A7081"/>
    <w:rsid w:val="381C139A"/>
    <w:rsid w:val="3E2760FF"/>
    <w:rsid w:val="45A240E3"/>
    <w:rsid w:val="48F20563"/>
    <w:rsid w:val="4D58198A"/>
    <w:rsid w:val="52B62DBB"/>
    <w:rsid w:val="54B9558D"/>
    <w:rsid w:val="570F76B5"/>
    <w:rsid w:val="5C3D2168"/>
    <w:rsid w:val="5D371C5A"/>
    <w:rsid w:val="5D496CA1"/>
    <w:rsid w:val="651D69B1"/>
    <w:rsid w:val="66241FC2"/>
    <w:rsid w:val="71A540E9"/>
    <w:rsid w:val="774831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48E50-8D4B-40E7-98CB-58CF8719677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1983</Words>
  <Characters>11307</Characters>
  <Lines>94</Lines>
  <Paragraphs>26</Paragraphs>
  <TotalTime>2</TotalTime>
  <ScaleCrop>false</ScaleCrop>
  <LinksUpToDate>false</LinksUpToDate>
  <CharactersWithSpaces>13264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2020-01-16T04:29:00Z</dcterms:created>
  <dc:creator>崔爱民</dc:creator>
  <cp:lastModifiedBy>Administrator</cp:lastModifiedBy>
  <cp:lastPrinted>2020-02-24T07:12:00Z</cp:lastPrinted>
  <dcterms:modified xsi:type="dcterms:W3CDTF">2020-03-27T02:24:00Z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