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
          <w:sz w:val="44"/>
          <w:szCs w:val="44"/>
        </w:rPr>
        <w:t>淮南市市场监</w:t>
      </w:r>
      <w:r>
        <w:rPr>
          <w:rFonts w:hint="eastAsia" w:ascii="方正小标宋简体" w:hAnsi="方正小标宋简体" w:eastAsia="方正小标宋简体" w:cs="方正小标宋简体"/>
          <w:sz w:val="44"/>
          <w:szCs w:val="44"/>
        </w:rPr>
        <w:t>督管理局</w:t>
      </w:r>
    </w:p>
    <w:p>
      <w:pPr>
        <w:adjustRightInd w:val="0"/>
        <w:snapToGrid w:val="0"/>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
          <w:sz w:val="44"/>
          <w:szCs w:val="44"/>
        </w:rPr>
        <w:t>行政处</w:t>
      </w:r>
      <w:r>
        <w:rPr>
          <w:rFonts w:hint="eastAsia" w:ascii="方正小标宋简体" w:hAnsi="方正小标宋简体" w:eastAsia="方正小标宋简体" w:cs="方正小标宋简体"/>
          <w:sz w:val="44"/>
          <w:szCs w:val="44"/>
        </w:rPr>
        <w:t>罚决定书</w:t>
      </w:r>
    </w:p>
    <w:p>
      <w:pPr>
        <w:adjustRightInd w:val="0"/>
        <w:snapToGrid w:val="0"/>
        <w:spacing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淮</w:t>
      </w:r>
      <w:r>
        <w:rPr>
          <w:rFonts w:hint="eastAsia" w:ascii="仿宋_GB2312" w:hAnsi="仿宋_GB2312" w:eastAsia="仿宋_GB2312" w:cs="仿宋_GB2312"/>
          <w:sz w:val="32"/>
          <w:szCs w:val="32"/>
        </w:rPr>
        <w:t>市监</w:t>
      </w:r>
      <w:r>
        <w:rPr>
          <w:rFonts w:hint="eastAsia" w:ascii="仿宋_GB2312" w:hAnsi="仿宋_GB2312" w:eastAsia="仿宋_GB2312" w:cs="仿宋_GB2312"/>
          <w:sz w:val="32"/>
          <w:szCs w:val="32"/>
          <w:lang w:val="en-US" w:eastAsia="zh-CN"/>
        </w:rPr>
        <w:t>田</w:t>
      </w:r>
      <w:r>
        <w:rPr>
          <w:rFonts w:hint="eastAsia" w:ascii="仿宋_GB2312" w:hAnsi="仿宋_GB2312" w:eastAsia="仿宋_GB2312" w:cs="仿宋_GB2312"/>
          <w:sz w:val="32"/>
          <w:szCs w:val="32"/>
        </w:rPr>
        <w:t>罚</w:t>
      </w:r>
      <w:r>
        <w:rPr>
          <w:rFonts w:hint="eastAsia" w:ascii="仿宋_GB2312" w:hAnsi="仿宋_GB2312" w:eastAsia="仿宋_GB2312" w:cs="仿宋_GB2312"/>
          <w:spacing w:val="17"/>
          <w:sz w:val="32"/>
          <w:szCs w:val="32"/>
        </w:rPr>
        <w:t>字</w:t>
      </w:r>
      <w:r>
        <w:rPr>
          <w:rFonts w:hint="eastAsia" w:ascii="仿宋_GB2312" w:hAnsi="仿宋_GB2312" w:eastAsia="仿宋_GB2312" w:cs="仿宋_GB2312"/>
          <w:sz w:val="32"/>
          <w:szCs w:val="32"/>
        </w:rPr>
        <w:t>〔</w:t>
      </w:r>
      <w:r>
        <w:rPr>
          <w:rFonts w:hint="eastAsia" w:ascii="仿宋_GB2312" w:hAnsi="仿宋_GB2312" w:eastAsia="仿宋_GB2312" w:cs="仿宋_GB2312"/>
          <w:spacing w:val="18"/>
          <w:sz w:val="32"/>
          <w:szCs w:val="32"/>
        </w:rPr>
        <w:t>2021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号</w:t>
      </w:r>
    </w:p>
    <w:p>
      <w:pPr>
        <w:adjustRightInd w:val="0"/>
        <w:snapToGrid w:val="0"/>
        <w:spacing w:line="580" w:lineRule="exact"/>
        <w:jc w:val="center"/>
        <w:rPr>
          <w:rFonts w:ascii="仿宋_GB2312" w:hAnsi="仿宋_GB2312" w:eastAsia="仿宋_GB2312" w:cs="仿宋_GB2312"/>
          <w:sz w:val="32"/>
          <w:szCs w:val="32"/>
          <w:highlight w:val="yellow"/>
        </w:rPr>
      </w:pPr>
    </w:p>
    <w:p>
      <w:pPr>
        <w:keepNext w:val="0"/>
        <w:keepLines w:val="0"/>
        <w:pageBreakBefore w:val="0"/>
        <w:kinsoku/>
        <w:wordWrap/>
        <w:overflowPunct/>
        <w:topLinePunct w:val="0"/>
        <w:autoSpaceDE/>
        <w:autoSpaceDN/>
        <w:bidi w:val="0"/>
        <w:adjustRightInd w:val="0"/>
        <w:snapToGrid w:val="0"/>
        <w:spacing w:line="480" w:lineRule="atLeas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当事人：田家庵区乐宜轩超市超市                                       </w:t>
      </w:r>
    </w:p>
    <w:p>
      <w:pPr>
        <w:keepNext w:val="0"/>
        <w:keepLines w:val="0"/>
        <w:pageBreakBefore w:val="0"/>
        <w:kinsoku/>
        <w:wordWrap/>
        <w:overflowPunct/>
        <w:topLinePunct w:val="0"/>
        <w:autoSpaceDE/>
        <w:autoSpaceDN/>
        <w:bidi w:val="0"/>
        <w:adjustRightInd w:val="0"/>
        <w:snapToGrid w:val="0"/>
        <w:spacing w:line="480" w:lineRule="atLeas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主体资格证照名称：营业场所                                  </w:t>
      </w:r>
    </w:p>
    <w:p>
      <w:pPr>
        <w:keepNext w:val="0"/>
        <w:keepLines w:val="0"/>
        <w:pageBreakBefore w:val="0"/>
        <w:kinsoku/>
        <w:wordWrap/>
        <w:overflowPunct/>
        <w:topLinePunct w:val="0"/>
        <w:autoSpaceDE/>
        <w:autoSpaceDN/>
        <w:bidi w:val="0"/>
        <w:adjustRightInd w:val="0"/>
        <w:snapToGrid w:val="0"/>
        <w:spacing w:line="480" w:lineRule="atLeas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统一社会信用代码（注册号）：92340403MA2WB7G6XF                       </w:t>
      </w:r>
    </w:p>
    <w:p>
      <w:pPr>
        <w:keepNext w:val="0"/>
        <w:keepLines w:val="0"/>
        <w:pageBreakBefore w:val="0"/>
        <w:kinsoku/>
        <w:wordWrap/>
        <w:overflowPunct/>
        <w:topLinePunct w:val="0"/>
        <w:autoSpaceDE/>
        <w:autoSpaceDN/>
        <w:bidi w:val="0"/>
        <w:adjustRightInd w:val="0"/>
        <w:snapToGrid w:val="0"/>
        <w:spacing w:line="480" w:lineRule="atLeast"/>
        <w:jc w:val="left"/>
        <w:textAlignment w:val="auto"/>
        <w:rPr>
          <w:rFonts w:hint="eastAsia" w:ascii="仿宋_GB2312" w:hAnsi="仿宋_GB2312" w:eastAsia="仿宋_GB2312" w:cs="仿宋_GB2312"/>
          <w:w w:val="80"/>
          <w:sz w:val="32"/>
          <w:szCs w:val="32"/>
        </w:rPr>
      </w:pPr>
      <w:r>
        <w:rPr>
          <w:rFonts w:hint="eastAsia" w:ascii="仿宋_GB2312" w:hAnsi="仿宋_GB2312" w:eastAsia="仿宋_GB2312" w:cs="仿宋_GB2312"/>
          <w:sz w:val="32"/>
          <w:szCs w:val="32"/>
        </w:rPr>
        <w:t>住所（住址）：</w:t>
      </w:r>
      <w:r>
        <w:rPr>
          <w:rFonts w:hint="eastAsia" w:ascii="仿宋_GB2312" w:hAnsi="仿宋_GB2312" w:eastAsia="仿宋_GB2312" w:cs="仿宋_GB2312"/>
          <w:w w:val="80"/>
          <w:sz w:val="32"/>
          <w:szCs w:val="32"/>
        </w:rPr>
        <w:t>淮南市田家庵区公园街道学院北路西侧主楼六层第一层</w:t>
      </w:r>
    </w:p>
    <w:p>
      <w:pPr>
        <w:keepNext w:val="0"/>
        <w:keepLines w:val="0"/>
        <w:pageBreakBefore w:val="0"/>
        <w:kinsoku/>
        <w:wordWrap/>
        <w:overflowPunct/>
        <w:topLinePunct w:val="0"/>
        <w:autoSpaceDE/>
        <w:autoSpaceDN/>
        <w:bidi w:val="0"/>
        <w:adjustRightInd w:val="0"/>
        <w:snapToGrid w:val="0"/>
        <w:spacing w:line="480" w:lineRule="atLeas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法定代表人（负责人、经营者）：丁慧慧                     </w:t>
      </w:r>
    </w:p>
    <w:p>
      <w:pPr>
        <w:keepNext w:val="0"/>
        <w:keepLines w:val="0"/>
        <w:pageBreakBefore w:val="0"/>
        <w:kinsoku/>
        <w:wordWrap/>
        <w:overflowPunct/>
        <w:topLinePunct w:val="0"/>
        <w:autoSpaceDE/>
        <w:autoSpaceDN/>
        <w:bidi w:val="0"/>
        <w:adjustRightInd w:val="0"/>
        <w:snapToGrid w:val="0"/>
        <w:spacing w:line="480" w:lineRule="atLeas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身份证（其他有效证件）号码：</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val="0"/>
        <w:snapToGrid w:val="0"/>
        <w:spacing w:line="480" w:lineRule="atLeas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 其他联系方式：</w:t>
      </w:r>
      <w:r>
        <w:rPr>
          <w:rFonts w:hint="eastAsia" w:ascii="仿宋_GB2312" w:hAnsi="仿宋_GB2312" w:eastAsia="仿宋_GB2312" w:cs="仿宋_GB2312"/>
          <w:sz w:val="32"/>
          <w:szCs w:val="32"/>
          <w:lang w:val="en-US" w:eastAsia="zh-CN"/>
        </w:rPr>
        <w:t>无</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val="0"/>
        <w:snapToGrid w:val="0"/>
        <w:spacing w:line="480" w:lineRule="atLeast"/>
        <w:jc w:val="left"/>
        <w:textAlignment w:val="auto"/>
        <w:rPr>
          <w:rFonts w:hint="eastAsia" w:ascii="仿宋_GB2312" w:hAnsi="仿宋_GB2312" w:eastAsia="仿宋_GB2312" w:cs="仿宋_GB2312"/>
          <w:w w:val="80"/>
          <w:sz w:val="32"/>
          <w:szCs w:val="32"/>
        </w:rPr>
      </w:pPr>
      <w:r>
        <w:rPr>
          <w:rFonts w:hint="eastAsia" w:ascii="仿宋_GB2312" w:hAnsi="仿宋_GB2312" w:eastAsia="仿宋_GB2312" w:cs="仿宋_GB2312"/>
          <w:sz w:val="32"/>
          <w:szCs w:val="32"/>
        </w:rPr>
        <w:t>联系地址：</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adjustRightInd w:val="0"/>
        <w:snapToGrid w:val="0"/>
        <w:spacing w:line="480" w:lineRule="atLeas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spacing w:line="480" w:lineRule="atLeas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2021年05月26日淮南市田家庵区市场监督管理局委托安徽省公众检测研究院有限公司对</w:t>
      </w:r>
      <w:r>
        <w:rPr>
          <w:rFonts w:hint="eastAsia" w:ascii="仿宋_GB2312" w:hAnsi="仿宋_GB2312" w:eastAsia="仿宋_GB2312" w:cs="仿宋_GB2312"/>
          <w:sz w:val="32"/>
          <w:szCs w:val="32"/>
          <w:lang w:eastAsia="zh-CN"/>
        </w:rPr>
        <w:t>田家庵区乐宜轩超市超市</w:t>
      </w:r>
      <w:r>
        <w:rPr>
          <w:rFonts w:hint="eastAsia" w:ascii="仿宋_GB2312" w:hAnsi="仿宋_GB2312" w:eastAsia="仿宋_GB2312" w:cs="仿宋_GB2312"/>
          <w:sz w:val="32"/>
          <w:szCs w:val="32"/>
          <w:lang w:val="en-US" w:eastAsia="zh-CN"/>
        </w:rPr>
        <w:t>销售的“韭菜”、“芹菜”进行监督抽验，经检验，检验结论为“不合格”。我局执法人员从</w:t>
      </w:r>
      <w:r>
        <w:rPr>
          <w:rFonts w:hint="eastAsia" w:ascii="仿宋_GB2312" w:hAnsi="仿宋_GB2312" w:eastAsia="仿宋_GB2312" w:cs="仿宋_GB2312"/>
          <w:sz w:val="32"/>
          <w:szCs w:val="32"/>
          <w:lang w:eastAsia="zh-CN"/>
        </w:rPr>
        <w:t>“国家食品安全抽样检验信息系统网站”下载并打印由</w:t>
      </w:r>
      <w:r>
        <w:rPr>
          <w:rFonts w:hint="eastAsia" w:ascii="仿宋_GB2312" w:hAnsi="仿宋_GB2312" w:eastAsia="仿宋_GB2312" w:cs="仿宋_GB2312"/>
          <w:sz w:val="32"/>
          <w:szCs w:val="32"/>
          <w:lang w:val="en-US" w:eastAsia="zh-CN"/>
        </w:rPr>
        <w:t>安徽公众检测研究院有限公司</w:t>
      </w:r>
      <w:r>
        <w:rPr>
          <w:rFonts w:hint="eastAsia" w:ascii="仿宋_GB2312" w:hAnsi="仿宋_GB2312" w:eastAsia="仿宋_GB2312" w:cs="仿宋_GB2312"/>
          <w:sz w:val="32"/>
          <w:szCs w:val="32"/>
          <w:lang w:eastAsia="zh-CN"/>
        </w:rPr>
        <w:t>上传的，检验结论为“不合格”的《检验报告》（</w:t>
      </w:r>
      <w:r>
        <w:rPr>
          <w:rFonts w:hint="eastAsia" w:ascii="仿宋_GB2312" w:hAnsi="仿宋_GB2312" w:eastAsia="仿宋_GB2312" w:cs="仿宋_GB2312"/>
          <w:sz w:val="32"/>
          <w:szCs w:val="32"/>
          <w:lang w:val="en-US" w:eastAsia="zh-CN"/>
        </w:rPr>
        <w:t>№: FC2021055037、№: FC2021055034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lang w:eastAsia="zh-CN"/>
        </w:rPr>
        <w:t>《食品安全抽样检验结果通知书》（NCP21340403342233953、NCP2134040334223395</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），并于</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06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向当事人现场送达了该检验报告、食品安全抽样检验结果通知书。</w:t>
      </w:r>
      <w:r>
        <w:rPr>
          <w:rFonts w:hint="eastAsia" w:ascii="仿宋_GB2312" w:hAnsi="仿宋_GB2312" w:eastAsia="仿宋_GB2312" w:cs="仿宋_GB2312"/>
          <w:sz w:val="32"/>
          <w:szCs w:val="32"/>
        </w:rPr>
        <w:t>当事人在法定期限内未提出复检申请。我局</w:t>
      </w:r>
      <w:r>
        <w:rPr>
          <w:rFonts w:hint="eastAsia" w:ascii="仿宋_GB2312" w:hAnsi="仿宋_GB2312" w:eastAsia="仿宋_GB2312" w:cs="仿宋_GB2312"/>
          <w:sz w:val="32"/>
          <w:szCs w:val="32"/>
          <w:highlight w:val="none"/>
        </w:rPr>
        <w:t>于202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07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13</w:t>
      </w:r>
      <w:r>
        <w:rPr>
          <w:rFonts w:hint="eastAsia" w:ascii="仿宋_GB2312" w:hAnsi="仿宋_GB2312" w:eastAsia="仿宋_GB2312" w:cs="仿宋_GB2312"/>
          <w:sz w:val="32"/>
          <w:szCs w:val="32"/>
          <w:highlight w:val="none"/>
        </w:rPr>
        <w:t>日立</w:t>
      </w:r>
      <w:r>
        <w:rPr>
          <w:rFonts w:hint="eastAsia" w:ascii="仿宋_GB2312" w:hAnsi="仿宋_GB2312" w:eastAsia="仿宋_GB2312" w:cs="仿宋_GB2312"/>
          <w:sz w:val="32"/>
          <w:szCs w:val="32"/>
        </w:rPr>
        <w:t>案调查，并指派执法人员尹春毅(执法证号∶D80160030)、张雯雯(执法证号∶D58001398)负责对该案查处</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07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26</w:t>
      </w:r>
      <w:r>
        <w:rPr>
          <w:rFonts w:hint="eastAsia" w:ascii="仿宋_GB2312" w:hAnsi="仿宋_GB2312" w:eastAsia="仿宋_GB2312" w:cs="仿宋_GB2312"/>
          <w:sz w:val="32"/>
          <w:szCs w:val="32"/>
          <w:highlight w:val="none"/>
        </w:rPr>
        <w:t>日在</w:t>
      </w:r>
      <w:r>
        <w:rPr>
          <w:rFonts w:hint="eastAsia" w:ascii="仿宋_GB2312" w:hAnsi="仿宋_GB2312" w:eastAsia="仿宋_GB2312" w:cs="仿宋_GB2312"/>
          <w:sz w:val="32"/>
          <w:szCs w:val="32"/>
        </w:rPr>
        <w:t>淮南市田家庵区市场监督管理局</w:t>
      </w:r>
      <w:r>
        <w:rPr>
          <w:rFonts w:hint="eastAsia" w:ascii="仿宋_GB2312" w:hAnsi="仿宋_GB2312" w:eastAsia="仿宋_GB2312" w:cs="仿宋_GB2312"/>
          <w:sz w:val="32"/>
          <w:szCs w:val="32"/>
          <w:lang w:val="en-US" w:eastAsia="zh-CN"/>
        </w:rPr>
        <w:t>经济检查执法股</w:t>
      </w:r>
      <w:r>
        <w:rPr>
          <w:rFonts w:hint="eastAsia" w:ascii="仿宋_GB2312" w:hAnsi="仿宋_GB2312" w:eastAsia="仿宋_GB2312" w:cs="仿宋_GB2312"/>
          <w:sz w:val="32"/>
          <w:szCs w:val="32"/>
        </w:rPr>
        <w:t>依法对当事人进行了询问。</w:t>
      </w:r>
    </w:p>
    <w:p>
      <w:pPr>
        <w:keepNext w:val="0"/>
        <w:keepLines w:val="0"/>
        <w:pageBreakBefore w:val="0"/>
        <w:widowControl/>
        <w:kinsoku/>
        <w:wordWrap/>
        <w:overflowPunct/>
        <w:topLinePunct w:val="0"/>
        <w:autoSpaceDE/>
        <w:autoSpaceDN/>
        <w:bidi w:val="0"/>
        <w:adjustRightInd w:val="0"/>
        <w:snapToGrid w:val="0"/>
        <w:spacing w:line="480" w:lineRule="atLeas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经查明，当事人销售的食品名称：“</w:t>
      </w:r>
      <w:r>
        <w:rPr>
          <w:rFonts w:hint="eastAsia" w:ascii="仿宋_GB2312" w:hAnsi="仿宋_GB2312" w:eastAsia="仿宋_GB2312" w:cs="仿宋_GB2312"/>
          <w:sz w:val="32"/>
          <w:szCs w:val="32"/>
          <w:lang w:eastAsia="zh-CN"/>
        </w:rPr>
        <w:t>韭菜</w:t>
      </w:r>
      <w:r>
        <w:rPr>
          <w:rFonts w:hint="eastAsia" w:ascii="仿宋_GB2312" w:hAnsi="仿宋_GB2312" w:eastAsia="仿宋_GB2312" w:cs="仿宋_GB2312"/>
          <w:sz w:val="32"/>
          <w:szCs w:val="32"/>
        </w:rPr>
        <w:t>”（购进日期：202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日），经抽样检验，</w:t>
      </w:r>
      <w:r>
        <w:rPr>
          <w:rFonts w:hint="eastAsia" w:ascii="仿宋_GB2312" w:hAnsi="仿宋_GB2312" w:eastAsia="仿宋_GB2312" w:cs="仿宋_GB2312"/>
          <w:sz w:val="32"/>
          <w:szCs w:val="32"/>
          <w:lang w:val="en-US" w:eastAsia="zh-CN"/>
        </w:rPr>
        <w:t>腐霉利</w:t>
      </w:r>
      <w:r>
        <w:rPr>
          <w:rFonts w:hint="eastAsia" w:ascii="仿宋_GB2312" w:hAnsi="仿宋_GB2312" w:eastAsia="仿宋_GB2312" w:cs="仿宋_GB2312"/>
          <w:sz w:val="32"/>
          <w:szCs w:val="32"/>
        </w:rPr>
        <w:t>项目不符合GB 2763-2019《食品安全国家标准 食品中农药最大残留限量》要求，检验结论为不合格。当事人销售的食品名称：“</w:t>
      </w:r>
      <w:r>
        <w:rPr>
          <w:rFonts w:hint="eastAsia" w:ascii="仿宋_GB2312" w:hAnsi="仿宋_GB2312" w:eastAsia="仿宋_GB2312" w:cs="仿宋_GB2312"/>
          <w:sz w:val="32"/>
          <w:szCs w:val="32"/>
          <w:lang w:val="en-US" w:eastAsia="zh-CN"/>
        </w:rPr>
        <w:t>芹菜</w:t>
      </w:r>
      <w:r>
        <w:rPr>
          <w:rFonts w:hint="eastAsia" w:ascii="仿宋_GB2312" w:hAnsi="仿宋_GB2312" w:eastAsia="仿宋_GB2312" w:cs="仿宋_GB2312"/>
          <w:sz w:val="32"/>
          <w:szCs w:val="32"/>
        </w:rPr>
        <w:t>”（购进日期：202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日），经抽样检验，</w:t>
      </w:r>
      <w:r>
        <w:rPr>
          <w:rFonts w:hint="eastAsia" w:ascii="仿宋_GB2312" w:hAnsi="仿宋_GB2312" w:eastAsia="仿宋_GB2312" w:cs="仿宋_GB2312"/>
          <w:sz w:val="32"/>
          <w:szCs w:val="32"/>
          <w:lang w:val="en-US" w:eastAsia="zh-CN"/>
        </w:rPr>
        <w:t>毒死蜱</w:t>
      </w:r>
      <w:r>
        <w:rPr>
          <w:rFonts w:hint="eastAsia" w:ascii="仿宋_GB2312" w:hAnsi="仿宋_GB2312" w:eastAsia="仿宋_GB2312" w:cs="仿宋_GB2312"/>
          <w:sz w:val="32"/>
          <w:szCs w:val="32"/>
        </w:rPr>
        <w:t>项目不符合GB 2763-2019《食品安全国家标准 食品中农药最大残留限量》要求，检验结论为不合格。根据当事人的询问笔录，当事人共购进上述批次“</w:t>
      </w:r>
      <w:r>
        <w:rPr>
          <w:rFonts w:hint="eastAsia" w:ascii="仿宋_GB2312" w:hAnsi="仿宋_GB2312" w:eastAsia="仿宋_GB2312" w:cs="仿宋_GB2312"/>
          <w:sz w:val="32"/>
          <w:szCs w:val="32"/>
          <w:lang w:eastAsia="zh-CN"/>
        </w:rPr>
        <w:t>韭菜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芹菜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各5kg</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均已售完无剩余，上述不合格批次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韭菜</w:t>
      </w:r>
      <w:r>
        <w:rPr>
          <w:rFonts w:hint="eastAsia" w:ascii="仿宋_GB2312" w:hAnsi="仿宋_GB2312" w:eastAsia="仿宋_GB2312" w:cs="仿宋_GB2312"/>
          <w:sz w:val="32"/>
          <w:szCs w:val="32"/>
        </w:rPr>
        <w:t>”进价</w:t>
      </w:r>
      <w:r>
        <w:rPr>
          <w:rFonts w:hint="eastAsia" w:ascii="仿宋_GB2312" w:hAnsi="仿宋_GB2312" w:eastAsia="仿宋_GB2312" w:cs="仿宋_GB2312"/>
          <w:sz w:val="32"/>
          <w:szCs w:val="32"/>
          <w:lang w:val="en-US" w:eastAsia="zh-CN"/>
        </w:rPr>
        <w:t>1.60</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val="en-US" w:eastAsia="zh-CN"/>
        </w:rPr>
        <w:t>kg</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销售</w:t>
      </w:r>
      <w:r>
        <w:rPr>
          <w:rFonts w:hint="eastAsia" w:ascii="仿宋_GB2312" w:hAnsi="仿宋_GB2312" w:eastAsia="仿宋_GB2312" w:cs="仿宋_GB2312"/>
          <w:sz w:val="32"/>
          <w:szCs w:val="32"/>
        </w:rPr>
        <w:t>价</w:t>
      </w:r>
      <w:r>
        <w:rPr>
          <w:rFonts w:hint="eastAsia" w:ascii="仿宋_GB2312" w:hAnsi="仿宋_GB2312" w:eastAsia="仿宋_GB2312" w:cs="仿宋_GB2312"/>
          <w:sz w:val="32"/>
          <w:szCs w:val="32"/>
          <w:lang w:val="en-US" w:eastAsia="zh-CN"/>
        </w:rPr>
        <w:t>1.78</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val="en-US" w:eastAsia="zh-CN"/>
        </w:rPr>
        <w:t>kg，“芹菜”</w:t>
      </w:r>
      <w:r>
        <w:rPr>
          <w:rFonts w:hint="eastAsia" w:ascii="仿宋_GB2312" w:hAnsi="仿宋_GB2312" w:eastAsia="仿宋_GB2312" w:cs="仿宋_GB2312"/>
          <w:sz w:val="32"/>
          <w:szCs w:val="32"/>
        </w:rPr>
        <w:t>进价</w:t>
      </w:r>
      <w:r>
        <w:rPr>
          <w:rFonts w:hint="eastAsia" w:ascii="仿宋_GB2312" w:hAnsi="仿宋_GB2312" w:eastAsia="仿宋_GB2312" w:cs="仿宋_GB2312"/>
          <w:sz w:val="32"/>
          <w:szCs w:val="32"/>
          <w:lang w:val="en-US" w:eastAsia="zh-CN"/>
        </w:rPr>
        <w:t>3.00</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val="en-US" w:eastAsia="zh-CN"/>
        </w:rPr>
        <w:t>kg</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销售</w:t>
      </w:r>
      <w:r>
        <w:rPr>
          <w:rFonts w:hint="eastAsia" w:ascii="仿宋_GB2312" w:hAnsi="仿宋_GB2312" w:eastAsia="仿宋_GB2312" w:cs="仿宋_GB2312"/>
          <w:sz w:val="32"/>
          <w:szCs w:val="32"/>
        </w:rPr>
        <w:t>价</w:t>
      </w:r>
      <w:r>
        <w:rPr>
          <w:rFonts w:hint="eastAsia" w:ascii="仿宋_GB2312" w:hAnsi="仿宋_GB2312" w:eastAsia="仿宋_GB2312" w:cs="仿宋_GB2312"/>
          <w:sz w:val="32"/>
          <w:szCs w:val="32"/>
          <w:lang w:val="en-US" w:eastAsia="zh-CN"/>
        </w:rPr>
        <w:t>3.36</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val="en-US" w:eastAsia="zh-CN"/>
        </w:rPr>
        <w:t>kg，当事人销售经抽检不合格批次“韭菜”、“芹菜”的货值金额共计25.70元，违法所得共计2.70元，</w:t>
      </w:r>
      <w:r>
        <w:rPr>
          <w:rFonts w:hint="eastAsia" w:ascii="仿宋_GB2312" w:hAnsi="仿宋_GB2312" w:eastAsia="仿宋_GB2312" w:cs="仿宋_GB2312"/>
          <w:sz w:val="32"/>
          <w:szCs w:val="32"/>
        </w:rPr>
        <w:t>当事人对上述批次“</w:t>
      </w:r>
      <w:r>
        <w:rPr>
          <w:rFonts w:hint="eastAsia" w:ascii="仿宋_GB2312" w:hAnsi="仿宋_GB2312" w:eastAsia="仿宋_GB2312" w:cs="仿宋_GB2312"/>
          <w:sz w:val="32"/>
          <w:szCs w:val="32"/>
          <w:lang w:eastAsia="zh-CN"/>
        </w:rPr>
        <w:t>韭菜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芹菜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已采取公告召回。</w:t>
      </w:r>
    </w:p>
    <w:p>
      <w:pPr>
        <w:keepNext w:val="0"/>
        <w:keepLines w:val="0"/>
        <w:pageBreakBefore w:val="0"/>
        <w:kinsoku/>
        <w:wordWrap/>
        <w:overflowPunct/>
        <w:topLinePunct w:val="0"/>
        <w:autoSpaceDE/>
        <w:autoSpaceDN/>
        <w:bidi w:val="0"/>
        <w:adjustRightInd w:val="0"/>
        <w:snapToGrid w:val="0"/>
        <w:spacing w:line="48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证据材料：</w:t>
      </w:r>
    </w:p>
    <w:p>
      <w:pPr>
        <w:keepNext w:val="0"/>
        <w:keepLines w:val="0"/>
        <w:pageBreakBefore w:val="0"/>
        <w:widowControl/>
        <w:kinsoku/>
        <w:wordWrap/>
        <w:overflowPunct/>
        <w:topLinePunct w:val="0"/>
        <w:autoSpaceDE/>
        <w:autoSpaceDN/>
        <w:bidi w:val="0"/>
        <w:adjustRightInd w:val="0"/>
        <w:snapToGrid w:val="0"/>
        <w:spacing w:line="480" w:lineRule="atLeas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1.《国家食品安全抽样检验抽样单（非网络）》（</w:t>
      </w:r>
      <w:r>
        <w:rPr>
          <w:rFonts w:hint="eastAsia" w:ascii="仿宋_GB2312" w:hAnsi="仿宋_GB2312" w:eastAsia="仿宋_GB2312" w:cs="仿宋_GB2312"/>
          <w:sz w:val="32"/>
          <w:szCs w:val="32"/>
          <w:lang w:eastAsia="zh-CN"/>
        </w:rPr>
        <w:t>NCP21340403342233953、NCP2134040334223395</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rPr>
        <w:t>一份，证明</w:t>
      </w:r>
      <w:r>
        <w:rPr>
          <w:rFonts w:hint="eastAsia" w:ascii="仿宋_GB2312" w:hAnsi="仿宋_GB2312" w:eastAsia="仿宋_GB2312" w:cs="仿宋_GB2312"/>
          <w:sz w:val="32"/>
          <w:szCs w:val="32"/>
          <w:lang w:val="en-US" w:eastAsia="zh-CN"/>
        </w:rPr>
        <w:t>淮南市田家庵区市场监督管理局委托安徽省公众检测研究院有限公司对</w:t>
      </w:r>
      <w:r>
        <w:rPr>
          <w:rFonts w:hint="eastAsia" w:ascii="仿宋_GB2312" w:hAnsi="仿宋_GB2312" w:eastAsia="仿宋_GB2312" w:cs="仿宋_GB2312"/>
          <w:sz w:val="32"/>
          <w:szCs w:val="32"/>
        </w:rPr>
        <w:t>当事人销售的“</w:t>
      </w:r>
      <w:r>
        <w:rPr>
          <w:rFonts w:hint="eastAsia" w:ascii="仿宋_GB2312" w:hAnsi="仿宋_GB2312" w:eastAsia="仿宋_GB2312" w:cs="仿宋_GB2312"/>
          <w:sz w:val="32"/>
          <w:szCs w:val="32"/>
          <w:lang w:eastAsia="zh-CN"/>
        </w:rPr>
        <w:t>韭菜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芹菜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（购进日期：202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日）进行抽检的事实；</w:t>
      </w:r>
    </w:p>
    <w:p>
      <w:pPr>
        <w:keepNext w:val="0"/>
        <w:keepLines w:val="0"/>
        <w:pageBreakBefore w:val="0"/>
        <w:widowControl/>
        <w:kinsoku/>
        <w:wordWrap/>
        <w:overflowPunct/>
        <w:topLinePunct w:val="0"/>
        <w:autoSpaceDE/>
        <w:autoSpaceDN/>
        <w:bidi w:val="0"/>
        <w:adjustRightInd w:val="0"/>
        <w:snapToGrid w:val="0"/>
        <w:spacing w:line="480" w:lineRule="atLeas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2.《检验报告》（</w:t>
      </w:r>
      <w:r>
        <w:rPr>
          <w:rFonts w:hint="eastAsia" w:ascii="仿宋_GB2312" w:hAnsi="仿宋_GB2312" w:eastAsia="仿宋_GB2312" w:cs="仿宋_GB2312"/>
          <w:sz w:val="32"/>
          <w:szCs w:val="32"/>
          <w:lang w:val="en-US" w:eastAsia="zh-CN"/>
        </w:rPr>
        <w:t>№:FC2021055037、№:FC2021055034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rPr>
        <w:t>一份，证明当事人销售的“</w:t>
      </w:r>
      <w:r>
        <w:rPr>
          <w:rFonts w:hint="eastAsia" w:ascii="仿宋_GB2312" w:hAnsi="仿宋_GB2312" w:eastAsia="仿宋_GB2312" w:cs="仿宋_GB2312"/>
          <w:sz w:val="32"/>
          <w:szCs w:val="32"/>
          <w:lang w:eastAsia="zh-CN"/>
        </w:rPr>
        <w:t>韭菜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芹菜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经抽检</w:t>
      </w:r>
      <w:r>
        <w:rPr>
          <w:rFonts w:hint="eastAsia" w:ascii="仿宋_GB2312" w:hAnsi="仿宋_GB2312" w:eastAsia="仿宋_GB2312" w:cs="仿宋_GB2312"/>
          <w:sz w:val="32"/>
          <w:szCs w:val="32"/>
        </w:rPr>
        <w:t>检验结论不合格的事实</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48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3.《询问笔录》一份，证明当事人销售不合格批次“</w:t>
      </w:r>
      <w:r>
        <w:rPr>
          <w:rFonts w:hint="eastAsia" w:ascii="仿宋_GB2312" w:hAnsi="仿宋_GB2312" w:eastAsia="仿宋_GB2312" w:cs="仿宋_GB2312"/>
          <w:sz w:val="32"/>
          <w:szCs w:val="32"/>
          <w:lang w:eastAsia="zh-CN"/>
        </w:rPr>
        <w:t>韭菜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芹菜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货值金额共计25.70元，违法所得共计2.70元</w:t>
      </w:r>
      <w:r>
        <w:rPr>
          <w:rFonts w:hint="eastAsia" w:ascii="仿宋_GB2312" w:hAnsi="仿宋_GB2312" w:eastAsia="仿宋_GB2312" w:cs="仿宋_GB2312"/>
          <w:sz w:val="32"/>
          <w:szCs w:val="32"/>
        </w:rPr>
        <w:t>的事实；</w:t>
      </w:r>
    </w:p>
    <w:p>
      <w:pPr>
        <w:keepNext w:val="0"/>
        <w:keepLines w:val="0"/>
        <w:pageBreakBefore w:val="0"/>
        <w:kinsoku/>
        <w:wordWrap/>
        <w:overflowPunct/>
        <w:topLinePunct w:val="0"/>
        <w:autoSpaceDE/>
        <w:autoSpaceDN/>
        <w:bidi w:val="0"/>
        <w:adjustRightInd w:val="0"/>
        <w:snapToGrid w:val="0"/>
        <w:spacing w:line="48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4.当事人营业执照、食品经营许可证及</w:t>
      </w:r>
      <w:r>
        <w:rPr>
          <w:rFonts w:hint="eastAsia" w:ascii="仿宋_GB2312" w:hAnsi="仿宋_GB2312" w:eastAsia="仿宋_GB2312" w:cs="仿宋_GB2312"/>
          <w:sz w:val="32"/>
          <w:szCs w:val="32"/>
          <w:lang w:val="en-US" w:eastAsia="zh-CN"/>
        </w:rPr>
        <w:t>经营者</w:t>
      </w:r>
      <w:r>
        <w:rPr>
          <w:rFonts w:hint="eastAsia" w:ascii="仿宋_GB2312" w:hAnsi="仿宋_GB2312" w:eastAsia="仿宋_GB2312" w:cs="仿宋_GB2312"/>
          <w:sz w:val="32"/>
          <w:szCs w:val="32"/>
        </w:rPr>
        <w:t>身份证复印件各一份，证明当事人的主体资格；</w:t>
      </w:r>
    </w:p>
    <w:p>
      <w:pPr>
        <w:keepNext w:val="0"/>
        <w:keepLines w:val="0"/>
        <w:pageBreakBefore w:val="0"/>
        <w:kinsoku/>
        <w:wordWrap/>
        <w:overflowPunct/>
        <w:topLinePunct w:val="0"/>
        <w:autoSpaceDE/>
        <w:autoSpaceDN/>
        <w:bidi w:val="0"/>
        <w:adjustRightInd w:val="0"/>
        <w:snapToGrid w:val="0"/>
        <w:spacing w:line="48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5.当事人出具的授权委托书原件、受委托人的身份证复印件各一份，证明受委托人的身份；</w:t>
      </w:r>
    </w:p>
    <w:p>
      <w:pPr>
        <w:keepNext w:val="0"/>
        <w:keepLines w:val="0"/>
        <w:pageBreakBefore w:val="0"/>
        <w:kinsoku/>
        <w:wordWrap/>
        <w:overflowPunct/>
        <w:topLinePunct w:val="0"/>
        <w:autoSpaceDE/>
        <w:autoSpaceDN/>
        <w:bidi w:val="0"/>
        <w:adjustRightInd w:val="0"/>
        <w:snapToGrid w:val="0"/>
        <w:spacing w:line="48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.当事人提交的不合格食品召回公告、召回情况及整改报告各一份，证明已对不合格食品采取公告召回。</w:t>
      </w:r>
    </w:p>
    <w:p>
      <w:pPr>
        <w:keepNext w:val="0"/>
        <w:keepLines w:val="0"/>
        <w:pageBreakBefore w:val="0"/>
        <w:kinsoku/>
        <w:wordWrap/>
        <w:overflowPunct/>
        <w:topLinePunct w:val="0"/>
        <w:autoSpaceDE/>
        <w:autoSpaceDN/>
        <w:bidi w:val="0"/>
        <w:adjustRightInd w:val="0"/>
        <w:snapToGrid w:val="0"/>
        <w:spacing w:line="48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以上证据均经过了出证人的确认。</w:t>
      </w:r>
    </w:p>
    <w:p>
      <w:pPr>
        <w:keepNext w:val="0"/>
        <w:keepLines w:val="0"/>
        <w:pageBreakBefore w:val="0"/>
        <w:kinsoku/>
        <w:wordWrap/>
        <w:overflowPunct/>
        <w:topLinePunct w:val="0"/>
        <w:autoSpaceDE/>
        <w:autoSpaceDN/>
        <w:bidi w:val="0"/>
        <w:adjustRightInd w:val="0"/>
        <w:snapToGrid w:val="0"/>
        <w:spacing w:line="48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本案未采取行政强制措施，对照行政机关移送涉嫌犯罪案件的标准，尚不够移送追诉当事人刑事责任的条件。</w:t>
      </w:r>
    </w:p>
    <w:p>
      <w:pPr>
        <w:keepNext w:val="0"/>
        <w:keepLines w:val="0"/>
        <w:pageBreakBefore w:val="0"/>
        <w:kinsoku/>
        <w:wordWrap/>
        <w:overflowPunct/>
        <w:topLinePunct w:val="0"/>
        <w:autoSpaceDE/>
        <w:autoSpaceDN/>
        <w:bidi w:val="0"/>
        <w:adjustRightInd w:val="0"/>
        <w:snapToGrid w:val="0"/>
        <w:spacing w:line="48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u w:val="none"/>
        </w:rPr>
        <w:t>1年0</w:t>
      </w:r>
      <w:r>
        <w:rPr>
          <w:rFonts w:hint="eastAsia" w:ascii="仿宋_GB2312" w:hAnsi="仿宋_GB2312" w:eastAsia="仿宋_GB2312" w:cs="仿宋_GB2312"/>
          <w:sz w:val="32"/>
          <w:szCs w:val="32"/>
          <w:u w:val="none"/>
          <w:lang w:val="en-US" w:eastAsia="zh-CN"/>
        </w:rPr>
        <w:t>8</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20</w:t>
      </w:r>
      <w:r>
        <w:rPr>
          <w:rFonts w:hint="eastAsia" w:ascii="仿宋_GB2312" w:hAnsi="仿宋_GB2312" w:eastAsia="仿宋_GB2312" w:cs="仿宋_GB2312"/>
          <w:sz w:val="32"/>
          <w:szCs w:val="32"/>
          <w:u w:val="none"/>
        </w:rPr>
        <w:t>日，</w:t>
      </w:r>
      <w:r>
        <w:rPr>
          <w:rFonts w:hint="eastAsia" w:ascii="仿宋_GB2312" w:hAnsi="仿宋_GB2312" w:eastAsia="仿宋_GB2312" w:cs="仿宋_GB2312"/>
          <w:sz w:val="32"/>
          <w:szCs w:val="32"/>
        </w:rPr>
        <w:t>本局向当事人送达了</w:t>
      </w:r>
      <w:r>
        <w:rPr>
          <w:rFonts w:hint="eastAsia" w:ascii="仿宋_GB2312" w:hAnsi="仿宋_GB2312" w:eastAsia="仿宋_GB2312" w:cs="仿宋_GB2312"/>
          <w:sz w:val="32"/>
          <w:szCs w:val="32"/>
          <w:lang w:val="en-US" w:eastAsia="zh-CN"/>
        </w:rPr>
        <w:t>淮</w:t>
      </w:r>
      <w:r>
        <w:rPr>
          <w:rFonts w:hint="eastAsia" w:ascii="仿宋_GB2312" w:hAnsi="仿宋_GB2312" w:eastAsia="仿宋_GB2312" w:cs="仿宋_GB2312"/>
          <w:sz w:val="32"/>
          <w:szCs w:val="32"/>
        </w:rPr>
        <w:t>市监</w:t>
      </w:r>
      <w:r>
        <w:rPr>
          <w:rFonts w:hint="eastAsia" w:ascii="仿宋_GB2312" w:hAnsi="仿宋_GB2312" w:eastAsia="仿宋_GB2312" w:cs="仿宋_GB2312"/>
          <w:sz w:val="32"/>
          <w:szCs w:val="32"/>
          <w:lang w:val="en-US" w:eastAsia="zh-CN"/>
        </w:rPr>
        <w:t>田罚</w:t>
      </w:r>
      <w:r>
        <w:rPr>
          <w:rFonts w:hint="eastAsia" w:ascii="仿宋_GB2312" w:hAnsi="仿宋_GB2312" w:eastAsia="仿宋_GB2312" w:cs="仿宋_GB2312"/>
          <w:sz w:val="32"/>
          <w:szCs w:val="32"/>
        </w:rPr>
        <w:t>听告字〔2021〕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号行政处罚告知书，当事人在法定期限内未进行陈述、申辩，也未提出听证的要求。</w:t>
      </w:r>
    </w:p>
    <w:p>
      <w:pPr>
        <w:keepNext w:val="0"/>
        <w:keepLines w:val="0"/>
        <w:pageBreakBefore w:val="0"/>
        <w:kinsoku/>
        <w:wordWrap/>
        <w:overflowPunct/>
        <w:topLinePunct w:val="0"/>
        <w:autoSpaceDE/>
        <w:autoSpaceDN/>
        <w:bidi w:val="0"/>
        <w:adjustRightInd w:val="0"/>
        <w:snapToGrid w:val="0"/>
        <w:spacing w:line="48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我局认为</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480" w:lineRule="atLeas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当事人销售不符合食品安全标准“</w:t>
      </w:r>
      <w:r>
        <w:rPr>
          <w:rFonts w:hint="eastAsia" w:ascii="仿宋_GB2312" w:hAnsi="仿宋_GB2312" w:eastAsia="仿宋_GB2312" w:cs="仿宋_GB2312"/>
          <w:sz w:val="32"/>
          <w:szCs w:val="32"/>
          <w:lang w:eastAsia="zh-CN"/>
        </w:rPr>
        <w:t>韭菜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芹菜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行为，违反了《中华人民共和国食品安全法》第三十四条“禁止生产经营下列食品、食品添加剂、食品相关产品：”第（二）项“致病性微生物，农药残留、兽药残留、生物毒素、重金属等污染物质以及其他危害人体健康的物质含量超过食品安全标准限量的食品、食品添加剂、食品相关产品;”</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规定。</w:t>
      </w:r>
    </w:p>
    <w:p>
      <w:pPr>
        <w:keepNext w:val="0"/>
        <w:keepLines w:val="0"/>
        <w:pageBreakBefore w:val="0"/>
        <w:kinsoku/>
        <w:wordWrap/>
        <w:overflowPunct/>
        <w:topLinePunct w:val="0"/>
        <w:autoSpaceDE/>
        <w:autoSpaceDN/>
        <w:bidi w:val="0"/>
        <w:adjustRightInd w:val="0"/>
        <w:snapToGrid w:val="0"/>
        <w:spacing w:line="480" w:lineRule="atLeas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鉴于当事人在本案调查过程中能够积极配合执法人员查处违法行为,对不合格食品进行召回，减轻了违法行为的危害后果。依据《中华人民共和国食品安全法》第一百二十四条第一款第（一）项“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一）生产经营致病性微生物，农药残留、兽药残留、生物毒素、重金属等污染物质以及其他危害人体健康的物质含量超过食品安全标准限量的食品、食品添加剂;”、《中华人民共和国行政处罚法》第</w:t>
      </w:r>
      <w:r>
        <w:rPr>
          <w:rFonts w:hint="eastAsia" w:ascii="仿宋_GB2312" w:hAnsi="仿宋_GB2312" w:eastAsia="仿宋_GB2312" w:cs="仿宋_GB2312"/>
          <w:sz w:val="32"/>
          <w:szCs w:val="32"/>
          <w:lang w:val="en-US" w:eastAsia="zh-CN"/>
        </w:rPr>
        <w:t>二十八</w:t>
      </w:r>
      <w:r>
        <w:rPr>
          <w:rFonts w:hint="eastAsia" w:ascii="仿宋_GB2312" w:hAnsi="仿宋_GB2312" w:eastAsia="仿宋_GB2312" w:cs="仿宋_GB2312"/>
          <w:sz w:val="32"/>
          <w:szCs w:val="32"/>
        </w:rPr>
        <w:t>条“行政机关实施行政处罚时，应当责令当事人改正或者限期改正违法行为。”和第</w:t>
      </w:r>
      <w:r>
        <w:rPr>
          <w:rFonts w:hint="eastAsia" w:ascii="仿宋_GB2312" w:hAnsi="仿宋_GB2312" w:eastAsia="仿宋_GB2312" w:cs="仿宋_GB2312"/>
          <w:sz w:val="32"/>
          <w:szCs w:val="32"/>
          <w:lang w:val="en-US" w:eastAsia="zh-CN"/>
        </w:rPr>
        <w:t>三十二</w:t>
      </w:r>
      <w:r>
        <w:rPr>
          <w:rFonts w:hint="eastAsia" w:ascii="仿宋_GB2312" w:hAnsi="仿宋_GB2312" w:eastAsia="仿宋_GB2312" w:cs="仿宋_GB2312"/>
          <w:sz w:val="32"/>
          <w:szCs w:val="32"/>
        </w:rPr>
        <w:t>条第一款第（一）项“当事人有下列情形之一的，应当依法从轻或者减轻行政处罚:（一）主动消除或者减轻违法行为危害后果的”之规定，决定责令当事人改正违法行为并予以减轻处罚如下：1.没收违法所得</w:t>
      </w:r>
      <w:r>
        <w:rPr>
          <w:rFonts w:hint="eastAsia" w:ascii="仿宋_GB2312" w:hAnsi="仿宋_GB2312" w:eastAsia="仿宋_GB2312" w:cs="仿宋_GB2312"/>
          <w:sz w:val="32"/>
          <w:szCs w:val="32"/>
          <w:lang w:val="en-US" w:eastAsia="zh-CN"/>
        </w:rPr>
        <w:t>2.70</w:t>
      </w:r>
      <w:r>
        <w:rPr>
          <w:rFonts w:hint="eastAsia" w:ascii="仿宋_GB2312" w:hAnsi="仿宋_GB2312" w:eastAsia="仿宋_GB2312" w:cs="仿宋_GB2312"/>
          <w:sz w:val="32"/>
          <w:szCs w:val="32"/>
        </w:rPr>
        <w:t>元；2.罚款人民币10000.00元。</w:t>
      </w:r>
    </w:p>
    <w:p>
      <w:pPr>
        <w:keepNext w:val="0"/>
        <w:keepLines w:val="0"/>
        <w:pageBreakBefore w:val="0"/>
        <w:numPr>
          <w:ilvl w:val="0"/>
          <w:numId w:val="0"/>
        </w:numPr>
        <w:kinsoku/>
        <w:wordWrap/>
        <w:overflowPunct/>
        <w:topLinePunct w:val="0"/>
        <w:autoSpaceDE/>
        <w:autoSpaceDN/>
        <w:bidi w:val="0"/>
        <w:adjustRightInd w:val="0"/>
        <w:snapToGrid w:val="0"/>
        <w:spacing w:line="480" w:lineRule="atLeas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二、</w:t>
      </w:r>
      <w:r>
        <w:rPr>
          <w:rFonts w:hint="eastAsia" w:ascii="仿宋_GB2312" w:hAnsi="仿宋_GB2312" w:eastAsia="仿宋_GB2312" w:cs="仿宋_GB2312"/>
          <w:b w:val="0"/>
          <w:bCs/>
          <w:sz w:val="32"/>
          <w:szCs w:val="32"/>
        </w:rPr>
        <w:t>当事人未按规定建立食用农产品进货查验记录制度的行为，</w:t>
      </w:r>
      <w:bookmarkStart w:id="0" w:name="_GoBack"/>
      <w:bookmarkEnd w:id="0"/>
      <w:r>
        <w:rPr>
          <w:rFonts w:hint="eastAsia" w:ascii="仿宋_GB2312" w:hAnsi="仿宋_GB2312" w:eastAsia="仿宋_GB2312" w:cs="仿宋_GB2312"/>
          <w:b w:val="0"/>
          <w:bCs/>
          <w:sz w:val="32"/>
          <w:szCs w:val="32"/>
        </w:rPr>
        <w:t>违反了《中华人民共和国食品安全法》第六十五条：“食用农产品销售者应当建立食用农产品进货查验记录制度，如实记录食用农产品名称、数量、进货日期以及供货者名称、地址、联系方式等内容，并保存相关凭证。记录和凭证保存期限不得少于六个月。”</w:t>
      </w:r>
      <w:r>
        <w:rPr>
          <w:rFonts w:hint="eastAsia" w:ascii="仿宋_GB2312" w:hAnsi="仿宋_GB2312" w:eastAsia="仿宋_GB2312" w:cs="仿宋_GB2312"/>
          <w:b w:val="0"/>
          <w:bCs/>
          <w:sz w:val="32"/>
          <w:szCs w:val="32"/>
          <w:lang w:val="en-US" w:eastAsia="zh-CN"/>
        </w:rPr>
        <w:t>的</w:t>
      </w:r>
      <w:r>
        <w:rPr>
          <w:rFonts w:hint="eastAsia" w:ascii="仿宋_GB2312" w:hAnsi="仿宋_GB2312" w:eastAsia="仿宋_GB2312" w:cs="仿宋_GB2312"/>
          <w:b w:val="0"/>
          <w:bCs/>
          <w:sz w:val="32"/>
          <w:szCs w:val="32"/>
        </w:rPr>
        <w:t>规定。</w:t>
      </w:r>
    </w:p>
    <w:p>
      <w:pPr>
        <w:keepNext w:val="0"/>
        <w:keepLines w:val="0"/>
        <w:pageBreakBefore w:val="0"/>
        <w:numPr>
          <w:ilvl w:val="0"/>
          <w:numId w:val="0"/>
        </w:numPr>
        <w:kinsoku/>
        <w:wordWrap/>
        <w:overflowPunct/>
        <w:topLinePunct w:val="0"/>
        <w:autoSpaceDE/>
        <w:autoSpaceDN/>
        <w:bidi w:val="0"/>
        <w:adjustRightInd w:val="0"/>
        <w:snapToGrid w:val="0"/>
        <w:spacing w:line="48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sz w:val="32"/>
          <w:szCs w:val="32"/>
          <w:lang w:val="en-US" w:eastAsia="zh-CN"/>
        </w:rPr>
        <w:t>当事人未按规定建立并落实食用农产品进货查验记录制度的行为，依据《中华人民共和国食品安全法》第一百二十六条第一款：“违反本法规定，有下列情形之一的，由县级以上人民政府食品安全监督管理部门责令改正，给予警告；拒不改正的，处五千元以上五万元以下罚款；情节严重的，责令停产停业，直至吊销许可证：”和第四款：“食用农产品销售者违反本法第六十五条规定的，由县级以上人民政府食品安全监督管理部门依照第一款规定给予处罚。”之规定，</w:t>
      </w:r>
      <w:r>
        <w:rPr>
          <w:rFonts w:hint="eastAsia" w:ascii="仿宋_GB2312" w:hAnsi="仿宋_GB2312" w:eastAsia="仿宋_GB2312" w:cs="仿宋_GB2312"/>
          <w:sz w:val="32"/>
          <w:szCs w:val="32"/>
          <w:lang w:val="en-US" w:eastAsia="zh-CN"/>
        </w:rPr>
        <w:t>决定</w:t>
      </w:r>
      <w:r>
        <w:rPr>
          <w:rFonts w:hint="eastAsia" w:ascii="仿宋_GB2312" w:hAnsi="仿宋_GB2312" w:eastAsia="仿宋_GB2312" w:cs="仿宋_GB2312"/>
          <w:sz w:val="32"/>
          <w:szCs w:val="32"/>
        </w:rPr>
        <w:t>责令当事人改正违法行为并予以</w:t>
      </w:r>
      <w:r>
        <w:rPr>
          <w:rFonts w:hint="eastAsia" w:ascii="仿宋_GB2312" w:hAnsi="仿宋_GB2312" w:eastAsia="仿宋_GB2312" w:cs="仿宋_GB2312"/>
          <w:sz w:val="32"/>
          <w:szCs w:val="32"/>
          <w:lang w:val="en-US" w:eastAsia="zh-CN"/>
        </w:rPr>
        <w:t>处罚如下：警告。</w:t>
      </w:r>
    </w:p>
    <w:p>
      <w:pPr>
        <w:keepNext w:val="0"/>
        <w:keepLines w:val="0"/>
        <w:pageBreakBefore w:val="0"/>
        <w:kinsoku/>
        <w:wordWrap/>
        <w:overflowPunct/>
        <w:topLinePunct w:val="0"/>
        <w:autoSpaceDE/>
        <w:autoSpaceDN/>
        <w:bidi w:val="0"/>
        <w:adjustRightInd w:val="0"/>
        <w:snapToGrid w:val="0"/>
        <w:spacing w:line="480" w:lineRule="atLeas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lang w:val="en-US" w:eastAsia="zh-CN"/>
        </w:rPr>
        <w:t>综上所述，</w:t>
      </w:r>
      <w:r>
        <w:rPr>
          <w:rFonts w:hint="eastAsia" w:ascii="仿宋_GB2312" w:hAnsi="仿宋_GB2312" w:eastAsia="仿宋_GB2312" w:cs="仿宋_GB2312"/>
          <w:sz w:val="32"/>
          <w:szCs w:val="32"/>
        </w:rPr>
        <w:t>依据《中华人民共和国食品安全法》第一百二十四条第一款第（一）项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第一百二十六条第一款和第四款</w:t>
      </w:r>
      <w:r>
        <w:rPr>
          <w:rFonts w:hint="eastAsia" w:ascii="仿宋_GB2312" w:hAnsi="仿宋_GB2312" w:eastAsia="仿宋_GB2312" w:cs="仿宋_GB2312"/>
          <w:sz w:val="32"/>
          <w:szCs w:val="32"/>
        </w:rPr>
        <w:t>、《中华人民共和国行政处罚法》第</w:t>
      </w:r>
      <w:r>
        <w:rPr>
          <w:rFonts w:hint="eastAsia" w:ascii="仿宋_GB2312" w:hAnsi="仿宋_GB2312" w:eastAsia="仿宋_GB2312" w:cs="仿宋_GB2312"/>
          <w:sz w:val="32"/>
          <w:szCs w:val="32"/>
          <w:lang w:val="en-US" w:eastAsia="zh-CN"/>
        </w:rPr>
        <w:t>二十八</w:t>
      </w:r>
      <w:r>
        <w:rPr>
          <w:rFonts w:hint="eastAsia" w:ascii="仿宋_GB2312" w:hAnsi="仿宋_GB2312" w:eastAsia="仿宋_GB2312" w:cs="仿宋_GB2312"/>
          <w:sz w:val="32"/>
          <w:szCs w:val="32"/>
        </w:rPr>
        <w:t>条和第</w:t>
      </w:r>
      <w:r>
        <w:rPr>
          <w:rFonts w:hint="eastAsia" w:ascii="仿宋_GB2312" w:hAnsi="仿宋_GB2312" w:eastAsia="仿宋_GB2312" w:cs="仿宋_GB2312"/>
          <w:sz w:val="32"/>
          <w:szCs w:val="32"/>
          <w:lang w:val="en-US" w:eastAsia="zh-CN"/>
        </w:rPr>
        <w:t>三十二</w:t>
      </w:r>
      <w:r>
        <w:rPr>
          <w:rFonts w:hint="eastAsia" w:ascii="仿宋_GB2312" w:hAnsi="仿宋_GB2312" w:eastAsia="仿宋_GB2312" w:cs="仿宋_GB2312"/>
          <w:sz w:val="32"/>
          <w:szCs w:val="32"/>
        </w:rPr>
        <w:t>条第一款第（一）项之规定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决定</w:t>
      </w:r>
      <w:r>
        <w:rPr>
          <w:rFonts w:hint="eastAsia" w:ascii="仿宋_GB2312" w:hAnsi="仿宋_GB2312" w:eastAsia="仿宋_GB2312" w:cs="仿宋_GB2312"/>
          <w:sz w:val="32"/>
          <w:szCs w:val="32"/>
        </w:rPr>
        <w:t>责令当事人改正违法行为并减轻处罚如下：</w:t>
      </w:r>
    </w:p>
    <w:p>
      <w:pPr>
        <w:keepNext w:val="0"/>
        <w:keepLines w:val="0"/>
        <w:pageBreakBefore w:val="0"/>
        <w:kinsoku/>
        <w:wordWrap/>
        <w:overflowPunct/>
        <w:topLinePunct w:val="0"/>
        <w:autoSpaceDE/>
        <w:autoSpaceDN/>
        <w:bidi w:val="0"/>
        <w:adjustRightInd w:val="0"/>
        <w:snapToGrid w:val="0"/>
        <w:spacing w:line="480" w:lineRule="atLeas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1.警告；</w:t>
      </w:r>
    </w:p>
    <w:p>
      <w:pPr>
        <w:keepNext w:val="0"/>
        <w:keepLines w:val="0"/>
        <w:pageBreakBefore w:val="0"/>
        <w:kinsoku/>
        <w:wordWrap/>
        <w:overflowPunct/>
        <w:topLinePunct w:val="0"/>
        <w:autoSpaceDE/>
        <w:autoSpaceDN/>
        <w:bidi w:val="0"/>
        <w:adjustRightInd w:val="0"/>
        <w:snapToGrid w:val="0"/>
        <w:spacing w:line="480" w:lineRule="atLeas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.没收违法所得</w:t>
      </w:r>
      <w:r>
        <w:rPr>
          <w:rFonts w:hint="eastAsia" w:ascii="仿宋_GB2312" w:hAnsi="仿宋_GB2312" w:eastAsia="仿宋_GB2312" w:cs="仿宋_GB2312"/>
          <w:sz w:val="32"/>
          <w:szCs w:val="32"/>
          <w:lang w:val="en-US" w:eastAsia="zh-CN"/>
        </w:rPr>
        <w:t>2.70</w:t>
      </w:r>
      <w:r>
        <w:rPr>
          <w:rFonts w:hint="eastAsia" w:ascii="仿宋_GB2312" w:hAnsi="仿宋_GB2312" w:eastAsia="仿宋_GB2312" w:cs="仿宋_GB2312"/>
          <w:sz w:val="32"/>
          <w:szCs w:val="32"/>
        </w:rPr>
        <w:t>元；</w:t>
      </w:r>
    </w:p>
    <w:p>
      <w:pPr>
        <w:keepNext w:val="0"/>
        <w:keepLines w:val="0"/>
        <w:pageBreakBefore w:val="0"/>
        <w:kinsoku/>
        <w:wordWrap/>
        <w:overflowPunct/>
        <w:topLinePunct w:val="0"/>
        <w:autoSpaceDE/>
        <w:autoSpaceDN/>
        <w:bidi w:val="0"/>
        <w:adjustRightInd w:val="0"/>
        <w:snapToGrid w:val="0"/>
        <w:spacing w:line="480" w:lineRule="atLeas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.罚款人民币10000.00元。</w:t>
      </w:r>
    </w:p>
    <w:p>
      <w:pPr>
        <w:keepNext w:val="0"/>
        <w:keepLines w:val="0"/>
        <w:pageBreakBefore w:val="0"/>
        <w:widowControl w:val="0"/>
        <w:kinsoku/>
        <w:wordWrap/>
        <w:overflowPunct/>
        <w:topLinePunct w:val="0"/>
        <w:autoSpaceDE/>
        <w:autoSpaceDN/>
        <w:bidi w:val="0"/>
        <w:adjustRightInd w:val="0"/>
        <w:snapToGrid w:val="0"/>
        <w:spacing w:line="480" w:lineRule="atLeast"/>
        <w:ind w:firstLine="576" w:firstLineChars="200"/>
        <w:textAlignment w:val="auto"/>
        <w:rPr>
          <w:rFonts w:hint="eastAsia" w:ascii="仿宋_GB2312" w:hAnsi="仿宋_GB2312" w:eastAsia="仿宋_GB2312" w:cs="仿宋_GB2312"/>
          <w:color w:val="231F20"/>
          <w:spacing w:val="-16"/>
          <w:sz w:val="32"/>
          <w:szCs w:val="32"/>
        </w:rPr>
      </w:pPr>
      <w:r>
        <w:rPr>
          <w:rFonts w:hint="eastAsia" w:ascii="仿宋_GB2312" w:hAnsi="仿宋_GB2312" w:eastAsia="仿宋_GB2312" w:cs="仿宋_GB2312"/>
          <w:color w:val="231F20"/>
          <w:spacing w:val="-16"/>
          <w:sz w:val="32"/>
          <w:szCs w:val="32"/>
        </w:rPr>
        <w:t>当事人应当自收到本处罚决定书之日起十五日内到淮南市农业银行营业部缴纳罚款（账号12609001040020813），当事人逾期不履行行政处罚决定的，本局将依照《中华人民共和国行政处罚法》第</w:t>
      </w:r>
      <w:r>
        <w:rPr>
          <w:rFonts w:hint="eastAsia" w:ascii="仿宋_GB2312" w:hAnsi="仿宋_GB2312" w:eastAsia="仿宋_GB2312" w:cs="仿宋_GB2312"/>
          <w:color w:val="231F20"/>
          <w:spacing w:val="-16"/>
          <w:sz w:val="32"/>
          <w:szCs w:val="32"/>
          <w:lang w:val="en-US" w:eastAsia="zh-CN"/>
        </w:rPr>
        <w:t>七十二</w:t>
      </w:r>
      <w:r>
        <w:rPr>
          <w:rFonts w:hint="eastAsia" w:ascii="仿宋_GB2312" w:hAnsi="仿宋_GB2312" w:eastAsia="仿宋_GB2312" w:cs="仿宋_GB2312"/>
          <w:color w:val="231F20"/>
          <w:spacing w:val="-16"/>
          <w:sz w:val="32"/>
          <w:szCs w:val="32"/>
        </w:rPr>
        <w:t>条：</w:t>
      </w:r>
      <w:r>
        <w:rPr>
          <w:rFonts w:hint="eastAsia" w:ascii="仿宋_GB2312" w:hAnsi="仿宋_GB2312" w:eastAsia="仿宋_GB2312" w:cs="仿宋_GB2312"/>
          <w:color w:val="231F20"/>
          <w:spacing w:val="-16"/>
          <w:sz w:val="32"/>
          <w:szCs w:val="32"/>
          <w:lang w:val="en-US" w:eastAsia="zh-CN"/>
        </w:rPr>
        <w:t>（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w:t>
      </w:r>
      <w:r>
        <w:rPr>
          <w:rFonts w:hint="eastAsia" w:ascii="仿宋_GB2312" w:hAnsi="仿宋_GB2312" w:eastAsia="仿宋_GB2312" w:cs="仿宋_GB2312"/>
          <w:color w:val="231F20"/>
          <w:spacing w:val="-16"/>
          <w:sz w:val="32"/>
          <w:szCs w:val="32"/>
          <w:lang w:val="en-US" w:eastAsia="zh-CN"/>
        </w:rPr>
        <w:fldChar w:fldCharType="begin"/>
      </w:r>
      <w:r>
        <w:rPr>
          <w:rFonts w:hint="eastAsia" w:ascii="仿宋_GB2312" w:hAnsi="仿宋_GB2312" w:eastAsia="仿宋_GB2312" w:cs="仿宋_GB2312"/>
          <w:color w:val="231F20"/>
          <w:spacing w:val="-16"/>
          <w:sz w:val="32"/>
          <w:szCs w:val="32"/>
          <w:lang w:val="en-US" w:eastAsia="zh-CN"/>
        </w:rPr>
        <w:instrText xml:space="preserve"> HYPERLINK "https://baike.baidu.com/item/%E4%B8%AD%E5%8D%8E%E4%BA%BA%E6%B0%91%E5%85%B1%E5%92%8C%E5%9B%BD%E8%A1%8C%E6%94%BF%E5%BC%BA%E5%88%B6%E6%B3%95/9942261" \t "https://baike.baidu.com/item/%E4%B8%AD%E5%8D%8E%E4%BA%BA%E6%B0%91%E5%85%B1%E5%92%8C%E5%9B%BD%E8%A1%8C%E6%94%BF%E5%A4%84%E7%BD%9A%E6%B3%95/_blank" </w:instrText>
      </w:r>
      <w:r>
        <w:rPr>
          <w:rFonts w:hint="eastAsia" w:ascii="仿宋_GB2312" w:hAnsi="仿宋_GB2312" w:eastAsia="仿宋_GB2312" w:cs="仿宋_GB2312"/>
          <w:color w:val="231F20"/>
          <w:spacing w:val="-16"/>
          <w:sz w:val="32"/>
          <w:szCs w:val="32"/>
          <w:lang w:val="en-US" w:eastAsia="zh-CN"/>
        </w:rPr>
        <w:fldChar w:fldCharType="separate"/>
      </w:r>
      <w:r>
        <w:rPr>
          <w:rFonts w:hint="eastAsia" w:ascii="仿宋_GB2312" w:hAnsi="仿宋_GB2312" w:eastAsia="仿宋_GB2312" w:cs="仿宋_GB2312"/>
          <w:color w:val="231F20"/>
          <w:spacing w:val="-16"/>
          <w:sz w:val="32"/>
          <w:szCs w:val="32"/>
        </w:rPr>
        <w:t>中华人民共和国行政强制法</w:t>
      </w:r>
      <w:r>
        <w:rPr>
          <w:rFonts w:hint="eastAsia" w:ascii="仿宋_GB2312" w:hAnsi="仿宋_GB2312" w:eastAsia="仿宋_GB2312" w:cs="仿宋_GB2312"/>
          <w:color w:val="231F20"/>
          <w:spacing w:val="-16"/>
          <w:sz w:val="32"/>
          <w:szCs w:val="32"/>
          <w:lang w:val="en-US" w:eastAsia="zh-CN"/>
        </w:rPr>
        <w:fldChar w:fldCharType="end"/>
      </w:r>
      <w:r>
        <w:rPr>
          <w:rFonts w:hint="eastAsia" w:ascii="仿宋_GB2312" w:hAnsi="仿宋_GB2312" w:eastAsia="仿宋_GB2312" w:cs="仿宋_GB2312"/>
          <w:color w:val="231F20"/>
          <w:spacing w:val="-16"/>
          <w:sz w:val="32"/>
          <w:szCs w:val="32"/>
          <w:lang w:val="en-US" w:eastAsia="zh-CN"/>
        </w:rPr>
        <w:t>》的规定申请人民法院强制执行。</w:t>
      </w:r>
    </w:p>
    <w:p>
      <w:pPr>
        <w:keepNext w:val="0"/>
        <w:keepLines w:val="0"/>
        <w:pageBreakBefore w:val="0"/>
        <w:widowControl w:val="0"/>
        <w:kinsoku/>
        <w:wordWrap/>
        <w:overflowPunct/>
        <w:topLinePunct w:val="0"/>
        <w:autoSpaceDE/>
        <w:autoSpaceDN/>
        <w:bidi w:val="0"/>
        <w:adjustRightInd w:val="0"/>
        <w:snapToGrid w:val="0"/>
        <w:spacing w:line="480" w:lineRule="atLeast"/>
        <w:ind w:firstLine="576" w:firstLineChars="200"/>
        <w:textAlignment w:val="auto"/>
        <w:rPr>
          <w:rFonts w:hint="eastAsia" w:ascii="仿宋_GB2312" w:hAnsi="仿宋_GB2312" w:eastAsia="仿宋_GB2312" w:cs="仿宋_GB2312"/>
          <w:color w:val="231F20"/>
          <w:spacing w:val="-16"/>
          <w:sz w:val="32"/>
          <w:szCs w:val="32"/>
        </w:rPr>
      </w:pPr>
      <w:r>
        <w:rPr>
          <w:rFonts w:hint="eastAsia" w:ascii="仿宋_GB2312" w:hAnsi="仿宋_GB2312" w:eastAsia="仿宋_GB2312" w:cs="仿宋_GB2312"/>
          <w:color w:val="231F20"/>
          <w:spacing w:val="-16"/>
          <w:sz w:val="32"/>
          <w:szCs w:val="32"/>
        </w:rPr>
        <w:t>当事人如不服本行政处罚决定，可在收到本处罚决定书之日起六十日内向</w:t>
      </w:r>
      <w:r>
        <w:rPr>
          <w:rFonts w:hint="eastAsia" w:ascii="仿宋_GB2312" w:hAnsi="仿宋_GB2312" w:eastAsia="仿宋_GB2312" w:cs="仿宋_GB2312"/>
          <w:color w:val="231F20"/>
          <w:spacing w:val="-16"/>
          <w:sz w:val="32"/>
          <w:szCs w:val="32"/>
          <w:lang w:val="en-US" w:eastAsia="zh-CN"/>
        </w:rPr>
        <w:t>安徽省</w:t>
      </w:r>
      <w:r>
        <w:rPr>
          <w:rFonts w:hint="eastAsia" w:ascii="仿宋_GB2312" w:hAnsi="仿宋_GB2312" w:eastAsia="仿宋_GB2312" w:cs="仿宋_GB2312"/>
          <w:color w:val="231F20"/>
          <w:spacing w:val="-16"/>
          <w:sz w:val="32"/>
          <w:szCs w:val="32"/>
        </w:rPr>
        <w:t>市场监督管理局或者是</w:t>
      </w:r>
      <w:r>
        <w:rPr>
          <w:rFonts w:hint="eastAsia" w:ascii="仿宋_GB2312" w:hAnsi="仿宋_GB2312" w:eastAsia="仿宋_GB2312" w:cs="仿宋_GB2312"/>
          <w:color w:val="231F20"/>
          <w:spacing w:val="-16"/>
          <w:sz w:val="32"/>
          <w:szCs w:val="32"/>
          <w:lang w:val="en-US" w:eastAsia="zh-CN"/>
        </w:rPr>
        <w:t>淮南市</w:t>
      </w:r>
      <w:r>
        <w:rPr>
          <w:rFonts w:hint="eastAsia" w:ascii="仿宋_GB2312" w:hAnsi="仿宋_GB2312" w:eastAsia="仿宋_GB2312" w:cs="仿宋_GB2312"/>
          <w:color w:val="231F20"/>
          <w:spacing w:val="-16"/>
          <w:sz w:val="32"/>
          <w:szCs w:val="32"/>
        </w:rPr>
        <w:t>人民政府申请复议;也可在六个月内向淮南市</w:t>
      </w:r>
      <w:r>
        <w:rPr>
          <w:rFonts w:hint="eastAsia" w:ascii="仿宋_GB2312" w:hAnsi="仿宋_GB2312" w:eastAsia="仿宋_GB2312" w:cs="仿宋_GB2312"/>
          <w:color w:val="231F20"/>
          <w:spacing w:val="-16"/>
          <w:sz w:val="32"/>
          <w:szCs w:val="32"/>
          <w:lang w:val="en-US" w:eastAsia="zh-CN"/>
        </w:rPr>
        <w:t>田家庵区</w:t>
      </w:r>
      <w:r>
        <w:rPr>
          <w:rFonts w:hint="eastAsia" w:ascii="仿宋_GB2312" w:hAnsi="仿宋_GB2312" w:eastAsia="仿宋_GB2312" w:cs="仿宋_GB2312"/>
          <w:color w:val="231F20"/>
          <w:spacing w:val="-16"/>
          <w:sz w:val="32"/>
          <w:szCs w:val="32"/>
        </w:rPr>
        <w:t>人民法院提起诉讼。当事人对行政处罚决定不服，申请行政复议或者提起行政诉讼的，行政处罚不停止执行。</w:t>
      </w:r>
      <w:r>
        <w:rPr>
          <w:rFonts w:hint="eastAsia" w:ascii="仿宋_GB2312" w:hAnsi="仿宋_GB2312" w:eastAsia="仿宋_GB2312" w:cs="仿宋_GB2312"/>
          <w:bCs/>
          <w:color w:val="000000"/>
          <w:sz w:val="32"/>
          <w:szCs w:val="32"/>
        </w:rPr>
        <w:pict>
          <v:line id="_x0000_s1028" o:spid="_x0000_s1028" o:spt="20" style="position:absolute;left:0pt;margin-left:0pt;margin-top:1638.35pt;height:0.1pt;width:453.75pt;z-index:251661312;mso-width-relative:page;mso-height-relative:page;"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i+/zkdcAAAAKAQAADwAA&#10;AAAAAAABACAAAAAiAAAAZHJzL2Rvd25yZXYueG1sUEsBAhQAFAAAAAgAh07iQGaJ3cTeAQAAlwMA&#10;AA4AAAAAAAAAAQAgAAAAJgEAAGRycy9lMm9Eb2MueG1sUEsFBgAAAAAGAAYAWQEAAHYFAAAAAA==&#10;">
            <v:path arrowok="t"/>
            <v:fill focussize="0,0"/>
            <v:stroke weight="0.737007874015748pt" endcap="square"/>
            <v:imagedata o:title=""/>
            <o:lock v:ext="edit"/>
          </v:line>
        </w:pict>
      </w:r>
    </w:p>
    <w:p>
      <w:pPr>
        <w:adjustRightInd w:val="0"/>
        <w:snapToGrid w:val="0"/>
        <w:spacing w:line="480" w:lineRule="atLeast"/>
        <w:ind w:firstLine="640" w:firstLineChars="200"/>
        <w:rPr>
          <w:rFonts w:hint="eastAsia" w:ascii="仿宋_GB2312" w:hAnsi="仿宋_GB2312" w:eastAsia="仿宋_GB2312" w:cs="仿宋_GB2312"/>
          <w:sz w:val="32"/>
          <w:szCs w:val="32"/>
        </w:rPr>
      </w:pPr>
    </w:p>
    <w:p>
      <w:pPr>
        <w:adjustRightInd w:val="0"/>
        <w:snapToGrid w:val="0"/>
        <w:spacing w:line="480" w:lineRule="atLeast"/>
        <w:ind w:firstLine="640" w:firstLineChars="200"/>
        <w:rPr>
          <w:rFonts w:hint="eastAsia" w:ascii="仿宋_GB2312" w:hAnsi="仿宋_GB2312" w:eastAsia="仿宋_GB2312" w:cs="仿宋_GB2312"/>
          <w:sz w:val="32"/>
          <w:szCs w:val="32"/>
        </w:rPr>
      </w:pPr>
    </w:p>
    <w:p>
      <w:pPr>
        <w:adjustRightInd w:val="0"/>
        <w:snapToGrid w:val="0"/>
        <w:spacing w:line="480" w:lineRule="atLeast"/>
        <w:ind w:firstLine="640" w:firstLineChars="200"/>
        <w:rPr>
          <w:rFonts w:hint="eastAsia" w:ascii="仿宋_GB2312" w:hAnsi="仿宋_GB2312" w:eastAsia="仿宋_GB2312" w:cs="仿宋_GB2312"/>
          <w:sz w:val="32"/>
          <w:szCs w:val="32"/>
        </w:rPr>
      </w:pPr>
    </w:p>
    <w:p>
      <w:pPr>
        <w:adjustRightInd w:val="0"/>
        <w:snapToGrid w:val="0"/>
        <w:spacing w:line="480" w:lineRule="atLeast"/>
        <w:ind w:firstLine="4480" w:firstLineChars="1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淮南市市场监督管理局</w:t>
      </w:r>
    </w:p>
    <w:p>
      <w:pPr>
        <w:adjustRightInd w:val="0"/>
        <w:snapToGrid w:val="0"/>
        <w:spacing w:line="4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2021年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w:t>
      </w:r>
    </w:p>
    <w:p>
      <w:pPr>
        <w:rPr>
          <w:rFonts w:asciiTheme="minorEastAsia" w:hAnsiTheme="minorEastAsia" w:cstheme="minorEastAsia"/>
          <w:sz w:val="30"/>
          <w:szCs w:val="30"/>
        </w:rPr>
      </w:pPr>
    </w:p>
    <w:p>
      <w:pPr>
        <w:rPr>
          <w:rFonts w:asciiTheme="minorEastAsia" w:hAnsiTheme="minorEastAsia" w:cstheme="minorEastAsia"/>
          <w:sz w:val="30"/>
          <w:szCs w:val="30"/>
        </w:rPr>
      </w:pPr>
    </w:p>
    <w:p>
      <w:pPr>
        <w:rPr>
          <w:rFonts w:asciiTheme="minorEastAsia" w:hAnsiTheme="minorEastAsia" w:cstheme="minorEastAsia"/>
          <w:sz w:val="30"/>
          <w:szCs w:val="30"/>
        </w:rPr>
      </w:pPr>
    </w:p>
    <w:p>
      <w:pPr>
        <w:rPr>
          <w:rFonts w:asciiTheme="minorEastAsia" w:hAnsiTheme="minorEastAsia" w:cstheme="minorEastAsia"/>
          <w:sz w:val="30"/>
          <w:szCs w:val="30"/>
        </w:rPr>
      </w:pPr>
    </w:p>
    <w:p>
      <w:pPr>
        <w:rPr>
          <w:rFonts w:asciiTheme="minorEastAsia" w:hAnsiTheme="minorEastAsia" w:cstheme="minorEastAsia"/>
          <w:sz w:val="30"/>
          <w:szCs w:val="30"/>
        </w:rPr>
      </w:pPr>
    </w:p>
    <w:p>
      <w:pPr>
        <w:pStyle w:val="2"/>
        <w:adjustRightInd/>
        <w:spacing w:before="1"/>
        <w:rPr>
          <w:rFonts w:ascii="黑体" w:hAnsi="黑体" w:eastAsia="黑体"/>
          <w:color w:val="231F20"/>
          <w:spacing w:val="-16"/>
        </w:rPr>
      </w:pPr>
      <w:r>
        <w:rPr>
          <w:rFonts w:hint="eastAsia" w:ascii="黑体" w:hAnsi="黑体" w:eastAsia="黑体"/>
          <w:color w:val="231F20"/>
          <w:spacing w:val="-16"/>
        </w:rPr>
        <w:t>（市场监督管理部门将依法向社会公示本行政处罚决定信息）</w:t>
      </w:r>
    </w:p>
    <w:p>
      <w:pPr>
        <w:rPr>
          <w:rFonts w:ascii="黑体" w:hAnsi="黑体" w:eastAsia="黑体"/>
          <w:color w:val="231F20"/>
          <w:spacing w:val="-16"/>
        </w:rPr>
      </w:pPr>
      <w:r>
        <w:rPr>
          <w:rFonts w:ascii="Times New Roman" w:hAnsi="Times New Roman" w:eastAsia="仿宋_GB2312"/>
          <w:sz w:val="32"/>
        </w:rPr>
        <w:pict>
          <v:line id="_x0000_s1026" o:spid="_x0000_s1026" o:spt="20" style="position:absolute;left:0pt;margin-left:2.3pt;margin-top:-0.2pt;height:0.05pt;width:437.05pt;z-index:251660288;mso-width-relative:page;mso-height-relative:page;" coordsize="21600,21600" o:gfxdata="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d67+l1AAAAAUBAAAPAAAAAAAAAAEA&#10;IAAAACIAAABkcnMvZG93bnJldi54bWxQSwECFAAUAAAACACHTuJA1cgX1doBAACZAwAADgAAAAAA&#10;AAABACAAAAAjAQAAZHJzL2Uyb0RvYy54bWxQSwUGAAAAAAYABgBZAQAAbwUAAAAA&#10;">
            <v:path arrowok="t"/>
            <v:fill focussize="0,0"/>
            <v:stroke weight="1.25pt"/>
            <v:imagedata o:title=""/>
            <o:lock v:ext="edit"/>
          </v:line>
        </w:pict>
      </w:r>
      <w:r>
        <w:rPr>
          <w:rFonts w:ascii="Times New Roman" w:hAnsi="Times New Roman" w:eastAsia="仿宋_GB2312" w:cs="仿宋"/>
          <w:bCs/>
          <w:color w:val="000000"/>
          <w:sz w:val="32"/>
          <w:szCs w:val="32"/>
        </w:rPr>
        <w:pict>
          <v:line id="_x0000_s1027" o:spid="_x0000_s1027" o:spt="20" style="position:absolute;left:0pt;margin-left:0pt;margin-top:1638.35pt;height:0.1pt;width:453.75pt;z-index:251659264;mso-width-relative:page;mso-height-relative:page;"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i+/zkdcAAAAKAQAADwAA&#10;AAAAAAABACAAAAAiAAAAZHJzL2Rvd25yZXYueG1sUEsBAhQAFAAAAAgAh07iQGaJ3cTeAQAAlwMA&#10;AA4AAAAAAAAAAQAgAAAAJgEAAGRycy9lMm9Eb2MueG1sUEsFBgAAAAAGAAYAWQEAAHYFAAAAAA==&#10;">
            <v:path arrowok="t"/>
            <v:fill focussize="0,0"/>
            <v:stroke weight="0.737007874015748pt" endcap="square"/>
            <v:imagedata o:title=""/>
            <o:lock v:ext="edit"/>
          </v:line>
        </w:pic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u w:val="single"/>
          <w:lang w:val="en-US" w:eastAsia="zh-CN"/>
        </w:rPr>
        <w:t>二</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u w:val="single"/>
          <w:lang w:val="en-US" w:eastAsia="zh-CN"/>
        </w:rPr>
        <w:t>一</w:t>
      </w:r>
      <w:r>
        <w:rPr>
          <w:rFonts w:hint="eastAsia" w:ascii="Times New Roman" w:hAnsi="Times New Roman" w:eastAsia="仿宋_GB2312" w:cs="仿宋"/>
          <w:color w:val="000000"/>
          <w:sz w:val="32"/>
          <w:szCs w:val="32"/>
        </w:rPr>
        <w:t>份送达，一份归档，</w:t>
      </w:r>
      <w:r>
        <w:rPr>
          <w:rFonts w:hint="eastAsia" w:ascii="Times New Roman" w:hAnsi="Times New Roman" w:eastAsia="仿宋_GB2312" w:cs="仿宋"/>
          <w:color w:val="000000"/>
          <w:sz w:val="32"/>
          <w:szCs w:val="32"/>
          <w:u w:val="single"/>
          <w:lang w:val="en-US" w:eastAsia="zh-CN"/>
        </w:rPr>
        <w:t>由办案机构留存</w:t>
      </w:r>
      <w:r>
        <w:rPr>
          <w:rFonts w:hint="eastAsia" w:ascii="Times New Roman" w:hAnsi="Times New Roman" w:eastAsia="仿宋_GB2312" w:cs="仿宋"/>
          <w:color w:val="000000"/>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AD15E25"/>
    <w:rsid w:val="0091065E"/>
    <w:rsid w:val="00A60B94"/>
    <w:rsid w:val="00B40D21"/>
    <w:rsid w:val="00B77725"/>
    <w:rsid w:val="04222A5F"/>
    <w:rsid w:val="05F92DDC"/>
    <w:rsid w:val="08D069EB"/>
    <w:rsid w:val="09EB1B63"/>
    <w:rsid w:val="0AC94872"/>
    <w:rsid w:val="0B006766"/>
    <w:rsid w:val="141B194C"/>
    <w:rsid w:val="2148092D"/>
    <w:rsid w:val="21E37453"/>
    <w:rsid w:val="22457241"/>
    <w:rsid w:val="249E10C1"/>
    <w:rsid w:val="25E535EB"/>
    <w:rsid w:val="29C57696"/>
    <w:rsid w:val="2A8A4AA6"/>
    <w:rsid w:val="2B0F3F82"/>
    <w:rsid w:val="2D9A4369"/>
    <w:rsid w:val="2EB368BF"/>
    <w:rsid w:val="32CF7DA6"/>
    <w:rsid w:val="34643731"/>
    <w:rsid w:val="35202463"/>
    <w:rsid w:val="3AD15E25"/>
    <w:rsid w:val="3B74479D"/>
    <w:rsid w:val="3C984D78"/>
    <w:rsid w:val="40D84BFE"/>
    <w:rsid w:val="416F6B49"/>
    <w:rsid w:val="4A4C332E"/>
    <w:rsid w:val="4FE21E3E"/>
    <w:rsid w:val="5714026E"/>
    <w:rsid w:val="5A8F4E1E"/>
    <w:rsid w:val="5AD57930"/>
    <w:rsid w:val="5BA86AF7"/>
    <w:rsid w:val="65B20DEA"/>
    <w:rsid w:val="6A210391"/>
    <w:rsid w:val="6AFE1871"/>
    <w:rsid w:val="72330BA2"/>
    <w:rsid w:val="7B736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cs="Arial Unicode MS"/>
      <w:kern w:val="0"/>
      <w:sz w:val="32"/>
      <w:szCs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420</Words>
  <Characters>2400</Characters>
  <Lines>20</Lines>
  <Paragraphs>5</Paragraphs>
  <TotalTime>0</TotalTime>
  <ScaleCrop>false</ScaleCrop>
  <LinksUpToDate>false</LinksUpToDate>
  <CharactersWithSpaces>2815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2019-05-29T02:38:00Z</dcterms:created>
  <dc:creator>陪你去巴黎</dc:creator>
  <cp:lastModifiedBy>Administrator</cp:lastModifiedBy>
  <cp:lastPrinted>2021-09-17T02:42:00Z</cp:lastPrinted>
  <dcterms:modified xsi:type="dcterms:W3CDTF">2021-09-22T02:11:50Z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FB67C0D6E15E4870979094F2A76074CD</vt:lpwstr>
  </property>
</Properties>
</file>