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bookmarkStart w:id="0" w:name="_GoBack"/>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266</w:t>
      </w:r>
      <w:r>
        <w:rPr>
          <w:rFonts w:hint="eastAsia" w:ascii="仿宋_GB2312" w:hAnsi="仿宋_GB2312" w:eastAsia="仿宋_GB2312" w:cs="仿宋_GB2312"/>
          <w:sz w:val="32"/>
          <w:szCs w:val="32"/>
        </w:rPr>
        <w:t>号</w:t>
      </w:r>
      <w:bookmarkEnd w:id="0"/>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00" w:lineRule="atLeast"/>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当事人：淮南市福之源大药房连锁有限公司银鹭万树城店                                      </w:t>
      </w:r>
    </w:p>
    <w:p>
      <w:pPr>
        <w:keepNext w:val="0"/>
        <w:keepLines w:val="0"/>
        <w:pageBreakBefore w:val="0"/>
        <w:kinsoku/>
        <w:wordWrap/>
        <w:overflowPunct/>
        <w:topLinePunct w:val="0"/>
        <w:autoSpaceDE/>
        <w:autoSpaceDN/>
        <w:bidi w:val="0"/>
        <w:adjustRightInd w:val="0"/>
        <w:snapToGrid w:val="0"/>
        <w:spacing w:line="50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00" w:lineRule="atLeast"/>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统一社会信用代码（注册号）：91340400MA2RJ4NL8F                     </w:t>
      </w:r>
    </w:p>
    <w:p>
      <w:pPr>
        <w:keepNext w:val="0"/>
        <w:keepLines w:val="0"/>
        <w:pageBreakBefore w:val="0"/>
        <w:kinsoku/>
        <w:wordWrap/>
        <w:overflowPunct/>
        <w:topLinePunct w:val="0"/>
        <w:autoSpaceDE/>
        <w:autoSpaceDN/>
        <w:bidi w:val="0"/>
        <w:adjustRightInd w:val="0"/>
        <w:snapToGrid w:val="0"/>
        <w:spacing w:line="500" w:lineRule="atLeast"/>
        <w:jc w:val="left"/>
        <w:textAlignment w:val="auto"/>
        <w:rPr>
          <w:rFonts w:hint="default" w:ascii="仿宋_GB2312" w:hAnsi="仿宋_GB2312" w:eastAsia="仿宋_GB2312" w:cs="仿宋_GB2312"/>
          <w:w w:val="80"/>
          <w:sz w:val="32"/>
          <w:szCs w:val="32"/>
          <w:u w:val="single"/>
          <w:lang w:val="en-US" w:eastAsia="zh-CN"/>
        </w:rPr>
      </w:pPr>
      <w:r>
        <w:rPr>
          <w:rFonts w:hint="eastAsia" w:ascii="仿宋_GB2312" w:hAnsi="仿宋_GB2312" w:eastAsia="仿宋_GB2312" w:cs="仿宋_GB2312"/>
          <w:sz w:val="32"/>
          <w:szCs w:val="32"/>
          <w:u w:val="single"/>
        </w:rPr>
        <w:t>住所（住址）：淮南市田家庵区朝阳西路银鹭万树城组团四20号楼2单元305室</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0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法定代表人（负责人、经营者）：郁树久                     </w:t>
      </w:r>
    </w:p>
    <w:p>
      <w:pPr>
        <w:keepNext w:val="0"/>
        <w:keepLines w:val="0"/>
        <w:pageBreakBefore w:val="0"/>
        <w:kinsoku/>
        <w:wordWrap/>
        <w:overflowPunct/>
        <w:topLinePunct w:val="0"/>
        <w:autoSpaceDE/>
        <w:autoSpaceDN/>
        <w:bidi w:val="0"/>
        <w:adjustRightInd w:val="0"/>
        <w:snapToGrid w:val="0"/>
        <w:spacing w:line="50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00" w:lineRule="atLeas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00" w:lineRule="atLeas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w w:val="80"/>
          <w:sz w:val="32"/>
          <w:szCs w:val="32"/>
          <w:u w:val="single"/>
          <w:lang w:val="en-US" w:eastAsia="zh-CN"/>
        </w:rPr>
        <w:t xml:space="preserve">                                                </w:t>
      </w:r>
    </w:p>
    <w:p>
      <w:pPr>
        <w:pStyle w:val="2"/>
        <w:keepNext w:val="0"/>
        <w:keepLines w:val="0"/>
        <w:pageBreakBefore w:val="0"/>
        <w:kinsoku/>
        <w:wordWrap/>
        <w:overflowPunct/>
        <w:topLinePunct w:val="0"/>
        <w:bidi w:val="0"/>
        <w:adjustRightInd w:val="0"/>
        <w:snapToGrid w:val="0"/>
        <w:spacing w:line="500" w:lineRule="atLeast"/>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10月14日，淮南市田家庵区市场监督管理局执法人员到田家庵区朝阳西路银鹭万树城组团四20号楼2单元305室淮南市福之源大药房连锁有限公司银鹭万树城店进行检查。当事人现场提供了该店2022年10月14日《处方药销售登记表》，该表有记录：购药日期：10.14；药品名称规格：左甲状腺素钠；数量：2；执业药师审方签字：周艳梅；经销人签字：刘桂兰。检查时，执业药师周艳梅不在岗，且当事人无法提供执业药师周艳梅10月14日上班打卡记录信息，当事人现场承认上述10月14日的《处方药销售登记表》中执业药师周艳梅三个字由店员刘桂兰代签，且10月14日截止我局检查时止，执业药师周艳梅一直未在岗。我局于2022年10月14日立案调查，并指派执法人员从光玉(执法证号∶D80160021)、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val="en-US" w:eastAsia="zh-CN"/>
        </w:rPr>
        <w:t>2022年10月14日当天截至我局执法人员检查时止，执业药师未在岗，根据当事人提供的2022年10月14日的《处方药销售登记表》，</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执业药师不在岗的情况下销售了处方药“左甲状腺素钠”。</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500" w:lineRule="atLeast"/>
        <w:ind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以及现场图片</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val="en-US" w:eastAsia="zh-CN"/>
        </w:rPr>
        <w:t>淮南市田家庵区市场监督管理局执法人员对当事人进行检查，现场发现执业药师不在岗销售处方药</w:t>
      </w:r>
      <w:r>
        <w:rPr>
          <w:rFonts w:hint="eastAsia" w:ascii="仿宋_GB2312" w:hAnsi="仿宋_GB2312" w:eastAsia="仿宋_GB2312" w:cs="仿宋_GB2312"/>
          <w:sz w:val="32"/>
          <w:szCs w:val="32"/>
        </w:rPr>
        <w:t>的事实；</w:t>
      </w:r>
    </w:p>
    <w:p>
      <w:pPr>
        <w:keepNext w:val="0"/>
        <w:keepLines w:val="0"/>
        <w:pageBreakBefore w:val="0"/>
        <w:widowControl/>
        <w:kinsoku/>
        <w:wordWrap/>
        <w:overflowPunct/>
        <w:topLinePunct w:val="0"/>
        <w:autoSpaceDE/>
        <w:autoSpaceDN/>
        <w:bidi w:val="0"/>
        <w:adjustRightInd w:val="0"/>
        <w:snapToGrid w:val="0"/>
        <w:spacing w:line="50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询问笔录》、</w:t>
      </w:r>
      <w:r>
        <w:rPr>
          <w:rFonts w:hint="eastAsia" w:ascii="仿宋_GB2312" w:hAnsi="仿宋_GB2312" w:eastAsia="仿宋_GB2312" w:cs="仿宋_GB2312"/>
          <w:sz w:val="32"/>
          <w:szCs w:val="32"/>
          <w:lang w:val="en-US" w:eastAsia="zh-CN"/>
        </w:rPr>
        <w:t>《处方药销售登记表》一份</w:t>
      </w:r>
      <w:r>
        <w:rPr>
          <w:rFonts w:hint="eastAsia" w:ascii="仿宋_GB2312" w:hAnsi="仿宋_GB2312" w:eastAsia="仿宋_GB2312" w:cs="仿宋_GB2312"/>
          <w:sz w:val="32"/>
          <w:szCs w:val="32"/>
        </w:rPr>
        <w:t>，证明当事人</w:t>
      </w:r>
      <w:r>
        <w:rPr>
          <w:rFonts w:hint="eastAsia" w:ascii="仿宋_GB2312" w:hAnsi="仿宋_GB2312" w:eastAsia="仿宋_GB2312" w:cs="仿宋_GB2312"/>
          <w:sz w:val="32"/>
          <w:szCs w:val="32"/>
          <w:lang w:val="en-US" w:eastAsia="zh-CN"/>
        </w:rPr>
        <w:t>执业药师不在岗销售处方药</w:t>
      </w:r>
      <w:r>
        <w:rPr>
          <w:rFonts w:hint="eastAsia" w:ascii="仿宋_GB2312" w:hAnsi="仿宋_GB2312" w:eastAsia="仿宋_GB2312" w:cs="仿宋_GB2312"/>
          <w:sz w:val="32"/>
          <w:szCs w:val="32"/>
        </w:rPr>
        <w:t>的事实</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《药品经营许可证》</w:t>
      </w:r>
      <w:r>
        <w:rPr>
          <w:rFonts w:hint="eastAsia" w:ascii="仿宋_GB2312" w:hAnsi="仿宋_GB2312" w:eastAsia="仿宋_GB2312" w:cs="仿宋_GB2312"/>
          <w:sz w:val="32"/>
          <w:szCs w:val="32"/>
          <w:lang w:eastAsia="zh-CN"/>
        </w:rPr>
        <w:t>、《执业药师注册证》</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负责人</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4.当事人出具的授权委托书原件、受委托人的身份证复印件各一份，证明受委托人的身份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本案</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04</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执业药师不在岗销售处方药的行为</w:t>
      </w:r>
      <w:r>
        <w:rPr>
          <w:rFonts w:hint="eastAsia" w:ascii="仿宋_GB2312" w:hAnsi="仿宋_GB2312" w:eastAsia="仿宋_GB2312" w:cs="仿宋_GB2312"/>
          <w:sz w:val="32"/>
          <w:szCs w:val="32"/>
        </w:rPr>
        <w:t>，违反了</w:t>
      </w:r>
      <w:r>
        <w:rPr>
          <w:rFonts w:hint="eastAsia" w:ascii="仿宋_GB2312" w:hAnsi="仿宋_GB2312" w:eastAsia="仿宋_GB2312" w:cs="仿宋_GB2312"/>
          <w:sz w:val="32"/>
          <w:szCs w:val="32"/>
          <w:lang w:val="en-US" w:eastAsia="zh-CN"/>
        </w:rPr>
        <w:t>《药品流通监督管理办法》第十八条第二款</w:t>
      </w:r>
      <w:r>
        <w:rPr>
          <w:rFonts w:hint="eastAsia" w:ascii="仿宋_GB2312" w:hAnsi="仿宋_GB2312" w:eastAsia="仿宋_GB2312" w:cs="仿宋_GB2312"/>
          <w:sz w:val="32"/>
          <w:szCs w:val="32"/>
        </w:rPr>
        <w:t>“经营处方药和甲类非处方药的药品零售企业，执业药师或者其他依法经资格认定的药学技术人员不在岗时，应当挂牌告知，并停止销售处方药和甲类非处方药。”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0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val="en-US" w:eastAsia="zh-CN"/>
        </w:rPr>
        <w:t>《药品流通监督管理办法》第三十八条第二款</w:t>
      </w:r>
      <w:r>
        <w:rPr>
          <w:rFonts w:hint="eastAsia" w:ascii="仿宋_GB2312" w:hAnsi="仿宋_GB2312" w:eastAsia="仿宋_GB2312" w:cs="仿宋_GB2312"/>
          <w:sz w:val="32"/>
          <w:szCs w:val="32"/>
        </w:rPr>
        <w:t>“违反本办法第十八条第二款规定，药品零售企业在执业药师或者其他依法经过资格认定的药学技术人员不在岗时销售处方药或者甲类非处方药的，责令限期改正，给予警告；逾期不改正的，处以一千元以下的罚款。”、《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“行政机关实施行政处罚时，应当责令当事人改正或者限期改正违法行为。”之规定，</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责令当事人改正违法行为并予以处罚如下：</w:t>
      </w:r>
      <w:r>
        <w:rPr>
          <w:rFonts w:hint="eastAsia" w:ascii="仿宋_GB2312" w:hAnsi="仿宋_GB2312" w:eastAsia="仿宋_GB2312" w:cs="仿宋_GB2312"/>
          <w:sz w:val="32"/>
          <w:szCs w:val="32"/>
          <w:lang w:eastAsia="zh-CN"/>
        </w:rPr>
        <w:t>警告。</w:t>
      </w:r>
    </w:p>
    <w:p>
      <w:pPr>
        <w:keepNext w:val="0"/>
        <w:keepLines w:val="0"/>
        <w:pageBreakBefore w:val="0"/>
        <w:kinsoku/>
        <w:wordWrap/>
        <w:overflowPunct/>
        <w:topLinePunct w:val="0"/>
        <w:autoSpaceDE/>
        <w:autoSpaceDN/>
        <w:bidi w:val="0"/>
        <w:adjustRightInd w:val="0"/>
        <w:snapToGrid w:val="0"/>
        <w:spacing w:line="5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bidi w:val="0"/>
        <w:snapToGrid w:val="0"/>
        <w:spacing w:line="280" w:lineRule="atLeast"/>
        <w:rPr>
          <w:rFonts w:hint="eastAsia" w:ascii="仿宋_GB2312" w:hAnsi="仿宋_GB2312" w:eastAsia="仿宋_GB2312" w:cs="仿宋_GB2312"/>
          <w:color w:val="231F20"/>
          <w:spacing w:val="-16"/>
          <w:sz w:val="32"/>
          <w:szCs w:val="32"/>
        </w:rPr>
      </w:pPr>
    </w:p>
    <w:p>
      <w:pPr>
        <w:keepNext w:val="0"/>
        <w:keepLines w:val="0"/>
        <w:pageBreakBefore w:val="0"/>
        <w:kinsoku/>
        <w:wordWrap/>
        <w:overflowPunct/>
        <w:topLinePunct w:val="0"/>
        <w:bidi w:val="0"/>
        <w:snapToGrid w:val="0"/>
        <w:spacing w:line="280" w:lineRule="atLeast"/>
        <w:rPr>
          <w:rFonts w:hint="eastAsia" w:ascii="仿宋_GB2312" w:hAnsi="仿宋_GB2312" w:eastAsia="仿宋_GB2312" w:cs="仿宋_GB2312"/>
          <w:color w:val="231F20"/>
          <w:spacing w:val="-16"/>
          <w:sz w:val="32"/>
          <w:szCs w:val="32"/>
        </w:rPr>
      </w:pPr>
    </w:p>
    <w:p>
      <w:pPr>
        <w:keepNext w:val="0"/>
        <w:keepLines w:val="0"/>
        <w:pageBreakBefore w:val="0"/>
        <w:kinsoku/>
        <w:wordWrap/>
        <w:overflowPunct/>
        <w:topLinePunct w:val="0"/>
        <w:bidi w:val="0"/>
        <w:snapToGrid w:val="0"/>
        <w:spacing w:line="280" w:lineRule="atLeast"/>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bCs/>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23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bidi w:val="0"/>
        <w:adjustRightInd w:val="0"/>
        <w:snapToGrid w:val="0"/>
        <w:spacing w:line="280" w:lineRule="atLeas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28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bidi w:val="0"/>
        <w:adjustRightInd w:val="0"/>
        <w:snapToGrid w:val="0"/>
        <w:spacing w:line="480" w:lineRule="atLeas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atLeas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adjustRightInd w:val="0"/>
        <w:snapToGrid w:val="0"/>
        <w:spacing w:before="1" w:line="480" w:lineRule="atLeast"/>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color w:val="231F20"/>
          <w:spacing w:val="-16"/>
          <w:sz w:val="32"/>
          <w:szCs w:val="32"/>
        </w:rPr>
        <w:t>（市场监督管理部门将依法向社会公示本行政处罚决定信息）</w:t>
      </w:r>
    </w:p>
    <w:p>
      <w:pPr>
        <w:keepNext w:val="0"/>
        <w:keepLines w:val="0"/>
        <w:pageBreakBefore w:val="0"/>
        <w:kinsoku/>
        <w:wordWrap/>
        <w:overflowPunct/>
        <w:topLinePunct w:val="0"/>
        <w:bidi w:val="0"/>
        <w:adjustRightInd w:val="0"/>
        <w:snapToGrid w:val="0"/>
        <w:spacing w:line="480" w:lineRule="atLeast"/>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1312;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仿宋_GB2312" w:hAnsi="仿宋_GB2312" w:eastAsia="仿宋_GB2312" w:cs="仿宋_GB2312"/>
          <w:color w:val="000000"/>
          <w:sz w:val="32"/>
          <w:szCs w:val="32"/>
        </w:rPr>
        <w:t>本文书一式</w:t>
      </w:r>
      <w:r>
        <w:rPr>
          <w:rFonts w:hint="eastAsia" w:ascii="仿宋_GB2312" w:hAnsi="仿宋_GB2312" w:eastAsia="仿宋_GB2312" w:cs="仿宋_GB2312"/>
          <w:color w:val="000000"/>
          <w:sz w:val="32"/>
          <w:szCs w:val="32"/>
          <w:u w:val="single"/>
          <w:lang w:val="en-US" w:eastAsia="zh-CN"/>
        </w:rPr>
        <w:t>二</w:t>
      </w:r>
      <w:r>
        <w:rPr>
          <w:rFonts w:hint="eastAsia" w:ascii="仿宋_GB2312" w:hAnsi="仿宋_GB2312" w:eastAsia="仿宋_GB2312" w:cs="仿宋_GB2312"/>
          <w:color w:val="000000"/>
          <w:sz w:val="32"/>
          <w:szCs w:val="32"/>
        </w:rPr>
        <w:t>份，</w:t>
      </w:r>
      <w:r>
        <w:rPr>
          <w:rFonts w:hint="eastAsia" w:ascii="仿宋_GB2312" w:hAnsi="仿宋_GB2312" w:eastAsia="仿宋_GB2312" w:cs="仿宋_GB2312"/>
          <w:color w:val="000000"/>
          <w:sz w:val="32"/>
          <w:szCs w:val="32"/>
          <w:u w:val="single"/>
          <w:lang w:val="en-US" w:eastAsia="zh-CN"/>
        </w:rPr>
        <w:t>一</w:t>
      </w:r>
      <w:r>
        <w:rPr>
          <w:rFonts w:hint="eastAsia" w:ascii="仿宋_GB2312" w:hAnsi="仿宋_GB2312" w:eastAsia="仿宋_GB2312" w:cs="仿宋_GB2312"/>
          <w:color w:val="000000"/>
          <w:sz w:val="32"/>
          <w:szCs w:val="32"/>
        </w:rPr>
        <w:t>份送达，一份归档，</w:t>
      </w:r>
      <w:r>
        <w:rPr>
          <w:rFonts w:hint="eastAsia" w:ascii="仿宋_GB2312" w:hAnsi="仿宋_GB2312" w:eastAsia="仿宋_GB2312" w:cs="仿宋_GB2312"/>
          <w:color w:val="000000"/>
          <w:sz w:val="32"/>
          <w:szCs w:val="32"/>
          <w:u w:val="single"/>
          <w:lang w:val="en-US" w:eastAsia="zh-CN"/>
        </w:rPr>
        <w:t>由办案机构留存</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91065E"/>
    <w:rsid w:val="00A60B94"/>
    <w:rsid w:val="00B40D21"/>
    <w:rsid w:val="00B77725"/>
    <w:rsid w:val="04222A5F"/>
    <w:rsid w:val="05F92DDC"/>
    <w:rsid w:val="08D069EB"/>
    <w:rsid w:val="099B5260"/>
    <w:rsid w:val="09EB1B63"/>
    <w:rsid w:val="0A424F95"/>
    <w:rsid w:val="0AC94872"/>
    <w:rsid w:val="0B006766"/>
    <w:rsid w:val="13DB5B12"/>
    <w:rsid w:val="13E82206"/>
    <w:rsid w:val="141B194C"/>
    <w:rsid w:val="14864E97"/>
    <w:rsid w:val="1F2111C5"/>
    <w:rsid w:val="2148092D"/>
    <w:rsid w:val="21E37453"/>
    <w:rsid w:val="22457241"/>
    <w:rsid w:val="22AE0FC2"/>
    <w:rsid w:val="249E10C1"/>
    <w:rsid w:val="25E535EB"/>
    <w:rsid w:val="27743E5C"/>
    <w:rsid w:val="287C121A"/>
    <w:rsid w:val="29C57696"/>
    <w:rsid w:val="2A8A4AA6"/>
    <w:rsid w:val="2B0F3F82"/>
    <w:rsid w:val="2D9A4369"/>
    <w:rsid w:val="30C24276"/>
    <w:rsid w:val="32CF7DA6"/>
    <w:rsid w:val="34643731"/>
    <w:rsid w:val="35202463"/>
    <w:rsid w:val="3592461E"/>
    <w:rsid w:val="38CE7E6D"/>
    <w:rsid w:val="3AD15E25"/>
    <w:rsid w:val="3AEC6732"/>
    <w:rsid w:val="3B74479D"/>
    <w:rsid w:val="3C1223D4"/>
    <w:rsid w:val="3F512FA9"/>
    <w:rsid w:val="3FAB2035"/>
    <w:rsid w:val="40D84BFE"/>
    <w:rsid w:val="41073269"/>
    <w:rsid w:val="416F6B49"/>
    <w:rsid w:val="430101A0"/>
    <w:rsid w:val="462D4582"/>
    <w:rsid w:val="47B24801"/>
    <w:rsid w:val="4A4C332E"/>
    <w:rsid w:val="4F0A51C7"/>
    <w:rsid w:val="4FE21E3E"/>
    <w:rsid w:val="504B51EF"/>
    <w:rsid w:val="50F739CD"/>
    <w:rsid w:val="54A83213"/>
    <w:rsid w:val="5714026E"/>
    <w:rsid w:val="57EA1676"/>
    <w:rsid w:val="5A8F4E1E"/>
    <w:rsid w:val="5AD57930"/>
    <w:rsid w:val="5B24736C"/>
    <w:rsid w:val="5B8A3673"/>
    <w:rsid w:val="5BA86AF7"/>
    <w:rsid w:val="62E15A9D"/>
    <w:rsid w:val="65B20DEA"/>
    <w:rsid w:val="67873950"/>
    <w:rsid w:val="69FE72E7"/>
    <w:rsid w:val="6A210391"/>
    <w:rsid w:val="6F5F294D"/>
    <w:rsid w:val="6FA16055"/>
    <w:rsid w:val="6FFE5F86"/>
    <w:rsid w:val="70795F38"/>
    <w:rsid w:val="70EC5DDE"/>
    <w:rsid w:val="71B84953"/>
    <w:rsid w:val="72330BA2"/>
    <w:rsid w:val="74B45A34"/>
    <w:rsid w:val="75C6098C"/>
    <w:rsid w:val="78857244"/>
    <w:rsid w:val="79FC5D72"/>
    <w:rsid w:val="7B323902"/>
    <w:rsid w:val="7B736201"/>
    <w:rsid w:val="7E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1454</Words>
  <Characters>1589</Characters>
  <Lines>20</Lines>
  <Paragraphs>5</Paragraphs>
  <TotalTime>29</TotalTime>
  <ScaleCrop>false</ScaleCrop>
  <LinksUpToDate>false</LinksUpToDate>
  <CharactersWithSpaces>1858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2022-11-15T07:42:00Z</cp:lastPrinted>
  <dcterms:modified xsi:type="dcterms:W3CDTF">2022-11-22T07:24:15Z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43E40258BD8E4A2FA913F5D451E17AB5</vt:lpwstr>
  </property>
</Properties>
</file>