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淮南市市场监</w:t>
      </w:r>
      <w:r>
        <w:rPr>
          <w:rFonts w:hint="eastAsia" w:ascii="方正小标宋简体" w:hAnsi="方正小标宋简体" w:eastAsia="方正小标宋简体" w:cs="方正小标宋简体"/>
          <w:sz w:val="44"/>
          <w:szCs w:val="44"/>
        </w:rPr>
        <w:t>督管理局</w:t>
      </w: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行政处</w:t>
      </w:r>
      <w:r>
        <w:rPr>
          <w:rFonts w:hint="eastAsia" w:ascii="方正小标宋简体" w:hAnsi="方正小标宋简体" w:eastAsia="方正小标宋简体" w:cs="方正小标宋简体"/>
          <w:sz w:val="44"/>
          <w:szCs w:val="44"/>
        </w:rPr>
        <w:t>罚决定书</w:t>
      </w:r>
    </w:p>
    <w:p>
      <w:pPr>
        <w:keepNext w:val="0"/>
        <w:keepLines w:val="0"/>
        <w:pageBreakBefore w:val="0"/>
        <w:kinsoku/>
        <w:wordWrap/>
        <w:overflowPunct/>
        <w:topLinePunct w:val="0"/>
        <w:bidi w:val="0"/>
        <w:adjustRightInd w:val="0"/>
        <w:snapToGrid w:val="0"/>
        <w:spacing w:line="480" w:lineRule="atLeast"/>
        <w:jc w:val="center"/>
        <w:textAlignment w:val="auto"/>
        <w:rPr>
          <w:rFonts w:ascii="仿宋_GB2312" w:hAnsi="仿宋_GB2312" w:eastAsia="仿宋_GB2312" w:cs="仿宋_GB2312"/>
          <w:sz w:val="32"/>
          <w:szCs w:val="32"/>
          <w:highlight w:val="yellow"/>
        </w:rPr>
      </w:pPr>
      <w:bookmarkStart w:id="0" w:name="_GoBack"/>
      <w:r>
        <w:rPr>
          <w:rFonts w:hint="eastAsia" w:ascii="仿宋_GB2312" w:hAnsi="仿宋_GB2312" w:eastAsia="仿宋_GB2312" w:cs="仿宋_GB2312"/>
          <w:sz w:val="32"/>
          <w:szCs w:val="32"/>
          <w:lang w:val="en-US" w:eastAsia="zh-CN"/>
        </w:rPr>
        <w:t>淮市监</w:t>
      </w:r>
      <w:r>
        <w:rPr>
          <w:rFonts w:hint="eastAsia" w:ascii="仿宋_GB2312" w:hAnsi="仿宋_GB2312" w:eastAsia="仿宋_GB2312" w:cs="仿宋_GB2312"/>
          <w:sz w:val="32"/>
          <w:szCs w:val="32"/>
        </w:rPr>
        <w:t>田</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pacing w:val="17"/>
          <w:sz w:val="32"/>
          <w:szCs w:val="32"/>
          <w:lang w:val="en-US" w:eastAsia="zh-CN"/>
        </w:rPr>
        <w:t>罚</w:t>
      </w:r>
      <w:r>
        <w:rPr>
          <w:rFonts w:hint="eastAsia" w:ascii="仿宋_GB2312" w:hAnsi="仿宋_GB2312" w:eastAsia="仿宋_GB2312" w:cs="仿宋_GB2312"/>
          <w:sz w:val="32"/>
          <w:szCs w:val="32"/>
        </w:rPr>
        <w:t>〔</w:t>
      </w:r>
      <w:r>
        <w:rPr>
          <w:rFonts w:hint="eastAsia" w:ascii="仿宋_GB2312" w:hAnsi="仿宋_GB2312" w:eastAsia="仿宋_GB2312" w:cs="仿宋_GB2312"/>
          <w:spacing w:val="18"/>
          <w:sz w:val="32"/>
          <w:szCs w:val="32"/>
        </w:rPr>
        <w:t>202</w:t>
      </w:r>
      <w:r>
        <w:rPr>
          <w:rFonts w:hint="eastAsia" w:ascii="仿宋_GB2312" w:hAnsi="仿宋_GB2312" w:eastAsia="仿宋_GB2312" w:cs="仿宋_GB2312"/>
          <w:spacing w:val="18"/>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267</w:t>
      </w:r>
      <w:r>
        <w:rPr>
          <w:rFonts w:hint="eastAsia" w:ascii="仿宋_GB2312" w:hAnsi="仿宋_GB2312" w:eastAsia="仿宋_GB2312" w:cs="仿宋_GB2312"/>
          <w:sz w:val="32"/>
          <w:szCs w:val="32"/>
        </w:rPr>
        <w:t>号</w:t>
      </w:r>
      <w:bookmarkEnd w:id="0"/>
    </w:p>
    <w:p>
      <w:pPr>
        <w:keepNext w:val="0"/>
        <w:keepLines w:val="0"/>
        <w:pageBreakBefore w:val="0"/>
        <w:kinsoku/>
        <w:wordWrap/>
        <w:overflowPunct/>
        <w:topLinePunct w:val="0"/>
        <w:autoSpaceDE/>
        <w:autoSpaceDN/>
        <w:bidi w:val="0"/>
        <w:adjustRightInd w:val="0"/>
        <w:snapToGrid w:val="0"/>
        <w:spacing w:line="460" w:lineRule="atLeast"/>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当事人：田家庵洞山米记百货商店                                       </w:t>
      </w:r>
    </w:p>
    <w:p>
      <w:pPr>
        <w:keepNext w:val="0"/>
        <w:keepLines w:val="0"/>
        <w:pageBreakBefore w:val="0"/>
        <w:kinsoku/>
        <w:wordWrap/>
        <w:overflowPunct/>
        <w:topLinePunct w:val="0"/>
        <w:autoSpaceDE/>
        <w:autoSpaceDN/>
        <w:bidi w:val="0"/>
        <w:adjustRightInd w:val="0"/>
        <w:snapToGrid w:val="0"/>
        <w:spacing w:line="24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主体资格证照名称：营业</w:t>
      </w:r>
      <w:r>
        <w:rPr>
          <w:rFonts w:hint="eastAsia" w:ascii="仿宋_GB2312" w:hAnsi="仿宋_GB2312" w:eastAsia="仿宋_GB2312" w:cs="仿宋_GB2312"/>
          <w:sz w:val="32"/>
          <w:szCs w:val="32"/>
          <w:u w:val="single"/>
          <w:lang w:val="en-US" w:eastAsia="zh-CN"/>
        </w:rPr>
        <w:t>执照</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统一社会信用代码（注册号）：</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u w:val="single"/>
        </w:rPr>
        <w:t xml:space="preserve">92340403MA2NRUD110                     </w:t>
      </w:r>
    </w:p>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ascii="仿宋_GB2312" w:hAnsi="仿宋_GB2312" w:eastAsia="仿宋_GB2312" w:cs="仿宋_GB2312"/>
          <w:w w:val="90"/>
          <w:sz w:val="32"/>
          <w:szCs w:val="32"/>
          <w:u w:val="single"/>
          <w:lang w:val="en-US" w:eastAsia="zh-CN"/>
        </w:rPr>
      </w:pPr>
      <w:r>
        <w:rPr>
          <w:rFonts w:hint="eastAsia" w:ascii="仿宋_GB2312" w:hAnsi="仿宋_GB2312" w:eastAsia="仿宋_GB2312" w:cs="仿宋_GB2312"/>
          <w:sz w:val="32"/>
          <w:szCs w:val="32"/>
          <w:u w:val="single"/>
        </w:rPr>
        <w:t>住所（住址）：安徽省淮南市田家庵区洞山军分区东</w:t>
      </w:r>
      <w:r>
        <w:rPr>
          <w:rFonts w:hint="eastAsia" w:ascii="仿宋_GB2312" w:hAnsi="仿宋_GB2312" w:eastAsia="仿宋_GB2312" w:cs="仿宋_GB2312"/>
          <w:w w:val="80"/>
          <w:sz w:val="32"/>
          <w:szCs w:val="32"/>
          <w:u w:val="single"/>
          <w:lang w:val="en-US" w:eastAsia="zh-CN"/>
        </w:rPr>
        <w:t xml:space="preserve">         </w:t>
      </w:r>
    </w:p>
    <w:p>
      <w:pPr>
        <w:keepNext w:val="0"/>
        <w:keepLines w:val="0"/>
        <w:pageBreakBefore w:val="0"/>
        <w:kinsoku/>
        <w:wordWrap/>
        <w:overflowPunct/>
        <w:topLinePunct w:val="0"/>
        <w:autoSpaceDE/>
        <w:autoSpaceDN/>
        <w:bidi w:val="0"/>
        <w:adjustRightInd w:val="0"/>
        <w:snapToGrid w:val="0"/>
        <w:spacing w:line="24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法定代表人（负责人、经营者）：米继清                    </w:t>
      </w:r>
    </w:p>
    <w:p>
      <w:pPr>
        <w:keepNext w:val="0"/>
        <w:keepLines w:val="0"/>
        <w:pageBreakBefore w:val="0"/>
        <w:kinsoku/>
        <w:wordWrap/>
        <w:overflowPunct/>
        <w:topLinePunct w:val="0"/>
        <w:autoSpaceDE/>
        <w:autoSpaceDN/>
        <w:bidi w:val="0"/>
        <w:adjustRightInd w:val="0"/>
        <w:snapToGrid w:val="0"/>
        <w:spacing w:line="24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身份证（其他有效证件）号码：</w:t>
      </w:r>
      <w:r>
        <w:rPr>
          <w:rFonts w:hint="eastAsia" w:ascii="仿宋_GB2312" w:hAnsi="仿宋_GB2312" w:eastAsia="仿宋_GB2312" w:cs="仿宋_GB2312"/>
          <w:sz w:val="32"/>
          <w:szCs w:val="32"/>
          <w:highlight w:val="none"/>
          <w:u w:val="single"/>
          <w:lang w:val="en-US" w:eastAsia="zh-CN"/>
        </w:rPr>
        <w:t>************</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24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其他联系方式：</w:t>
      </w:r>
      <w:r>
        <w:rPr>
          <w:rFonts w:hint="eastAsia" w:ascii="仿宋_GB2312" w:hAnsi="仿宋_GB2312" w:eastAsia="仿宋_GB2312" w:cs="仿宋_GB2312"/>
          <w:sz w:val="32"/>
          <w:szCs w:val="32"/>
          <w:u w:val="single"/>
          <w:lang w:val="en-US" w:eastAsia="zh-CN"/>
        </w:rPr>
        <w:t>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sz w:val="32"/>
          <w:szCs w:val="32"/>
        </w:rPr>
      </w:pPr>
      <w:r>
        <w:rPr>
          <w:rFonts w:hint="eastAsia" w:ascii="仿宋_GB2312" w:hAnsi="仿宋_GB2312" w:eastAsia="仿宋_GB2312" w:cs="仿宋_GB2312"/>
          <w:sz w:val="32"/>
          <w:szCs w:val="32"/>
          <w:u w:val="single"/>
        </w:rPr>
        <w:t>联系地址：</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10月18日，我局执法人员到安徽省淮南市田家庵区洞山军分区东田家庵洞山米记百货商店监督检查，现场发现店内保健食品和普通食品混放销售，且无保健食品专柜/专区标识。检查时，该店正在营业中。我局于2022年10月18日立案调查，并指派执法人员从光玉(执法证号∶D80160021)、张雯雯(执法证号∶D58001398)负责对该案查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日在淮南市田家庵区市场监督管理局</w:t>
      </w:r>
      <w:r>
        <w:rPr>
          <w:rFonts w:hint="eastAsia" w:ascii="仿宋_GB2312" w:hAnsi="仿宋_GB2312" w:eastAsia="仿宋_GB2312" w:cs="仿宋_GB2312"/>
          <w:sz w:val="32"/>
          <w:szCs w:val="32"/>
          <w:lang w:val="en-US" w:eastAsia="zh-CN"/>
        </w:rPr>
        <w:t>经济检查执法股</w:t>
      </w:r>
      <w:r>
        <w:rPr>
          <w:rFonts w:hint="eastAsia" w:ascii="仿宋_GB2312" w:hAnsi="仿宋_GB2312" w:eastAsia="仿宋_GB2312" w:cs="仿宋_GB2312"/>
          <w:sz w:val="32"/>
          <w:szCs w:val="32"/>
        </w:rPr>
        <w:t>依法对当事人进行了询问。</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tLeas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经查明，</w:t>
      </w:r>
      <w:r>
        <w:rPr>
          <w:rFonts w:hint="eastAsia" w:ascii="仿宋_GB2312" w:hAnsi="仿宋_GB2312" w:eastAsia="仿宋_GB2312" w:cs="仿宋_GB2312"/>
          <w:sz w:val="32"/>
          <w:szCs w:val="32"/>
          <w:lang w:eastAsia="zh-CN"/>
        </w:rPr>
        <w:t>截止我局查获时止，当事人销售的带“小蓝帽”保健食品“红牛”与普通食品混放销售，未设立保健食品专区</w:t>
      </w:r>
      <w:r>
        <w:rPr>
          <w:rFonts w:hint="eastAsia" w:ascii="仿宋_GB2312" w:hAnsi="仿宋_GB2312" w:eastAsia="仿宋_GB2312" w:cs="仿宋_GB2312"/>
          <w:sz w:val="32"/>
          <w:szCs w:val="32"/>
          <w:lang w:val="en-US" w:eastAsia="zh-CN"/>
        </w:rPr>
        <w:t>/专柜。</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证据材料：</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现场笔录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一份及现场检查图片，证明当事人保健食品与普通食品混放的事实；</w:t>
      </w:r>
    </w:p>
    <w:p>
      <w:pPr>
        <w:keepNext w:val="0"/>
        <w:keepLines w:val="0"/>
        <w:pageBreakBefore w:val="0"/>
        <w:widowControl/>
        <w:kinsoku/>
        <w:wordWrap/>
        <w:overflowPunct/>
        <w:topLinePunct w:val="0"/>
        <w:autoSpaceDE/>
        <w:autoSpaceDN/>
        <w:bidi w:val="0"/>
        <w:adjustRightInd w:val="0"/>
        <w:snapToGrid w:val="0"/>
        <w:spacing w:line="240" w:lineRule="atLeas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.《询问笔录》一份，证明当事人</w:t>
      </w:r>
      <w:r>
        <w:rPr>
          <w:rFonts w:hint="eastAsia" w:ascii="仿宋_GB2312" w:hAnsi="仿宋_GB2312" w:eastAsia="仿宋_GB2312" w:cs="仿宋_GB2312"/>
          <w:sz w:val="32"/>
          <w:szCs w:val="32"/>
          <w:lang w:val="en-US" w:eastAsia="zh-CN"/>
        </w:rPr>
        <w:t>当事人保健食品与普通食品混放的事实；</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经营者</w:t>
      </w:r>
      <w:r>
        <w:rPr>
          <w:rFonts w:hint="eastAsia" w:ascii="仿宋_GB2312" w:hAnsi="仿宋_GB2312" w:eastAsia="仿宋_GB2312" w:cs="仿宋_GB2312"/>
          <w:sz w:val="32"/>
          <w:szCs w:val="32"/>
        </w:rPr>
        <w:t>身份证复印件各一份，证明当事人的主体资格</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以上证据均经过了出证人的确认。</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本案</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采取行政强制措施，对照行政机关移送涉嫌犯罪案件的标准，尚不够移送追诉当事人刑事责任的条件。</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none"/>
          <w:lang w:val="en-US" w:eastAsia="zh-CN"/>
        </w:rPr>
        <w:t>11</w:t>
      </w:r>
      <w:r>
        <w:rPr>
          <w:rFonts w:hint="eastAsia" w:ascii="仿宋_GB2312" w:hAnsi="仿宋_GB2312" w:eastAsia="仿宋_GB2312" w:cs="仿宋_GB2312"/>
          <w:sz w:val="32"/>
          <w:szCs w:val="32"/>
          <w:highlight w:val="none"/>
          <w:u w:val="none"/>
        </w:rPr>
        <w:t>月</w:t>
      </w:r>
      <w:r>
        <w:rPr>
          <w:rFonts w:hint="eastAsia" w:ascii="仿宋_GB2312" w:hAnsi="仿宋_GB2312" w:eastAsia="仿宋_GB2312" w:cs="仿宋_GB2312"/>
          <w:sz w:val="32"/>
          <w:szCs w:val="32"/>
          <w:highlight w:val="none"/>
          <w:u w:val="none"/>
          <w:lang w:val="en-US" w:eastAsia="zh-CN"/>
        </w:rPr>
        <w:t>04</w:t>
      </w:r>
      <w:r>
        <w:rPr>
          <w:rFonts w:hint="eastAsia" w:ascii="仿宋_GB2312" w:hAnsi="仿宋_GB2312" w:eastAsia="仿宋_GB2312" w:cs="仿宋_GB2312"/>
          <w:sz w:val="32"/>
          <w:szCs w:val="32"/>
          <w:highlight w:val="none"/>
          <w:u w:val="none"/>
        </w:rPr>
        <w:t>日</w:t>
      </w:r>
      <w:r>
        <w:rPr>
          <w:rFonts w:hint="eastAsia" w:ascii="仿宋_GB2312" w:hAnsi="仿宋_GB2312" w:eastAsia="仿宋_GB2312" w:cs="仿宋_GB2312"/>
          <w:sz w:val="32"/>
          <w:szCs w:val="32"/>
        </w:rPr>
        <w:t>，本局向当事人送达了</w:t>
      </w: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田罚</w:t>
      </w:r>
      <w:r>
        <w:rPr>
          <w:rFonts w:hint="eastAsia" w:ascii="仿宋_GB2312" w:hAnsi="仿宋_GB2312" w:eastAsia="仿宋_GB2312" w:cs="仿宋_GB2312"/>
          <w:sz w:val="32"/>
          <w:szCs w:val="32"/>
        </w:rPr>
        <w:t>告字〔202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343</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rPr>
        <w:t>行政处罚告知书，当事人在法定期限内未进行陈述、申辩。</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rPr>
        <w:t>我局认为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sz w:val="32"/>
          <w:szCs w:val="32"/>
        </w:rPr>
        <w:t>当事人</w:t>
      </w:r>
      <w:r>
        <w:rPr>
          <w:rFonts w:hint="eastAsia" w:ascii="仿宋_GB2312" w:hAnsi="仿宋_GB2312" w:eastAsia="仿宋_GB2312" w:cs="仿宋_GB2312"/>
          <w:b w:val="0"/>
          <w:bCs/>
          <w:sz w:val="32"/>
          <w:szCs w:val="32"/>
          <w:lang w:val="en-US" w:eastAsia="zh-CN"/>
        </w:rPr>
        <w:t>销售的保健食品和普通食品混放</w:t>
      </w:r>
      <w:r>
        <w:rPr>
          <w:rFonts w:hint="eastAsia" w:ascii="仿宋_GB2312" w:hAnsi="仿宋_GB2312" w:eastAsia="仿宋_GB2312" w:cs="仿宋_GB2312"/>
          <w:b w:val="0"/>
          <w:bCs/>
          <w:sz w:val="32"/>
          <w:szCs w:val="32"/>
        </w:rPr>
        <w:t>的行为，违反了</w:t>
      </w:r>
      <w:r>
        <w:rPr>
          <w:rFonts w:hint="eastAsia" w:ascii="仿宋_GB2312" w:hAnsi="仿宋_GB2312" w:eastAsia="仿宋_GB2312" w:cs="仿宋_GB2312"/>
          <w:b w:val="0"/>
          <w:bCs/>
          <w:sz w:val="32"/>
          <w:szCs w:val="32"/>
          <w:lang w:val="en-US" w:eastAsia="zh-CN"/>
        </w:rPr>
        <w:t>《中华人民共和国食品安全法实施条例》第三十九条第二款</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特殊食品不得与普通食品或者药品混放销售。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的</w:t>
      </w:r>
      <w:r>
        <w:rPr>
          <w:rFonts w:hint="eastAsia" w:ascii="仿宋_GB2312" w:hAnsi="仿宋_GB2312" w:eastAsia="仿宋_GB2312" w:cs="仿宋_GB2312"/>
          <w:b w:val="0"/>
          <w:bCs/>
          <w:sz w:val="32"/>
          <w:szCs w:val="32"/>
        </w:rPr>
        <w:t>规定。</w:t>
      </w:r>
    </w:p>
    <w:p>
      <w:pPr>
        <w:keepNext w:val="0"/>
        <w:keepLines w:val="0"/>
        <w:pageBreakBefore w:val="0"/>
        <w:kinsoku/>
        <w:wordWrap/>
        <w:overflowPunct/>
        <w:topLinePunct w:val="0"/>
        <w:autoSpaceDE/>
        <w:autoSpaceDN/>
        <w:bidi w:val="0"/>
        <w:adjustRightInd w:val="0"/>
        <w:snapToGrid w:val="0"/>
        <w:spacing w:line="24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当事人</w:t>
      </w:r>
      <w:r>
        <w:rPr>
          <w:rFonts w:hint="eastAsia" w:ascii="仿宋_GB2312" w:hAnsi="仿宋_GB2312" w:eastAsia="仿宋_GB2312" w:cs="仿宋_GB2312"/>
          <w:b w:val="0"/>
          <w:bCs/>
          <w:sz w:val="32"/>
          <w:szCs w:val="32"/>
          <w:lang w:val="en-US" w:eastAsia="zh-CN"/>
        </w:rPr>
        <w:t>销售的保健食品和普通食品混放</w:t>
      </w:r>
      <w:r>
        <w:rPr>
          <w:rFonts w:hint="eastAsia" w:ascii="仿宋_GB2312" w:hAnsi="仿宋_GB2312" w:eastAsia="仿宋_GB2312" w:cs="仿宋_GB2312"/>
          <w:b w:val="0"/>
          <w:bCs/>
          <w:sz w:val="32"/>
          <w:szCs w:val="32"/>
        </w:rPr>
        <w:t>的行为，</w:t>
      </w:r>
      <w:r>
        <w:rPr>
          <w:rFonts w:hint="eastAsia" w:hAnsi="仿宋_GB2312" w:eastAsia="仿宋_GB2312" w:cs="仿宋_GB2312"/>
          <w:b w:val="0"/>
          <w:bCs/>
          <w:sz w:val="32"/>
          <w:szCs w:val="32"/>
          <w:lang w:val="en-US" w:eastAsia="zh-CN"/>
        </w:rPr>
        <w:t>依据《中华人民共和国食品安全法实施条例》第六十九条</w:t>
      </w:r>
      <w:r>
        <w:rPr>
          <w:rFonts w:hint="eastAsia" w:ascii="仿宋_GB2312" w:hAnsi="仿宋_GB2312" w:eastAsia="仿宋_GB2312" w:cs="仿宋_GB2312"/>
          <w:b w:val="0"/>
          <w:bCs/>
          <w:sz w:val="32"/>
          <w:szCs w:val="32"/>
          <w:lang w:val="en-US" w:eastAsia="zh-CN"/>
        </w:rPr>
        <w:t>第</w:t>
      </w:r>
      <w:r>
        <w:rPr>
          <w:rFonts w:hint="eastAsia" w:hAnsi="仿宋_GB2312" w:eastAsia="仿宋_GB2312" w:cs="仿宋_GB2312"/>
          <w:b w:val="0"/>
          <w:bCs/>
          <w:sz w:val="32"/>
          <w:szCs w:val="32"/>
          <w:lang w:val="en-US" w:eastAsia="zh-CN"/>
        </w:rPr>
        <w:t>（五）项：“有下列情形之一的，依照食品安全法第一百二十六条第一款、本条例第七十五条的规定给予处罚：（五）将特殊食品与普通食品或者药品混放销售。”和《中华人民共和国食品安全法》第一百二十六条第一款：“违反本法规定，有下列情形之一的，由县级以上人民政府食品安全监督管理部门责令改正，给予警告；拒不改正的，处五千元以上五万元以下罚款；情节严重的，责令停产停业，直至吊销许可证：”、</w:t>
      </w:r>
      <w:r>
        <w:rPr>
          <w:rFonts w:hint="eastAsia" w:ascii="仿宋_GB2312" w:hAnsi="仿宋_GB2312" w:eastAsia="仿宋_GB2312" w:cs="仿宋_GB2312"/>
          <w:sz w:val="32"/>
          <w:szCs w:val="32"/>
        </w:rPr>
        <w:t>《中华人民共和国行政处罚法》第</w:t>
      </w:r>
      <w:r>
        <w:rPr>
          <w:rFonts w:hint="eastAsia" w:ascii="仿宋_GB2312" w:hAnsi="仿宋_GB2312" w:eastAsia="仿宋_GB2312" w:cs="仿宋_GB2312"/>
          <w:sz w:val="32"/>
          <w:szCs w:val="32"/>
          <w:lang w:val="en-US" w:eastAsia="zh-CN"/>
        </w:rPr>
        <w:t>二十八</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第一款</w:t>
      </w:r>
      <w:r>
        <w:rPr>
          <w:rFonts w:hint="eastAsia" w:ascii="仿宋_GB2312" w:hAnsi="仿宋_GB2312" w:eastAsia="仿宋_GB2312" w:cs="仿宋_GB2312"/>
          <w:sz w:val="32"/>
          <w:szCs w:val="32"/>
        </w:rPr>
        <w:t>“行政机关实施行政处罚时，应当责令当事人改正或者限期改正违法行为。”</w:t>
      </w:r>
      <w:r>
        <w:rPr>
          <w:rFonts w:hint="eastAsia" w:hAnsi="仿宋_GB2312" w:eastAsia="仿宋_GB2312" w:cs="仿宋_GB2312"/>
          <w:b w:val="0"/>
          <w:bCs/>
          <w:sz w:val="32"/>
          <w:szCs w:val="32"/>
          <w:lang w:val="en-US" w:eastAsia="zh-CN"/>
        </w:rPr>
        <w:t>之规定，</w:t>
      </w:r>
      <w:r>
        <w:rPr>
          <w:rFonts w:hint="eastAsia" w:ascii="仿宋_GB2312" w:hAnsi="仿宋_GB2312" w:eastAsia="仿宋_GB2312" w:cs="仿宋_GB2312"/>
          <w:sz w:val="32"/>
          <w:szCs w:val="32"/>
          <w:lang w:val="en-US" w:eastAsia="zh-CN"/>
        </w:rPr>
        <w:t>决定</w:t>
      </w:r>
      <w:r>
        <w:rPr>
          <w:rFonts w:hint="eastAsia" w:ascii="仿宋_GB2312" w:hAnsi="仿宋_GB2312" w:eastAsia="仿宋_GB2312" w:cs="仿宋_GB2312"/>
          <w:sz w:val="32"/>
          <w:szCs w:val="32"/>
        </w:rPr>
        <w:t>责令当事人改正违法行为</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处罚如下：</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警告</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当事人如不服本行政处罚决定，可在收到本处罚决定书之日起六十日内向</w:t>
      </w:r>
      <w:r>
        <w:rPr>
          <w:rFonts w:hint="eastAsia" w:ascii="仿宋_GB2312" w:hAnsi="仿宋_GB2312" w:eastAsia="仿宋_GB2312" w:cs="仿宋_GB2312"/>
          <w:sz w:val="32"/>
          <w:szCs w:val="32"/>
          <w:lang w:val="en-US" w:eastAsia="zh-CN"/>
        </w:rPr>
        <w:t>淮南市</w:t>
      </w:r>
      <w:r>
        <w:rPr>
          <w:rFonts w:hint="eastAsia" w:ascii="仿宋_GB2312" w:hAnsi="仿宋_GB2312" w:eastAsia="仿宋_GB2312" w:cs="仿宋_GB2312"/>
          <w:sz w:val="32"/>
          <w:szCs w:val="32"/>
        </w:rPr>
        <w:t>人民政府申请复议;也可在六个月内向</w:t>
      </w:r>
      <w:r>
        <w:rPr>
          <w:rFonts w:hint="eastAsia" w:ascii="仿宋_GB2312" w:hAnsi="仿宋_GB2312" w:eastAsia="仿宋_GB2312" w:cs="仿宋_GB2312"/>
          <w:sz w:val="32"/>
          <w:szCs w:val="32"/>
          <w:lang w:val="en-US" w:eastAsia="zh-CN"/>
        </w:rPr>
        <w:t>淮南市田家庵区</w:t>
      </w:r>
      <w:r>
        <w:rPr>
          <w:rFonts w:hint="eastAsia" w:ascii="仿宋_GB2312" w:hAnsi="仿宋_GB2312" w:eastAsia="仿宋_GB2312" w:cs="仿宋_GB2312"/>
          <w:sz w:val="32"/>
          <w:szCs w:val="32"/>
        </w:rPr>
        <w:t>人民法院提起诉讼。当事人对行政处罚决定不服，申请行政复议或者提起行政诉讼的，行政处罚不停止执行。</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ascii="黑体" w:hAnsi="黑体" w:eastAsia="黑体"/>
          <w:color w:val="231F20"/>
          <w:spacing w:val="-16"/>
          <w:sz w:val="32"/>
          <w:szCs w:val="32"/>
        </w:rPr>
      </w:pPr>
      <w:r>
        <w:rPr>
          <w:rFonts w:ascii="Times New Roman" w:hAnsi="Times New Roman" w:eastAsia="仿宋_GB2312" w:cs="仿宋"/>
          <w:bCs/>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3"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0pt;margin-top:1638.35pt;height:0.1pt;width:453.75pt;z-index:25166233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vv85HXAAAACgEAAA8AAAAAAAAAAQAgAAAAIgAAAGRycy9kb3ducmV2&#10;LnhtbFBLAQIUABQAAAAIAIdO4kBdB454/QEAAPMDAAAOAAAAAAAAAAEAIAAAACYBAABkcnMvZTJv&#10;RG9jLnhtbFBLBQYAAAAABgAGAFkBAACVBQAAAAA=&#10;">
                <v:fill on="f" focussize="0,0"/>
                <v:stroke weight="0.737007874015748pt" color="#000000" joinstyle="round" endcap="square"/>
                <v:imagedata o:title=""/>
                <o:lock v:ext="edit" aspectratio="f"/>
              </v:line>
            </w:pict>
          </mc:Fallback>
        </mc:AlternateContent>
      </w:r>
    </w:p>
    <w:p>
      <w:pPr>
        <w:keepNext w:val="0"/>
        <w:keepLines w:val="0"/>
        <w:pageBreakBefore w:val="0"/>
        <w:kinsoku/>
        <w:wordWrap/>
        <w:overflowPunct/>
        <w:topLinePunct w:val="0"/>
        <w:bidi w:val="0"/>
        <w:adjustRightInd w:val="0"/>
        <w:snapToGrid w:val="0"/>
        <w:spacing w:line="240" w:lineRule="atLeast"/>
        <w:ind w:firstLine="4480" w:firstLineChars="14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淮南市市场监督管理局</w:t>
      </w:r>
    </w:p>
    <w:p>
      <w:pPr>
        <w:keepNext w:val="0"/>
        <w:keepLines w:val="0"/>
        <w:pageBreakBefore w:val="0"/>
        <w:kinsoku/>
        <w:wordWrap/>
        <w:overflowPunct/>
        <w:topLinePunct w:val="0"/>
        <w:bidi w:val="0"/>
        <w:adjustRightInd w:val="0"/>
        <w:snapToGrid w:val="0"/>
        <w:spacing w:line="240" w:lineRule="atLeast"/>
        <w:ind w:firstLine="640" w:firstLineChars="200"/>
        <w:textAlignment w:val="auto"/>
        <w:rPr>
          <w:rFonts w:ascii="仿宋_GB2312" w:hAnsi="仿宋_GB2312" w:eastAsia="仿宋_GB2312" w:cs="仿宋_GB2312"/>
          <w:sz w:val="32"/>
          <w:szCs w:val="32"/>
          <w:highlight w:val="lightGray"/>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日</w:t>
      </w:r>
    </w:p>
    <w:p>
      <w:pPr>
        <w:pStyle w:val="2"/>
        <w:ind w:left="0" w:leftChars="0" w:firstLine="0" w:firstLineChars="0"/>
        <w:rPr>
          <w:rFonts w:asciiTheme="minorEastAsia" w:hAnsiTheme="minorEastAsia" w:cstheme="minorEastAsia"/>
          <w:sz w:val="30"/>
          <w:szCs w:val="30"/>
        </w:rPr>
      </w:pPr>
    </w:p>
    <w:p>
      <w:pPr>
        <w:pStyle w:val="2"/>
        <w:ind w:left="0" w:leftChars="0" w:firstLine="0" w:firstLineChars="0"/>
        <w:rPr>
          <w:rFonts w:asciiTheme="minorEastAsia" w:hAnsiTheme="minorEastAsia" w:cstheme="minorEastAsia"/>
          <w:sz w:val="30"/>
          <w:szCs w:val="30"/>
        </w:rPr>
      </w:pPr>
    </w:p>
    <w:p>
      <w:pPr>
        <w:pStyle w:val="3"/>
        <w:keepNext w:val="0"/>
        <w:keepLines w:val="0"/>
        <w:pageBreakBefore w:val="0"/>
        <w:kinsoku/>
        <w:wordWrap/>
        <w:overflowPunct/>
        <w:topLinePunct w:val="0"/>
        <w:bidi w:val="0"/>
        <w:adjustRightInd w:val="0"/>
        <w:snapToGrid w:val="0"/>
        <w:spacing w:before="1" w:line="420" w:lineRule="atLeast"/>
        <w:textAlignment w:val="auto"/>
        <w:rPr>
          <w:rFonts w:ascii="黑体" w:hAnsi="黑体" w:eastAsia="黑体"/>
          <w:color w:val="231F20"/>
          <w:spacing w:val="-16"/>
        </w:rPr>
      </w:pPr>
      <w:r>
        <w:rPr>
          <w:rFonts w:hint="eastAsia" w:ascii="黑体" w:hAnsi="黑体" w:eastAsia="黑体"/>
          <w:color w:val="231F20"/>
          <w:spacing w:val="-16"/>
        </w:rPr>
        <w:t>（市场监督管理部门将依法向社会公示本行政处罚决定信息）</w:t>
      </w:r>
    </w:p>
    <w:p>
      <w:pPr>
        <w:keepNext w:val="0"/>
        <w:keepLines w:val="0"/>
        <w:pageBreakBefore w:val="0"/>
        <w:kinsoku/>
        <w:wordWrap/>
        <w:overflowPunct/>
        <w:topLinePunct w:val="0"/>
        <w:bidi w:val="0"/>
        <w:adjustRightInd w:val="0"/>
        <w:snapToGrid w:val="0"/>
        <w:spacing w:line="420" w:lineRule="atLeast"/>
        <w:textAlignment w:val="auto"/>
        <w:rPr>
          <w:rFonts w:ascii="黑体" w:hAnsi="黑体" w:eastAsia="黑体"/>
          <w:color w:val="231F20"/>
          <w:spacing w:val="-16"/>
        </w:rPr>
      </w:pPr>
      <w:r>
        <w:rPr>
          <w:rFonts w:ascii="Times New Roman" w:hAnsi="Times New Roman" w:eastAsia="仿宋_GB2312"/>
          <w:sz w:val="32"/>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-2540</wp:posOffset>
                </wp:positionV>
                <wp:extent cx="5550535" cy="635"/>
                <wp:effectExtent l="0" t="7620" r="12065" b="14605"/>
                <wp:wrapNone/>
                <wp:docPr id="2" name="直接连接符 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0.2pt;height:0.05pt;width:437.05pt;z-index:251661312;mso-width-relative:page;mso-height-relative:page;" filled="f" stroked="t" coordsize="21600,21600" o:gfxdata="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eu/pdQAAAAFAQAADwAAAAAAAAABACAAAAAiAAAAZHJzL2Rvd25yZXYueG1sUEsB&#10;AhQAFAAAAAgAh07iQFm9mEL5AQAA9QMAAA4AAAAAAAAAAQAgAAAAIwEAAGRycy9lMm9Eb2MueG1s&#10;UEsFBgAAAAAGAAYAWQEAAI4FAAAAAA==&#10;">
                <v:fill on="f" focussize="0,0"/>
                <v:stroke weight="1.25pt" color="#000000" joinstyle="round"/>
                <v:imagedata o:title=""/>
                <o:lock v:ext="edit" aspectratio="f"/>
              </v:line>
            </w:pict>
          </mc:Fallback>
        </mc:AlternateContent>
      </w:r>
      <w:r>
        <w:rPr>
          <w:rFonts w:ascii="Times New Roman" w:hAnsi="Times New Roman" w:eastAsia="仿宋_GB2312" w:cs="仿宋"/>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vv85HXAAAACgEAAA8AAAAAAAAAAQAgAAAAIgAAAGRycy9kb3ducmV2&#10;LnhtbFBLAQIUABQAAAAIAIdO4kDR4p2+/QEAAPMDAAAOAAAAAAAAAAEAIAAAACYBAABkcnMvZTJv&#10;RG9jLnhtbFBLBQYAAAAABgAGAFkBAACV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val="en-US" w:eastAsia="zh-CN"/>
        </w:rPr>
        <w:t>二</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val="en-US" w:eastAsia="zh-CN"/>
        </w:rPr>
        <w:t>一</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lang w:val="en-US" w:eastAsia="zh-CN"/>
        </w:rPr>
        <w:t>由办案机构留存</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Q6KUMgBAACZ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EOilDIAQAAmQMAAA4AAAAAAAAAAQAgAAAAHgEAAGRycy9lMm9Eb2Mu&#10;eG1sUEsFBgAAAAAGAAYAWQEAAFgFA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NDI1Yzg0YTBjZmUwNTFlNWI2ODRmMzE5Njg5ZjMifQ=="/>
  </w:docVars>
  <w:rsids>
    <w:rsidRoot w:val="3AD15E25"/>
    <w:rsid w:val="0091065E"/>
    <w:rsid w:val="00A60B94"/>
    <w:rsid w:val="00B40D21"/>
    <w:rsid w:val="00B77725"/>
    <w:rsid w:val="01555A49"/>
    <w:rsid w:val="04222A5F"/>
    <w:rsid w:val="054E64C8"/>
    <w:rsid w:val="05F92DDC"/>
    <w:rsid w:val="081409CF"/>
    <w:rsid w:val="08D069EB"/>
    <w:rsid w:val="09EB1B63"/>
    <w:rsid w:val="0A424F95"/>
    <w:rsid w:val="0AC94872"/>
    <w:rsid w:val="0B006766"/>
    <w:rsid w:val="13DB5B12"/>
    <w:rsid w:val="13E82206"/>
    <w:rsid w:val="141B194C"/>
    <w:rsid w:val="14864E97"/>
    <w:rsid w:val="14CD604A"/>
    <w:rsid w:val="1B331B83"/>
    <w:rsid w:val="1F2111C5"/>
    <w:rsid w:val="2148092D"/>
    <w:rsid w:val="21E37453"/>
    <w:rsid w:val="22457241"/>
    <w:rsid w:val="22AE0FC2"/>
    <w:rsid w:val="249E10C1"/>
    <w:rsid w:val="25E535EB"/>
    <w:rsid w:val="27743E5C"/>
    <w:rsid w:val="287C121A"/>
    <w:rsid w:val="29C57696"/>
    <w:rsid w:val="2A8A4AA6"/>
    <w:rsid w:val="2B0F3F82"/>
    <w:rsid w:val="2D9A4369"/>
    <w:rsid w:val="32CF7DA6"/>
    <w:rsid w:val="330E4521"/>
    <w:rsid w:val="34643731"/>
    <w:rsid w:val="35202463"/>
    <w:rsid w:val="3592461E"/>
    <w:rsid w:val="38CE7E6D"/>
    <w:rsid w:val="38F22FAA"/>
    <w:rsid w:val="3AD15E25"/>
    <w:rsid w:val="3AEC6732"/>
    <w:rsid w:val="3B74479D"/>
    <w:rsid w:val="3D373D4E"/>
    <w:rsid w:val="3F512FA9"/>
    <w:rsid w:val="40D84BFE"/>
    <w:rsid w:val="416F6B49"/>
    <w:rsid w:val="430101A0"/>
    <w:rsid w:val="462D4582"/>
    <w:rsid w:val="47B24801"/>
    <w:rsid w:val="4A4C332E"/>
    <w:rsid w:val="4F0A51C7"/>
    <w:rsid w:val="4FE21E3E"/>
    <w:rsid w:val="504B51EF"/>
    <w:rsid w:val="50F739CD"/>
    <w:rsid w:val="54A83213"/>
    <w:rsid w:val="562B0C67"/>
    <w:rsid w:val="5714026E"/>
    <w:rsid w:val="57EA1676"/>
    <w:rsid w:val="5A8F4E1E"/>
    <w:rsid w:val="5AD57930"/>
    <w:rsid w:val="5B24736C"/>
    <w:rsid w:val="5B8A3673"/>
    <w:rsid w:val="5BA86AF7"/>
    <w:rsid w:val="65003B17"/>
    <w:rsid w:val="65B20DEA"/>
    <w:rsid w:val="67873950"/>
    <w:rsid w:val="6A210391"/>
    <w:rsid w:val="6FA16055"/>
    <w:rsid w:val="6FFE5F86"/>
    <w:rsid w:val="70EC5DDE"/>
    <w:rsid w:val="72330BA2"/>
    <w:rsid w:val="74B45A34"/>
    <w:rsid w:val="74EB2302"/>
    <w:rsid w:val="75C6098C"/>
    <w:rsid w:val="78857244"/>
    <w:rsid w:val="79FC5D72"/>
    <w:rsid w:val="7B323902"/>
    <w:rsid w:val="7B736201"/>
    <w:rsid w:val="7E707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3"/>
    <w:qFormat/>
    <w:uiPriority w:val="0"/>
    <w:pPr>
      <w:widowControl/>
      <w:adjustRightInd w:val="0"/>
      <w:snapToGrid w:val="0"/>
      <w:spacing w:line="400" w:lineRule="atLeast"/>
      <w:ind w:firstLine="482"/>
      <w:textAlignment w:val="baseline"/>
    </w:pPr>
    <w:rPr>
      <w:rFonts w:ascii="Times New Roman" w:hAnsi="Times New Roman" w:eastAsia="宋体" w:cs="Times New Roman"/>
      <w:kern w:val="0"/>
      <w:sz w:val="24"/>
    </w:rPr>
  </w:style>
  <w:style w:type="paragraph" w:styleId="3">
    <w:name w:val="Body Text"/>
    <w:basedOn w:val="1"/>
    <w:next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1202</Words>
  <Characters>1302</Characters>
  <Lines>20</Lines>
  <Paragraphs>5</Paragraphs>
  <TotalTime>0</TotalTime>
  <ScaleCrop>false</ScaleCrop>
  <LinksUpToDate>false</LinksUpToDate>
  <CharactersWithSpaces>1506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2019-05-29T02:38:00Z</dcterms:created>
  <dc:creator>陪你去巴黎</dc:creator>
  <cp:lastModifiedBy>Administrator</cp:lastModifiedBy>
  <cp:lastPrinted>2022-11-02T08:44:00Z</cp:lastPrinted>
  <dcterms:modified xsi:type="dcterms:W3CDTF">2022-11-22T07:25:11Z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D7E71FABF82D47CCAF94638D8F9A1EB6</vt:lpwstr>
  </property>
</Properties>
</file>