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adjustRightInd w:val="0"/>
        <w:snapToGrid w:val="0"/>
        <w:spacing w:line="480" w:lineRule="atLeast"/>
        <w:jc w:val="center"/>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淮市监</w:t>
      </w:r>
      <w:r>
        <w:rPr>
          <w:rFonts w:hint="eastAsia" w:ascii="仿宋_GB2312" w:hAnsi="仿宋_GB2312" w:eastAsia="仿宋_GB2312" w:cs="仿宋_GB2312"/>
          <w:sz w:val="32"/>
          <w:szCs w:val="32"/>
        </w:rPr>
        <w:t>田</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pacing w:val="17"/>
          <w:sz w:val="32"/>
          <w:szCs w:val="32"/>
          <w:lang w:val="en-US" w:eastAsia="zh-CN"/>
        </w:rPr>
        <w:t>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270  </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当事人：</w:t>
      </w:r>
      <w:r>
        <w:rPr>
          <w:rFonts w:hint="eastAsia" w:ascii="仿宋_GB2312" w:hAnsi="仿宋_GB2312" w:eastAsia="仿宋_GB2312" w:cs="仿宋_GB2312"/>
          <w:sz w:val="32"/>
          <w:szCs w:val="32"/>
          <w:u w:val="single"/>
          <w:lang w:eastAsia="zh-CN"/>
        </w:rPr>
        <w:t>田家庵区盛梅超市</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主体资格证照名称：营业</w:t>
      </w:r>
      <w:r>
        <w:rPr>
          <w:rFonts w:hint="eastAsia" w:ascii="仿宋_GB2312" w:hAnsi="仿宋_GB2312" w:eastAsia="仿宋_GB2312" w:cs="仿宋_GB2312"/>
          <w:sz w:val="32"/>
          <w:szCs w:val="32"/>
          <w:u w:val="single"/>
          <w:lang w:val="en-US" w:eastAsia="zh-CN"/>
        </w:rPr>
        <w:t>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统一社会信用代码（注册号）：92340403MA2N2QAK0N                    </w:t>
      </w:r>
    </w:p>
    <w:p>
      <w:pPr>
        <w:keepNext w:val="0"/>
        <w:keepLines w:val="0"/>
        <w:pageBreakBefore w:val="0"/>
        <w:kinsoku/>
        <w:wordWrap/>
        <w:overflowPunct/>
        <w:topLinePunct w:val="0"/>
        <w:autoSpaceDE/>
        <w:autoSpaceDN/>
        <w:bidi w:val="0"/>
        <w:adjustRightInd w:val="0"/>
        <w:snapToGrid w:val="0"/>
        <w:spacing w:line="240" w:lineRule="atLeast"/>
        <w:jc w:val="left"/>
        <w:textAlignment w:val="auto"/>
        <w:rPr>
          <w:rFonts w:hint="default" w:ascii="仿宋_GB2312" w:hAnsi="仿宋_GB2312" w:eastAsia="仿宋_GB2312" w:cs="仿宋_GB2312"/>
          <w:w w:val="90"/>
          <w:sz w:val="32"/>
          <w:szCs w:val="32"/>
          <w:u w:val="single"/>
          <w:lang w:val="en-US" w:eastAsia="zh-CN"/>
        </w:rPr>
      </w:pPr>
      <w:r>
        <w:rPr>
          <w:rFonts w:hint="eastAsia" w:ascii="仿宋_GB2312" w:hAnsi="仿宋_GB2312" w:eastAsia="仿宋_GB2312" w:cs="仿宋_GB2312"/>
          <w:sz w:val="32"/>
          <w:szCs w:val="32"/>
          <w:u w:val="single"/>
        </w:rPr>
        <w:t>住所（住址）：</w:t>
      </w:r>
      <w:r>
        <w:rPr>
          <w:rFonts w:hint="eastAsia" w:ascii="仿宋_GB2312" w:hAnsi="仿宋_GB2312" w:eastAsia="仿宋_GB2312" w:cs="仿宋_GB2312"/>
          <w:w w:val="90"/>
          <w:sz w:val="32"/>
          <w:szCs w:val="32"/>
          <w:u w:val="single"/>
        </w:rPr>
        <w:t>淮南市田家庵区林场路伴山观邸小区大门西侧</w:t>
      </w:r>
      <w:r>
        <w:rPr>
          <w:rFonts w:hint="eastAsia" w:ascii="仿宋_GB2312" w:hAnsi="仿宋_GB2312" w:eastAsia="仿宋_GB2312" w:cs="仿宋_GB2312"/>
          <w:w w:val="90"/>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2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法定代表人（负责人、经营者）：梅奎忠                    </w:t>
      </w:r>
    </w:p>
    <w:p>
      <w:pPr>
        <w:keepNext w:val="0"/>
        <w:keepLines w:val="0"/>
        <w:pageBreakBefore w:val="0"/>
        <w:kinsoku/>
        <w:wordWrap/>
        <w:overflowPunct/>
        <w:topLinePunct w:val="0"/>
        <w:autoSpaceDE/>
        <w:autoSpaceDN/>
        <w:bidi w:val="0"/>
        <w:adjustRightInd w:val="0"/>
        <w:snapToGrid w:val="0"/>
        <w:spacing w:line="2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4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其他联系方式：</w:t>
      </w:r>
      <w:r>
        <w:rPr>
          <w:rFonts w:hint="eastAsia" w:ascii="仿宋_GB2312" w:hAnsi="仿宋_GB2312" w:eastAsia="仿宋_GB2312" w:cs="仿宋_GB2312"/>
          <w:sz w:val="32"/>
          <w:szCs w:val="32"/>
          <w:u w:val="single"/>
          <w:lang w:val="en-US" w:eastAsia="zh-CN"/>
        </w:rPr>
        <w:t>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40" w:lineRule="atLeast"/>
        <w:textAlignment w:val="auto"/>
        <w:rPr>
          <w:rFonts w:hint="eastAsia"/>
          <w:sz w:val="32"/>
          <w:szCs w:val="32"/>
        </w:rPr>
      </w:pPr>
      <w:r>
        <w:rPr>
          <w:rFonts w:hint="eastAsia" w:ascii="仿宋_GB2312" w:hAnsi="仿宋_GB2312" w:eastAsia="仿宋_GB2312" w:cs="仿宋_GB2312"/>
          <w:sz w:val="32"/>
          <w:szCs w:val="32"/>
          <w:u w:val="single"/>
        </w:rPr>
        <w:t>联系地址：</w:t>
      </w:r>
      <w:r>
        <w:rPr>
          <w:rFonts w:hint="eastAsia" w:ascii="仿宋_GB2312" w:hAnsi="仿宋_GB2312" w:eastAsia="仿宋_GB2312" w:cs="仿宋_GB2312"/>
          <w:w w:val="90"/>
          <w:sz w:val="32"/>
          <w:szCs w:val="32"/>
          <w:u w:val="single"/>
          <w:lang w:val="en-US" w:eastAsia="zh-CN"/>
        </w:rPr>
        <w:t>****************************************</w:t>
      </w:r>
      <w:bookmarkStart w:id="0" w:name="_GoBack"/>
      <w:bookmarkEnd w:id="0"/>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10月18日，我局执法人员到淮南市田家庵区林场路伴山观邸小区大门西侧田家庵区盛梅超市监督检查，现场发现店内保健食品和普通食品混放销售，且无保健食品专柜/专区标识。检查时，该店正在营业中。我局于2022年10月18日立案调查，并指派执法人员从光玉(执法证号∶D80160021)、张雯雯(执法证号∶D58001398)负责对该案查处。2022年11月01日在淮南市田家庵区市场监督管理局经济检查执法股依法对当事人进行了询问。</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tLeas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经查明，</w:t>
      </w:r>
      <w:r>
        <w:rPr>
          <w:rFonts w:hint="eastAsia" w:ascii="仿宋_GB2312" w:hAnsi="仿宋_GB2312" w:eastAsia="仿宋_GB2312" w:cs="仿宋_GB2312"/>
          <w:sz w:val="32"/>
          <w:szCs w:val="32"/>
          <w:lang w:eastAsia="zh-CN"/>
        </w:rPr>
        <w:t>截止我局查获时止，当事人销售的带“小蓝帽”保健食品“红牛”与普通食品混放销售，未设立保健食品专区</w:t>
      </w:r>
      <w:r>
        <w:rPr>
          <w:rFonts w:hint="eastAsia" w:ascii="仿宋_GB2312" w:hAnsi="仿宋_GB2312" w:eastAsia="仿宋_GB2312" w:cs="仿宋_GB2312"/>
          <w:sz w:val="32"/>
          <w:szCs w:val="32"/>
          <w:lang w:val="en-US" w:eastAsia="zh-CN"/>
        </w:rPr>
        <w:t>/专柜。</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现场笔录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一份及现场检查图片，证明当事人保健食品与普通食品混放的事实；</w:t>
      </w:r>
    </w:p>
    <w:p>
      <w:pPr>
        <w:keepNext w:val="0"/>
        <w:keepLines w:val="0"/>
        <w:pageBreakBefore w:val="0"/>
        <w:widowControl/>
        <w:kinsoku/>
        <w:wordWrap/>
        <w:overflowPunct/>
        <w:topLinePunct w:val="0"/>
        <w:autoSpaceDE/>
        <w:autoSpaceDN/>
        <w:bidi w:val="0"/>
        <w:adjustRightInd w:val="0"/>
        <w:snapToGrid w:val="0"/>
        <w:spacing w:line="240" w:lineRule="atLeas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.《询问笔录》一份，证明当事人</w:t>
      </w:r>
      <w:r>
        <w:rPr>
          <w:rFonts w:hint="eastAsia" w:ascii="仿宋_GB2312" w:hAnsi="仿宋_GB2312" w:eastAsia="仿宋_GB2312" w:cs="仿宋_GB2312"/>
          <w:sz w:val="32"/>
          <w:szCs w:val="32"/>
          <w:lang w:val="en-US" w:eastAsia="zh-CN"/>
        </w:rPr>
        <w:t>当事人保健食品与普通食品混放的事实；</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w:t>
      </w: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rPr>
        <w:t>身份证复印件各一份，证明当事人的主体资格；</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当事人出具的授权委托书原件、受委托人的身份证复印件各一份，证明受委托人的身份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none"/>
          <w:lang w:val="en-US" w:eastAsia="zh-CN"/>
        </w:rPr>
        <w:t>11</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04</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田罚</w:t>
      </w:r>
      <w:r>
        <w:rPr>
          <w:rFonts w:hint="eastAsia" w:ascii="仿宋_GB2312" w:hAnsi="仿宋_GB2312" w:eastAsia="仿宋_GB2312" w:cs="仿宋_GB2312"/>
          <w:sz w:val="32"/>
          <w:szCs w:val="32"/>
        </w:rPr>
        <w:t>告字〔202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val="en-US" w:eastAsia="zh-CN"/>
        </w:rPr>
        <w:t>344</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rPr>
        <w:t>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val="0"/>
          <w:bCs/>
          <w:sz w:val="32"/>
          <w:szCs w:val="32"/>
        </w:rPr>
        <w:t>当事人</w:t>
      </w:r>
      <w:r>
        <w:rPr>
          <w:rFonts w:hint="eastAsia" w:ascii="仿宋_GB2312" w:hAnsi="仿宋_GB2312" w:eastAsia="仿宋_GB2312" w:cs="仿宋_GB2312"/>
          <w:b w:val="0"/>
          <w:bCs/>
          <w:sz w:val="32"/>
          <w:szCs w:val="32"/>
          <w:lang w:val="en-US" w:eastAsia="zh-CN"/>
        </w:rPr>
        <w:t>销售的保健食品和普通食品混放</w:t>
      </w:r>
      <w:r>
        <w:rPr>
          <w:rFonts w:hint="eastAsia" w:ascii="仿宋_GB2312" w:hAnsi="仿宋_GB2312" w:eastAsia="仿宋_GB2312" w:cs="仿宋_GB2312"/>
          <w:b w:val="0"/>
          <w:bCs/>
          <w:sz w:val="32"/>
          <w:szCs w:val="32"/>
        </w:rPr>
        <w:t>的行为，违反了</w:t>
      </w:r>
      <w:r>
        <w:rPr>
          <w:rFonts w:hint="eastAsia" w:ascii="仿宋_GB2312" w:hAnsi="仿宋_GB2312" w:eastAsia="仿宋_GB2312" w:cs="仿宋_GB2312"/>
          <w:b w:val="0"/>
          <w:bCs/>
          <w:sz w:val="32"/>
          <w:szCs w:val="32"/>
          <w:lang w:val="en-US" w:eastAsia="zh-CN"/>
        </w:rPr>
        <w:t>《中华人民共和国食品安全法实施条例》第三十九条第二款</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特殊食品不得与普通食品或者药品混放销售。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的</w:t>
      </w:r>
      <w:r>
        <w:rPr>
          <w:rFonts w:hint="eastAsia" w:ascii="仿宋_GB2312" w:hAnsi="仿宋_GB2312" w:eastAsia="仿宋_GB2312" w:cs="仿宋_GB2312"/>
          <w:b w:val="0"/>
          <w:bCs/>
          <w:sz w:val="32"/>
          <w:szCs w:val="32"/>
        </w:rPr>
        <w:t>规定。</w:t>
      </w:r>
    </w:p>
    <w:p>
      <w:pPr>
        <w:keepNext w:val="0"/>
        <w:keepLines w:val="0"/>
        <w:pageBreakBefore w:val="0"/>
        <w:kinsoku/>
        <w:wordWrap/>
        <w:overflowPunct/>
        <w:topLinePunct w:val="0"/>
        <w:autoSpaceDE/>
        <w:autoSpaceDN/>
        <w:bidi w:val="0"/>
        <w:adjustRightInd w:val="0"/>
        <w:snapToGrid w:val="0"/>
        <w:spacing w:line="24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当事人</w:t>
      </w:r>
      <w:r>
        <w:rPr>
          <w:rFonts w:hint="eastAsia" w:ascii="仿宋_GB2312" w:hAnsi="仿宋_GB2312" w:eastAsia="仿宋_GB2312" w:cs="仿宋_GB2312"/>
          <w:b w:val="0"/>
          <w:bCs/>
          <w:sz w:val="32"/>
          <w:szCs w:val="32"/>
          <w:lang w:val="en-US" w:eastAsia="zh-CN"/>
        </w:rPr>
        <w:t>销售的保健食品和普通食品混放</w:t>
      </w:r>
      <w:r>
        <w:rPr>
          <w:rFonts w:hint="eastAsia" w:ascii="仿宋_GB2312" w:hAnsi="仿宋_GB2312" w:eastAsia="仿宋_GB2312" w:cs="仿宋_GB2312"/>
          <w:b w:val="0"/>
          <w:bCs/>
          <w:sz w:val="32"/>
          <w:szCs w:val="32"/>
        </w:rPr>
        <w:t>的行为，</w:t>
      </w:r>
      <w:r>
        <w:rPr>
          <w:rFonts w:hint="eastAsia" w:hAnsi="仿宋_GB2312" w:eastAsia="仿宋_GB2312" w:cs="仿宋_GB2312"/>
          <w:b w:val="0"/>
          <w:bCs/>
          <w:sz w:val="32"/>
          <w:szCs w:val="32"/>
          <w:lang w:val="en-US" w:eastAsia="zh-CN"/>
        </w:rPr>
        <w:t>依据《中华人民共和国食品安全法实施条例》第六十九条</w:t>
      </w:r>
      <w:r>
        <w:rPr>
          <w:rFonts w:hint="eastAsia" w:ascii="仿宋_GB2312" w:hAnsi="仿宋_GB2312" w:eastAsia="仿宋_GB2312" w:cs="仿宋_GB2312"/>
          <w:b w:val="0"/>
          <w:bCs/>
          <w:sz w:val="32"/>
          <w:szCs w:val="32"/>
          <w:lang w:val="en-US" w:eastAsia="zh-CN"/>
        </w:rPr>
        <w:t>第</w:t>
      </w:r>
      <w:r>
        <w:rPr>
          <w:rFonts w:hint="eastAsia" w:hAnsi="仿宋_GB2312" w:eastAsia="仿宋_GB2312" w:cs="仿宋_GB2312"/>
          <w:b w:val="0"/>
          <w:bCs/>
          <w:sz w:val="32"/>
          <w:szCs w:val="32"/>
          <w:lang w:val="en-US" w:eastAsia="zh-CN"/>
        </w:rPr>
        <w:t>（五）项：“有下列情形之一的，依照食品安全法第一百二十六条第一款、本条例第七十五条的规定给予处罚：（五）将特殊食品与普通食品或者药品混放销售。”和《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w:t>
      </w:r>
      <w:r>
        <w:rPr>
          <w:rFonts w:hint="eastAsia" w:ascii="仿宋_GB2312" w:hAnsi="仿宋_GB2312" w:eastAsia="仿宋_GB2312" w:cs="仿宋_GB2312"/>
          <w:sz w:val="32"/>
          <w:szCs w:val="32"/>
        </w:rPr>
        <w:t>《中华人民共和国行政处罚法》第</w:t>
      </w:r>
      <w:r>
        <w:rPr>
          <w:rFonts w:hint="eastAsia" w:ascii="仿宋_GB2312" w:hAnsi="仿宋_GB2312" w:eastAsia="仿宋_GB2312" w:cs="仿宋_GB2312"/>
          <w:sz w:val="32"/>
          <w:szCs w:val="32"/>
          <w:lang w:val="en-US" w:eastAsia="zh-CN"/>
        </w:rPr>
        <w:t>二十八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“行政机关实施行政处罚时，应当责令当事人改正或者限期改正违法行为。”</w:t>
      </w:r>
      <w:r>
        <w:rPr>
          <w:rFonts w:hint="eastAsia" w:hAnsi="仿宋_GB2312" w:eastAsia="仿宋_GB2312" w:cs="仿宋_GB2312"/>
          <w:b w:val="0"/>
          <w:bCs/>
          <w:sz w:val="32"/>
          <w:szCs w:val="32"/>
          <w:lang w:val="en-US" w:eastAsia="zh-CN"/>
        </w:rPr>
        <w:t>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处罚如下：</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警告</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ascii="黑体" w:hAnsi="黑体" w:eastAsia="黑体"/>
          <w:color w:val="231F20"/>
          <w:spacing w:val="-16"/>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r>
        <w:rPr>
          <w:rFonts w:ascii="Times New Roman" w:hAnsi="Times New Roman" w:eastAsia="仿宋_GB2312" w:cs="仿宋"/>
          <w:bCs/>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0pt;margin-top:1638.35pt;height:0.1pt;width:453.75pt;z-index:25166233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BdB454/QEAAPMDAAAOAAAAAAAAAAEAIAAAACYBAABkcnMvZTJv&#10;RG9jLnhtbFBLBQYAAAAABgAGAFkBAACVBQAAAAA=&#10;">
                <v:fill on="f" focussize="0,0"/>
                <v:stroke weight="0.737007874015748pt" color="#000000" joinstyle="round" endcap="square"/>
                <v:imagedata o:title=""/>
                <o:lock v:ext="edit" aspectratio="f"/>
              </v:line>
            </w:pict>
          </mc:Fallback>
        </mc:AlternateContent>
      </w:r>
    </w:p>
    <w:p>
      <w:pPr>
        <w:keepNext w:val="0"/>
        <w:keepLines w:val="0"/>
        <w:pageBreakBefore w:val="0"/>
        <w:kinsoku/>
        <w:wordWrap/>
        <w:overflowPunct/>
        <w:topLinePunct w:val="0"/>
        <w:bidi w:val="0"/>
        <w:adjustRightInd w:val="0"/>
        <w:snapToGrid w:val="0"/>
        <w:spacing w:line="240" w:lineRule="atLeast"/>
        <w:ind w:firstLine="4480" w:firstLineChars="1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16</w:t>
      </w:r>
      <w:r>
        <w:rPr>
          <w:rFonts w:hint="eastAsia" w:ascii="仿宋_GB2312" w:hAnsi="仿宋_GB2312" w:eastAsia="仿宋_GB2312" w:cs="仿宋_GB2312"/>
          <w:sz w:val="32"/>
          <w:szCs w:val="32"/>
          <w:highlight w:val="none"/>
        </w:rPr>
        <w:t>日</w:t>
      </w:r>
    </w:p>
    <w:p>
      <w:pPr>
        <w:pStyle w:val="2"/>
      </w:pPr>
    </w:p>
    <w:p>
      <w:pPr>
        <w:pStyle w:val="3"/>
        <w:keepNext w:val="0"/>
        <w:keepLines w:val="0"/>
        <w:pageBreakBefore w:val="0"/>
        <w:kinsoku/>
        <w:wordWrap/>
        <w:overflowPunct/>
        <w:topLinePunct w:val="0"/>
        <w:bidi w:val="0"/>
        <w:adjustRightInd w:val="0"/>
        <w:snapToGrid w:val="0"/>
        <w:spacing w:before="1" w:line="420" w:lineRule="atLeast"/>
        <w:textAlignment w:val="auto"/>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keepNext w:val="0"/>
        <w:keepLines w:val="0"/>
        <w:pageBreakBefore w:val="0"/>
        <w:kinsoku/>
        <w:wordWrap/>
        <w:overflowPunct/>
        <w:topLinePunct w:val="0"/>
        <w:bidi w:val="0"/>
        <w:adjustRightInd w:val="0"/>
        <w:snapToGrid w:val="0"/>
        <w:spacing w:line="420" w:lineRule="atLeast"/>
        <w:textAlignment w:val="auto"/>
        <w:rPr>
          <w:rFonts w:ascii="黑体" w:hAnsi="黑体" w:eastAsia="黑体"/>
          <w:color w:val="231F20"/>
          <w:spacing w:val="-16"/>
        </w:rPr>
      </w:pPr>
      <w:r>
        <w:rPr>
          <w:rFonts w:ascii="Times New Roman" w:hAnsi="Times New Roman" w:eastAsia="仿宋_GB2312"/>
          <w:sz w:val="32"/>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-2540</wp:posOffset>
                </wp:positionV>
                <wp:extent cx="5550535" cy="635"/>
                <wp:effectExtent l="0" t="7620" r="12065" b="14605"/>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0.2pt;height:0.05pt;width:437.05pt;z-index:251661312;mso-width-relative:page;mso-height-relative:page;" filled="f" stroked="t"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u/pdQAAAAFAQAADwAAAAAAAAABACAAAAAiAAAAZHJzL2Rvd25yZXYueG1sUEsB&#10;AhQAFAAAAAgAh07iQFm9mEL5AQAA9QMAAA4AAAAAAAAAAQAgAAAAIw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cs="仿宋"/>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DR4p2+/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NDI1Yzg0YTBjZmUwNTFlNWI2ODRmMzE5Njg5ZjMifQ=="/>
  </w:docVars>
  <w:rsids>
    <w:rsidRoot w:val="3AD15E25"/>
    <w:rsid w:val="0091065E"/>
    <w:rsid w:val="00A60B94"/>
    <w:rsid w:val="00B40D21"/>
    <w:rsid w:val="00B77725"/>
    <w:rsid w:val="04222A5F"/>
    <w:rsid w:val="054E64C8"/>
    <w:rsid w:val="05F92DDC"/>
    <w:rsid w:val="08D069EB"/>
    <w:rsid w:val="09EB1B63"/>
    <w:rsid w:val="0A424F95"/>
    <w:rsid w:val="0AC94872"/>
    <w:rsid w:val="0B006766"/>
    <w:rsid w:val="11D50B6D"/>
    <w:rsid w:val="13DB5B12"/>
    <w:rsid w:val="13E82206"/>
    <w:rsid w:val="141B194C"/>
    <w:rsid w:val="14864E97"/>
    <w:rsid w:val="1A574051"/>
    <w:rsid w:val="1F2111C5"/>
    <w:rsid w:val="2148092D"/>
    <w:rsid w:val="21E37453"/>
    <w:rsid w:val="22457241"/>
    <w:rsid w:val="22AE0FC2"/>
    <w:rsid w:val="249E10C1"/>
    <w:rsid w:val="25E535EB"/>
    <w:rsid w:val="27743E5C"/>
    <w:rsid w:val="287C121A"/>
    <w:rsid w:val="29C57696"/>
    <w:rsid w:val="2A8A4AA6"/>
    <w:rsid w:val="2B0F3F82"/>
    <w:rsid w:val="2D9A4369"/>
    <w:rsid w:val="32CF7DA6"/>
    <w:rsid w:val="34643731"/>
    <w:rsid w:val="35202463"/>
    <w:rsid w:val="3592461E"/>
    <w:rsid w:val="38CE7E6D"/>
    <w:rsid w:val="38F22FAA"/>
    <w:rsid w:val="3AD15E25"/>
    <w:rsid w:val="3AEC6732"/>
    <w:rsid w:val="3B74479D"/>
    <w:rsid w:val="3D373D4E"/>
    <w:rsid w:val="3F512FA9"/>
    <w:rsid w:val="40D84BFE"/>
    <w:rsid w:val="416F6B49"/>
    <w:rsid w:val="430101A0"/>
    <w:rsid w:val="462D4582"/>
    <w:rsid w:val="47B24801"/>
    <w:rsid w:val="4A4C332E"/>
    <w:rsid w:val="4F0A51C7"/>
    <w:rsid w:val="4FE21E3E"/>
    <w:rsid w:val="504B51EF"/>
    <w:rsid w:val="50F739CD"/>
    <w:rsid w:val="54A83213"/>
    <w:rsid w:val="562B0C67"/>
    <w:rsid w:val="5714026E"/>
    <w:rsid w:val="57EA1676"/>
    <w:rsid w:val="5A8F4E1E"/>
    <w:rsid w:val="5AD57930"/>
    <w:rsid w:val="5B24736C"/>
    <w:rsid w:val="5B8A3673"/>
    <w:rsid w:val="5BA86AF7"/>
    <w:rsid w:val="5E6830F4"/>
    <w:rsid w:val="65B20DEA"/>
    <w:rsid w:val="67873950"/>
    <w:rsid w:val="6A210391"/>
    <w:rsid w:val="6FA16055"/>
    <w:rsid w:val="6FFE5F86"/>
    <w:rsid w:val="70EC5DDE"/>
    <w:rsid w:val="72330BA2"/>
    <w:rsid w:val="74B45A34"/>
    <w:rsid w:val="74EB2302"/>
    <w:rsid w:val="75C6098C"/>
    <w:rsid w:val="78857244"/>
    <w:rsid w:val="79E67EF5"/>
    <w:rsid w:val="79FC5D72"/>
    <w:rsid w:val="7B323902"/>
    <w:rsid w:val="7B736201"/>
    <w:rsid w:val="7E70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1248</Words>
  <Characters>1349</Characters>
  <Lines>20</Lines>
  <Paragraphs>5</Paragraphs>
  <TotalTime>1</TotalTime>
  <ScaleCrop>false</ScaleCrop>
  <LinksUpToDate>false</LinksUpToDate>
  <CharactersWithSpaces>1543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2022-11-07T02:40:00Z</cp:lastPrinted>
  <dcterms:modified xsi:type="dcterms:W3CDTF">2022-11-22T07:25:41Z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C6193300203A41C59082635C4D2D7C23</vt:lpwstr>
  </property>
</Properties>
</file>