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val="0"/>
        <w:snapToGrid w:val="0"/>
        <w:spacing w:line="560" w:lineRule="exact"/>
        <w:outlineLvl w:val="0"/>
        <w:rPr>
          <w:rFonts w:hint="eastAsia" w:ascii="方正黑体_GBK" w:hAnsi="方正黑体_GBK" w:eastAsia="方正黑体_GBK" w:cs="方正黑体_GBK"/>
          <w:color w:val="000000"/>
          <w:sz w:val="32"/>
          <w:szCs w:val="32"/>
          <w:highlight w:val="none"/>
          <w:lang w:eastAsia="zh-CN"/>
        </w:rPr>
      </w:pPr>
      <w:r>
        <w:rPr>
          <w:rFonts w:hint="eastAsia" w:ascii="方正黑体_GBK" w:hAnsi="方正黑体_GBK" w:eastAsia="方正黑体_GBK" w:cs="方正黑体_GBK"/>
          <w:color w:val="000000"/>
          <w:sz w:val="32"/>
          <w:szCs w:val="32"/>
          <w:highlight w:val="none"/>
          <w:lang w:eastAsia="zh-CN"/>
        </w:rPr>
        <w:t>附件：</w:t>
      </w:r>
    </w:p>
    <w:p>
      <w:pPr>
        <w:keepNext w:val="0"/>
        <w:keepLines w:val="0"/>
        <w:pageBreakBefore w:val="0"/>
        <w:kinsoku/>
        <w:overflowPunct/>
        <w:topLinePunct w:val="0"/>
        <w:autoSpaceDE/>
        <w:autoSpaceDN/>
        <w:bidi w:val="0"/>
        <w:spacing w:line="560" w:lineRule="exact"/>
        <w:jc w:val="center"/>
        <w:rPr>
          <w:rFonts w:hint="default" w:ascii="TimesNewRoman" w:hAnsi="TimesNewRoman" w:eastAsia="华文中宋" w:cs="TimesNewRoman"/>
          <w:b/>
          <w:color w:val="000000"/>
          <w:sz w:val="36"/>
          <w:szCs w:val="36"/>
        </w:rPr>
      </w:pPr>
    </w:p>
    <w:p>
      <w:pPr>
        <w:keepNext w:val="0"/>
        <w:keepLines w:val="0"/>
        <w:pageBreakBefore w:val="0"/>
        <w:kinsoku/>
        <w:overflowPunct/>
        <w:topLinePunct w:val="0"/>
        <w:autoSpaceDE/>
        <w:autoSpaceDN/>
        <w:bidi w:val="0"/>
        <w:spacing w:line="560" w:lineRule="exact"/>
        <w:jc w:val="center"/>
        <w:rPr>
          <w:rFonts w:hint="default" w:ascii="TimesNewRoman" w:hAnsi="TimesNewRoman" w:eastAsia="华文中宋" w:cs="TimesNewRoman"/>
          <w:b/>
          <w:color w:val="000000"/>
          <w:sz w:val="36"/>
          <w:szCs w:val="36"/>
          <w:lang w:eastAsia="zh-CN"/>
        </w:rPr>
      </w:pPr>
      <w:r>
        <w:rPr>
          <w:rFonts w:hint="eastAsia" w:ascii="TimesNewRoman" w:hAnsi="TimesNewRoman" w:eastAsia="华文中宋" w:cs="TimesNewRoman"/>
          <w:b/>
          <w:color w:val="000000"/>
          <w:sz w:val="36"/>
          <w:szCs w:val="36"/>
          <w:lang w:eastAsia="zh-CN"/>
        </w:rPr>
        <w:t>淮南市市场监督管理局（本级）</w:t>
      </w:r>
      <w:r>
        <w:rPr>
          <w:rFonts w:hint="default" w:ascii="TimesNewRoman" w:hAnsi="TimesNewRoman" w:eastAsia="华文中宋" w:cs="TimesNewRoman"/>
          <w:b/>
          <w:color w:val="000000"/>
          <w:sz w:val="36"/>
          <w:szCs w:val="36"/>
          <w:lang w:val="en-US" w:eastAsia="zh-CN"/>
        </w:rPr>
        <w:t>202</w:t>
      </w:r>
      <w:r>
        <w:rPr>
          <w:rFonts w:hint="eastAsia" w:ascii="TimesNewRoman" w:hAnsi="TimesNewRoman" w:eastAsia="华文中宋" w:cs="TimesNewRoman"/>
          <w:b/>
          <w:color w:val="000000"/>
          <w:sz w:val="36"/>
          <w:szCs w:val="36"/>
          <w:lang w:val="en-US" w:eastAsia="zh-CN"/>
        </w:rPr>
        <w:t>3</w:t>
      </w:r>
      <w:bookmarkStart w:id="0" w:name="_GoBack"/>
      <w:bookmarkEnd w:id="0"/>
      <w:r>
        <w:rPr>
          <w:rFonts w:hint="default" w:ascii="TimesNewRoman" w:hAnsi="TimesNewRoman" w:eastAsia="华文中宋" w:cs="TimesNewRoman"/>
          <w:b/>
          <w:color w:val="000000"/>
          <w:sz w:val="36"/>
          <w:szCs w:val="36"/>
          <w:lang w:val="en-US" w:eastAsia="zh-CN"/>
        </w:rPr>
        <w:t>年度</w:t>
      </w:r>
      <w:r>
        <w:rPr>
          <w:rFonts w:hint="eastAsia" w:ascii="TimesNewRoman" w:hAnsi="TimesNewRoman" w:eastAsia="华文中宋" w:cs="TimesNewRoman"/>
          <w:b/>
          <w:color w:val="000000"/>
          <w:sz w:val="36"/>
          <w:szCs w:val="36"/>
          <w:lang w:val="en-US" w:eastAsia="zh-CN"/>
        </w:rPr>
        <w:t xml:space="preserve">          </w:t>
      </w:r>
      <w:r>
        <w:rPr>
          <w:rFonts w:hint="default" w:ascii="TimesNewRoman" w:hAnsi="TimesNewRoman" w:eastAsia="华文中宋" w:cs="TimesNewRoman"/>
          <w:b/>
          <w:color w:val="000000"/>
          <w:sz w:val="36"/>
          <w:szCs w:val="36"/>
        </w:rPr>
        <w:t>项目</w:t>
      </w:r>
      <w:r>
        <w:rPr>
          <w:rFonts w:hint="default" w:ascii="TimesNewRoman" w:hAnsi="TimesNewRoman" w:eastAsia="华文中宋" w:cs="TimesNewRoman"/>
          <w:b/>
          <w:color w:val="000000"/>
          <w:sz w:val="36"/>
          <w:szCs w:val="36"/>
          <w:lang w:eastAsia="zh-CN"/>
        </w:rPr>
        <w:t>支出绩效目标</w:t>
      </w:r>
    </w:p>
    <w:p>
      <w:pPr>
        <w:keepNext w:val="0"/>
        <w:keepLines w:val="0"/>
        <w:pageBreakBefore w:val="0"/>
        <w:kinsoku/>
        <w:overflowPunct/>
        <w:topLinePunct w:val="0"/>
        <w:autoSpaceDE/>
        <w:autoSpaceDN/>
        <w:bidi w:val="0"/>
        <w:adjustRightInd w:val="0"/>
        <w:snapToGrid w:val="0"/>
        <w:spacing w:line="560" w:lineRule="exact"/>
        <w:jc w:val="both"/>
        <w:outlineLvl w:val="0"/>
        <w:rPr>
          <w:rFonts w:hint="default" w:ascii="TimesNewRoman" w:hAnsi="TimesNewRoman" w:eastAsia="仿宋_GB2312" w:cs="TimesNewRoman"/>
          <w:b w:val="0"/>
          <w:bCs w:val="0"/>
          <w:color w:val="000000"/>
          <w:sz w:val="32"/>
          <w:szCs w:val="32"/>
          <w:highlight w:val="none"/>
          <w:lang w:eastAsia="zh-CN"/>
        </w:rPr>
      </w:pPr>
    </w:p>
    <w:tbl>
      <w:tblPr>
        <w:tblStyle w:val="5"/>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4352"/>
        <w:gridCol w:w="3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default" w:ascii="TimesNewRoman" w:hAnsi="TimesNewRoman" w:eastAsia="仿宋_GB2312" w:cs="TimesNewRoman"/>
                <w:color w:val="000000"/>
                <w:kern w:val="2"/>
                <w:sz w:val="32"/>
                <w:szCs w:val="32"/>
                <w:lang w:val="en-US" w:eastAsia="zh-CN" w:bidi="ar-SA"/>
              </w:rPr>
              <w:t>项目支出绩效目标公开清单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color w:val="000000"/>
                <w:kern w:val="2"/>
                <w:sz w:val="32"/>
                <w:szCs w:val="32"/>
                <w:lang w:val="en-US" w:eastAsia="zh-CN" w:bidi="ar-SA"/>
              </w:rPr>
            </w:pPr>
            <w:r>
              <w:rPr>
                <w:rFonts w:hint="default" w:ascii="TimesNewRoman" w:hAnsi="TimesNewRoman" w:eastAsia="仿宋_GB2312" w:cs="TimesNewRoman"/>
                <w:color w:val="000000"/>
                <w:kern w:val="2"/>
                <w:sz w:val="32"/>
                <w:szCs w:val="32"/>
                <w:lang w:val="en-US" w:eastAsia="zh-CN" w:bidi="ar-SA"/>
              </w:rPr>
              <w:t>序号</w:t>
            </w:r>
          </w:p>
        </w:tc>
        <w:tc>
          <w:tcPr>
            <w:tcW w:w="43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color w:val="000000"/>
                <w:kern w:val="2"/>
                <w:sz w:val="32"/>
                <w:szCs w:val="32"/>
                <w:lang w:val="en-US" w:eastAsia="zh-CN" w:bidi="ar-SA"/>
              </w:rPr>
            </w:pPr>
            <w:r>
              <w:rPr>
                <w:rFonts w:hint="default" w:ascii="TimesNewRoman" w:hAnsi="TimesNewRoman" w:eastAsia="仿宋_GB2312" w:cs="TimesNewRoman"/>
                <w:color w:val="000000"/>
                <w:kern w:val="2"/>
                <w:sz w:val="32"/>
                <w:szCs w:val="32"/>
                <w:lang w:val="en-US" w:eastAsia="zh-CN" w:bidi="ar-SA"/>
              </w:rPr>
              <w:t>项目名称</w:t>
            </w:r>
          </w:p>
        </w:tc>
        <w:tc>
          <w:tcPr>
            <w:tcW w:w="30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color w:val="000000"/>
                <w:kern w:val="2"/>
                <w:sz w:val="32"/>
                <w:szCs w:val="32"/>
                <w:lang w:val="en-US" w:eastAsia="zh-CN" w:bidi="ar-SA"/>
              </w:rPr>
            </w:pPr>
            <w:r>
              <w:rPr>
                <w:rFonts w:hint="default" w:ascii="TimesNewRoman" w:hAnsi="TimesNewRoman" w:eastAsia="仿宋_GB2312" w:cs="TimesNewRoman"/>
                <w:color w:val="000000"/>
                <w:kern w:val="2"/>
                <w:sz w:val="32"/>
                <w:szCs w:val="32"/>
                <w:lang w:val="en-US" w:eastAsia="zh-CN" w:bidi="ar-SA"/>
              </w:rPr>
              <w:t>预算金额</w:t>
            </w:r>
            <w:r>
              <w:rPr>
                <w:rFonts w:hint="eastAsia" w:ascii="TimesNewRoman" w:hAnsi="TimesNewRoman" w:cs="TimesNewRoman"/>
                <w:color w:val="000000"/>
                <w:kern w:val="2"/>
                <w:sz w:val="32"/>
                <w:szCs w:val="32"/>
                <w:lang w:val="en-US" w:eastAsia="zh-CN" w:bidi="ar-SA"/>
              </w:rPr>
              <w:t xml:space="preserve">        </w:t>
            </w:r>
            <w:r>
              <w:rPr>
                <w:rFonts w:hint="default" w:ascii="TimesNewRoman" w:hAnsi="TimesNewRoman" w:eastAsia="仿宋_GB2312" w:cs="TimesNewRoman"/>
                <w:color w:val="000000"/>
                <w:kern w:val="2"/>
                <w:sz w:val="32"/>
                <w:szCs w:val="32"/>
                <w:lang w:val="en-US" w:eastAsia="zh-CN" w:bidi="ar-SA"/>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eastAsia" w:ascii="仿宋" w:hAnsi="仿宋" w:eastAsia="仿宋" w:cs="仿宋"/>
                <w:b w:val="0"/>
                <w:bCs w:val="0"/>
                <w:color w:val="000000"/>
                <w:sz w:val="32"/>
                <w:szCs w:val="32"/>
                <w:highlight w:val="none"/>
                <w:vertAlign w:val="baseline"/>
                <w:lang w:val="en-US" w:eastAsia="zh-CN"/>
              </w:rPr>
              <w:t>1</w:t>
            </w:r>
          </w:p>
        </w:tc>
        <w:tc>
          <w:tcPr>
            <w:tcW w:w="43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eastAsia" w:ascii="仿宋" w:hAnsi="仿宋" w:eastAsia="仿宋" w:cs="仿宋"/>
                <w:color w:val="000000"/>
                <w:sz w:val="28"/>
                <w:szCs w:val="28"/>
                <w:highlight w:val="none"/>
              </w:rPr>
              <w:t>办公大楼运行管理经费</w:t>
            </w:r>
          </w:p>
        </w:tc>
        <w:tc>
          <w:tcPr>
            <w:tcW w:w="30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color w:val="000000"/>
                <w:sz w:val="28"/>
                <w:szCs w:val="28"/>
                <w:highlight w:val="none"/>
                <w:vertAlign w:val="baseline"/>
                <w:lang w:val="en-US" w:eastAsia="zh-CN"/>
              </w:rPr>
            </w:pPr>
            <w:r>
              <w:rPr>
                <w:rFonts w:hint="eastAsia" w:ascii="仿宋" w:hAnsi="仿宋" w:eastAsia="仿宋" w:cs="仿宋"/>
                <w:color w:val="000000"/>
                <w:kern w:val="2"/>
                <w:sz w:val="32"/>
                <w:szCs w:val="32"/>
                <w:lang w:val="en-US" w:eastAsia="zh-CN"/>
              </w:rPr>
              <w:t>393.82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eastAsia" w:ascii="仿宋" w:hAnsi="仿宋" w:eastAsia="仿宋" w:cs="仿宋"/>
                <w:b w:val="0"/>
                <w:bCs w:val="0"/>
                <w:color w:val="000000"/>
                <w:sz w:val="32"/>
                <w:szCs w:val="32"/>
                <w:highlight w:val="none"/>
                <w:vertAlign w:val="baseline"/>
                <w:lang w:val="en-US" w:eastAsia="zh-CN"/>
              </w:rPr>
              <w:t>2</w:t>
            </w:r>
          </w:p>
        </w:tc>
        <w:tc>
          <w:tcPr>
            <w:tcW w:w="43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eastAsia" w:ascii="仿宋" w:hAnsi="仿宋" w:eastAsia="仿宋" w:cs="仿宋"/>
                <w:color w:val="000000"/>
                <w:sz w:val="28"/>
                <w:szCs w:val="28"/>
                <w:highlight w:val="none"/>
              </w:rPr>
              <w:t>市场主体登记及监管业务</w:t>
            </w:r>
          </w:p>
        </w:tc>
        <w:tc>
          <w:tcPr>
            <w:tcW w:w="30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color w:val="000000"/>
                <w:sz w:val="28"/>
                <w:szCs w:val="28"/>
                <w:highlight w:val="none"/>
                <w:vertAlign w:val="baseline"/>
                <w:lang w:val="en-US" w:eastAsia="zh-CN"/>
              </w:rPr>
            </w:pPr>
            <w:r>
              <w:rPr>
                <w:rFonts w:hint="eastAsia" w:ascii="仿宋" w:hAnsi="仿宋" w:eastAsia="仿宋" w:cs="仿宋"/>
                <w:color w:val="000000"/>
                <w:kern w:val="2"/>
                <w:sz w:val="32"/>
                <w:szCs w:val="32"/>
                <w:lang w:val="en-US" w:eastAsia="zh-CN"/>
              </w:rPr>
              <w:t>1043.55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eastAsia" w:ascii="仿宋" w:hAnsi="仿宋" w:eastAsia="仿宋" w:cs="仿宋"/>
                <w:b w:val="0"/>
                <w:bCs w:val="0"/>
                <w:color w:val="000000"/>
                <w:sz w:val="32"/>
                <w:szCs w:val="32"/>
                <w:highlight w:val="none"/>
                <w:vertAlign w:val="baseline"/>
                <w:lang w:val="en-US" w:eastAsia="zh-CN"/>
              </w:rPr>
              <w:t>３</w:t>
            </w:r>
          </w:p>
        </w:tc>
        <w:tc>
          <w:tcPr>
            <w:tcW w:w="43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eastAsia" w:ascii="仿宋" w:hAnsi="仿宋" w:eastAsia="仿宋" w:cs="仿宋"/>
                <w:color w:val="000000"/>
                <w:sz w:val="28"/>
                <w:szCs w:val="28"/>
                <w:highlight w:val="none"/>
              </w:rPr>
              <w:t>省级食管业务、省级食品、药品及市场监管补助经费</w:t>
            </w:r>
          </w:p>
        </w:tc>
        <w:tc>
          <w:tcPr>
            <w:tcW w:w="30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color w:val="000000"/>
                <w:sz w:val="28"/>
                <w:szCs w:val="28"/>
                <w:highlight w:val="none"/>
                <w:vertAlign w:val="baseline"/>
                <w:lang w:val="en-US" w:eastAsia="zh-CN"/>
              </w:rPr>
            </w:pPr>
            <w:r>
              <w:rPr>
                <w:rFonts w:hint="eastAsia" w:ascii="仿宋" w:hAnsi="仿宋" w:eastAsia="仿宋" w:cs="仿宋"/>
                <w:b w:val="0"/>
                <w:bCs w:val="0"/>
                <w:color w:val="000000"/>
                <w:sz w:val="32"/>
                <w:szCs w:val="32"/>
                <w:highlight w:val="none"/>
                <w:vertAlign w:val="baseline"/>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eastAsia" w:ascii="仿宋" w:hAnsi="仿宋" w:eastAsia="仿宋" w:cs="仿宋"/>
                <w:b w:val="0"/>
                <w:bCs w:val="0"/>
                <w:color w:val="000000"/>
                <w:sz w:val="32"/>
                <w:szCs w:val="32"/>
                <w:highlight w:val="none"/>
                <w:vertAlign w:val="baseline"/>
                <w:lang w:val="en-US" w:eastAsia="zh-CN"/>
              </w:rPr>
              <w:t>４</w:t>
            </w:r>
          </w:p>
        </w:tc>
        <w:tc>
          <w:tcPr>
            <w:tcW w:w="43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eastAsia" w:ascii="仿宋" w:hAnsi="仿宋" w:eastAsia="仿宋" w:cs="仿宋"/>
                <w:color w:val="000000"/>
                <w:sz w:val="28"/>
                <w:szCs w:val="28"/>
                <w:highlight w:val="none"/>
              </w:rPr>
              <w:t>消费维权经费</w:t>
            </w:r>
          </w:p>
        </w:tc>
        <w:tc>
          <w:tcPr>
            <w:tcW w:w="30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color w:val="000000"/>
                <w:sz w:val="28"/>
                <w:szCs w:val="28"/>
                <w:highlight w:val="none"/>
                <w:vertAlign w:val="baseline"/>
                <w:lang w:val="en-US" w:eastAsia="zh-CN"/>
              </w:rPr>
            </w:pPr>
            <w:r>
              <w:rPr>
                <w:rFonts w:hint="eastAsia" w:ascii="仿宋" w:hAnsi="仿宋" w:eastAsia="仿宋" w:cs="仿宋"/>
                <w:b w:val="0"/>
                <w:bCs w:val="0"/>
                <w:color w:val="000000"/>
                <w:sz w:val="32"/>
                <w:szCs w:val="32"/>
                <w:highlight w:val="none"/>
                <w:vertAlign w:val="baseline"/>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eastAsia" w:ascii="仿宋" w:hAnsi="仿宋" w:eastAsia="仿宋" w:cs="仿宋"/>
                <w:b w:val="0"/>
                <w:bCs w:val="0"/>
                <w:color w:val="000000"/>
                <w:sz w:val="32"/>
                <w:szCs w:val="32"/>
                <w:highlight w:val="none"/>
                <w:vertAlign w:val="baseline"/>
                <w:lang w:val="en-US" w:eastAsia="zh-CN"/>
              </w:rPr>
              <w:t>５</w:t>
            </w:r>
          </w:p>
        </w:tc>
        <w:tc>
          <w:tcPr>
            <w:tcW w:w="43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eastAsia" w:ascii="仿宋" w:hAnsi="仿宋" w:eastAsia="仿宋" w:cs="仿宋"/>
                <w:color w:val="000000"/>
                <w:sz w:val="28"/>
                <w:szCs w:val="28"/>
                <w:highlight w:val="none"/>
              </w:rPr>
              <w:t>支持产业政策发展奖补</w:t>
            </w:r>
          </w:p>
        </w:tc>
        <w:tc>
          <w:tcPr>
            <w:tcW w:w="30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color w:val="000000"/>
                <w:sz w:val="28"/>
                <w:szCs w:val="28"/>
                <w:highlight w:val="none"/>
                <w:vertAlign w:val="baseline"/>
                <w:lang w:val="en-US" w:eastAsia="zh-CN"/>
              </w:rPr>
            </w:pPr>
            <w:r>
              <w:rPr>
                <w:rFonts w:hint="eastAsia" w:ascii="仿宋" w:hAnsi="仿宋" w:eastAsia="仿宋" w:cs="仿宋"/>
                <w:b w:val="0"/>
                <w:bCs w:val="0"/>
                <w:color w:val="000000"/>
                <w:sz w:val="32"/>
                <w:szCs w:val="32"/>
                <w:highlight w:val="none"/>
                <w:vertAlign w:val="baseline"/>
                <w:lang w:val="en-US" w:eastAsia="zh-CN"/>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eastAsia" w:ascii="仿宋" w:hAnsi="仿宋" w:eastAsia="仿宋" w:cs="仿宋"/>
                <w:b w:val="0"/>
                <w:bCs w:val="0"/>
                <w:color w:val="000000"/>
                <w:sz w:val="32"/>
                <w:szCs w:val="32"/>
                <w:highlight w:val="none"/>
                <w:vertAlign w:val="baseline"/>
                <w:lang w:val="en-US" w:eastAsia="zh-CN"/>
              </w:rPr>
              <w:t>６</w:t>
            </w:r>
          </w:p>
        </w:tc>
        <w:tc>
          <w:tcPr>
            <w:tcW w:w="43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eastAsia" w:ascii="仿宋" w:hAnsi="仿宋" w:eastAsia="仿宋" w:cs="仿宋"/>
                <w:color w:val="000000"/>
                <w:sz w:val="28"/>
                <w:szCs w:val="28"/>
                <w:highlight w:val="none"/>
              </w:rPr>
              <w:t>国家煤化工中心二期工程入经开区毛集分局日常工作经费</w:t>
            </w:r>
          </w:p>
        </w:tc>
        <w:tc>
          <w:tcPr>
            <w:tcW w:w="30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color w:val="000000"/>
                <w:sz w:val="28"/>
                <w:szCs w:val="28"/>
                <w:highlight w:val="none"/>
                <w:vertAlign w:val="baseline"/>
                <w:lang w:val="en-US" w:eastAsia="zh-CN"/>
              </w:rPr>
            </w:pPr>
            <w:r>
              <w:rPr>
                <w:rFonts w:hint="eastAsia" w:ascii="仿宋" w:hAnsi="仿宋" w:eastAsia="仿宋" w:cs="仿宋"/>
                <w:b w:val="0"/>
                <w:bCs w:val="0"/>
                <w:color w:val="000000"/>
                <w:sz w:val="32"/>
                <w:szCs w:val="32"/>
                <w:highlight w:val="none"/>
                <w:vertAlign w:val="baseline"/>
                <w:lang w:val="en-US" w:eastAsia="zh-CN"/>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color w:val="000000"/>
                <w:sz w:val="28"/>
                <w:szCs w:val="28"/>
                <w:highlight w:val="none"/>
                <w:vertAlign w:val="baseline"/>
                <w:lang w:val="en-US" w:eastAsia="zh-CN"/>
              </w:rPr>
            </w:pPr>
          </w:p>
        </w:tc>
        <w:tc>
          <w:tcPr>
            <w:tcW w:w="43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0"/>
              <w:rPr>
                <w:rFonts w:hint="eastAsia" w:ascii="仿宋_GB2312" w:hAnsi="仿宋_GB2312" w:eastAsia="仿宋_GB2312" w:cs="仿宋_GB2312"/>
                <w:b w:val="0"/>
                <w:bCs w:val="0"/>
                <w:color w:val="000000"/>
                <w:sz w:val="28"/>
                <w:szCs w:val="28"/>
                <w:highlight w:val="none"/>
                <w:vertAlign w:val="baseline"/>
                <w:lang w:val="en-US" w:eastAsia="zh-CN"/>
              </w:rPr>
            </w:pPr>
          </w:p>
        </w:tc>
        <w:tc>
          <w:tcPr>
            <w:tcW w:w="30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val="0"/>
                <w:bCs w:val="0"/>
                <w:color w:val="00000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p>
        </w:tc>
        <w:tc>
          <w:tcPr>
            <w:tcW w:w="43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eastAsia" w:ascii="TimesNewRoman" w:hAnsi="TimesNewRoman" w:cs="TimesNewRoman"/>
                <w:b w:val="0"/>
                <w:bCs w:val="0"/>
                <w:color w:val="000000"/>
                <w:sz w:val="32"/>
                <w:szCs w:val="32"/>
                <w:highlight w:val="none"/>
                <w:vertAlign w:val="baseline"/>
                <w:lang w:val="en-US" w:eastAsia="zh-CN"/>
              </w:rPr>
              <w:t>合计</w:t>
            </w:r>
          </w:p>
        </w:tc>
        <w:tc>
          <w:tcPr>
            <w:tcW w:w="30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NewRoman" w:hAnsi="TimesNewRoman" w:eastAsia="仿宋_GB2312" w:cs="TimesNewRoman"/>
                <w:b w:val="0"/>
                <w:bCs w:val="0"/>
                <w:color w:val="000000"/>
                <w:sz w:val="32"/>
                <w:szCs w:val="32"/>
                <w:highlight w:val="none"/>
                <w:vertAlign w:val="baseline"/>
                <w:lang w:val="en-US" w:eastAsia="zh-CN"/>
              </w:rPr>
            </w:pPr>
            <w:r>
              <w:rPr>
                <w:rFonts w:hint="eastAsia" w:ascii="TimesNewRoman" w:hAnsi="TimesNewRoman" w:cs="TimesNewRoman"/>
                <w:b w:val="0"/>
                <w:bCs w:val="0"/>
                <w:color w:val="000000"/>
                <w:sz w:val="32"/>
                <w:szCs w:val="32"/>
                <w:highlight w:val="none"/>
                <w:vertAlign w:val="baseline"/>
                <w:lang w:val="en-US" w:eastAsia="zh-CN"/>
              </w:rPr>
              <w:t>2508.57</w:t>
            </w:r>
          </w:p>
        </w:tc>
      </w:tr>
    </w:tbl>
    <w:p>
      <w:pPr>
        <w:keepNext w:val="0"/>
        <w:keepLines w:val="0"/>
        <w:pageBreakBefore w:val="0"/>
        <w:tabs>
          <w:tab w:val="left" w:pos="3316"/>
        </w:tabs>
        <w:kinsoku/>
        <w:overflowPunct/>
        <w:topLinePunct w:val="0"/>
        <w:autoSpaceDE/>
        <w:autoSpaceDN/>
        <w:bidi w:val="0"/>
        <w:adjustRightInd w:val="0"/>
        <w:snapToGrid w:val="0"/>
        <w:spacing w:line="560" w:lineRule="exact"/>
        <w:outlineLvl w:val="0"/>
        <w:rPr>
          <w:rFonts w:hint="default" w:ascii="TimesNewRoman" w:hAnsi="TimesNewRoman" w:eastAsia="黑体" w:cs="TimesNewRoman"/>
          <w:color w:val="000000"/>
          <w:sz w:val="36"/>
          <w:szCs w:val="36"/>
          <w:highlight w:val="none"/>
        </w:rPr>
      </w:pPr>
    </w:p>
    <w:p>
      <w:pPr>
        <w:widowControl/>
        <w:spacing w:line="560" w:lineRule="exact"/>
        <w:jc w:val="center"/>
        <w:rPr>
          <w:rFonts w:hint="eastAsia" w:ascii="Times New Roman" w:hAnsi="Times New Roman" w:eastAsia="方正小标宋简体"/>
          <w:bCs/>
          <w:sz w:val="44"/>
          <w:szCs w:val="24"/>
          <w:lang w:val="en-US" w:eastAsia="zh-CN"/>
        </w:rPr>
      </w:pPr>
    </w:p>
    <w:p>
      <w:pPr>
        <w:widowControl/>
        <w:spacing w:line="560" w:lineRule="exact"/>
        <w:jc w:val="center"/>
        <w:rPr>
          <w:rFonts w:hint="eastAsia" w:ascii="Times New Roman" w:hAnsi="Times New Roman" w:eastAsia="方正小标宋简体"/>
          <w:bCs/>
          <w:sz w:val="44"/>
          <w:szCs w:val="24"/>
          <w:lang w:val="en-US" w:eastAsia="zh-CN"/>
        </w:rPr>
      </w:pPr>
    </w:p>
    <w:p>
      <w:pPr>
        <w:widowControl/>
        <w:spacing w:line="560" w:lineRule="exact"/>
        <w:jc w:val="center"/>
        <w:rPr>
          <w:rFonts w:hint="eastAsia" w:ascii="Times New Roman" w:hAnsi="Times New Roman" w:eastAsia="方正小标宋简体"/>
          <w:bCs/>
          <w:sz w:val="44"/>
          <w:szCs w:val="24"/>
          <w:lang w:val="en-US" w:eastAsia="zh-CN"/>
        </w:rPr>
      </w:pPr>
    </w:p>
    <w:p>
      <w:pPr>
        <w:widowControl/>
        <w:spacing w:line="560" w:lineRule="exact"/>
        <w:jc w:val="center"/>
        <w:rPr>
          <w:rFonts w:hint="eastAsia" w:ascii="Times New Roman" w:hAnsi="Times New Roman" w:eastAsia="方正小标宋简体"/>
          <w:bCs/>
          <w:sz w:val="44"/>
          <w:szCs w:val="24"/>
          <w:lang w:val="en-US" w:eastAsia="zh-CN"/>
        </w:rPr>
      </w:pPr>
    </w:p>
    <w:p>
      <w:pPr>
        <w:widowControl/>
        <w:spacing w:line="560" w:lineRule="exact"/>
        <w:jc w:val="center"/>
        <w:rPr>
          <w:rFonts w:ascii="Times New Roman" w:hAnsi="Times New Roman" w:eastAsia="黑体"/>
          <w:sz w:val="32"/>
          <w:szCs w:val="32"/>
        </w:rPr>
      </w:pPr>
      <w:r>
        <w:rPr>
          <w:rFonts w:hint="eastAsia" w:ascii="Times New Roman" w:hAnsi="Times New Roman" w:eastAsia="方正小标宋简体"/>
          <w:bCs/>
          <w:sz w:val="44"/>
          <w:szCs w:val="24"/>
          <w:lang w:val="en-US" w:eastAsia="zh-CN"/>
        </w:rPr>
        <w:t>淮南市市场监督管理局（市本级）2023年度办公大楼运行项目支出自评报告</w:t>
      </w:r>
    </w:p>
    <w:p>
      <w:pPr>
        <w:widowControl/>
        <w:spacing w:line="560" w:lineRule="exact"/>
        <w:ind w:firstLine="640" w:firstLineChars="200"/>
        <w:rPr>
          <w:rFonts w:ascii="Times New Roman" w:hAnsi="Times New Roman" w:eastAsia="黑体"/>
          <w:sz w:val="32"/>
          <w:szCs w:val="32"/>
        </w:rPr>
      </w:pP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一、项目基本情况</w:t>
      </w:r>
    </w:p>
    <w:p>
      <w:pPr>
        <w:widowControl/>
        <w:spacing w:line="560" w:lineRule="exact"/>
        <w:ind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（一）项目概况</w:t>
      </w:r>
    </w:p>
    <w:p>
      <w:pPr>
        <w:snapToGrid w:val="0"/>
        <w:spacing w:line="560" w:lineRule="exact"/>
        <w:ind w:firstLine="660"/>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1.立项依据</w:t>
      </w:r>
    </w:p>
    <w:p>
      <w:pPr>
        <w:snapToGrid w:val="0"/>
        <w:spacing w:line="560" w:lineRule="exact"/>
        <w:ind w:firstLine="66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单位法定职责（淮办秘[2020]48号）。</w:t>
      </w:r>
    </w:p>
    <w:p>
      <w:pPr>
        <w:snapToGrid w:val="0"/>
        <w:spacing w:line="560" w:lineRule="exact"/>
        <w:ind w:firstLine="66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2.项目主要内容</w:t>
      </w:r>
    </w:p>
    <w:p>
      <w:pPr>
        <w:snapToGrid w:val="0"/>
        <w:spacing w:line="560" w:lineRule="exact"/>
        <w:ind w:firstLine="66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机构改革后，原工商、原质监、原药监、原知识产权处、原物价监督检查局职能合并，均在煤化工质检中心大楼（含一期、二期）合并办公，为保证大楼正常运转，确保市局开展市场监督管理工作。项目内容：包括国家煤化工质检中心大楼一期、二期物业管理费，消防设施、电梯维保、中央空调等维修维护费，正常办公及实验室水电费等保证大楼正常运转费用。</w:t>
      </w:r>
    </w:p>
    <w:p>
      <w:pPr>
        <w:snapToGrid w:val="0"/>
        <w:spacing w:line="560" w:lineRule="exact"/>
        <w:ind w:firstLine="66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3.资金投入和使用情况</w:t>
      </w:r>
    </w:p>
    <w:p>
      <w:pPr>
        <w:widowControl/>
        <w:tabs>
          <w:tab w:val="right" w:pos="8306"/>
        </w:tabs>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2023年度项目资金预算金额393.82万元，实际支付393.82万元，预算执行率为100%。</w:t>
      </w:r>
    </w:p>
    <w:p>
      <w:pPr>
        <w:widowControl/>
        <w:tabs>
          <w:tab w:val="right" w:pos="8306"/>
        </w:tabs>
        <w:spacing w:line="560" w:lineRule="exact"/>
        <w:ind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（二）项目绩效目标</w:t>
      </w:r>
      <w:r>
        <w:rPr>
          <w:rFonts w:ascii="Times New Roman" w:hAnsi="Times New Roman" w:eastAsia="楷体_GB2312"/>
          <w:b/>
          <w:color w:val="000000"/>
          <w:sz w:val="32"/>
          <w:szCs w:val="32"/>
        </w:rPr>
        <w:tab/>
      </w:r>
    </w:p>
    <w:p>
      <w:pPr>
        <w:widowControl/>
        <w:tabs>
          <w:tab w:val="right" w:pos="8306"/>
        </w:tabs>
        <w:spacing w:line="560" w:lineRule="exact"/>
        <w:ind w:firstLine="643" w:firstLineChars="20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1.项目年度总体目标</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保证大楼正常运转，保障市场监管业务工作正常开展，充分发挥职能作用，全力服务淮南经济发展，为我市调整产业结构、促进转型升级做出应有贡献。</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物业管理费支出101.98万元（煤化工质检中心一期及二期大楼97.3万元，毛集办公楼4.68万元），日常维修费支出10.38万元 ,电梯维保维修支出4.34万元，水费6万，电费110万元，食堂费用161.12万元。</w:t>
      </w:r>
    </w:p>
    <w:p>
      <w:pPr>
        <w:widowControl/>
        <w:tabs>
          <w:tab w:val="right" w:pos="8306"/>
        </w:tabs>
        <w:spacing w:line="560" w:lineRule="exact"/>
        <w:ind w:firstLine="643" w:firstLineChars="20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2.总体目标完成情况</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是物业服务面积29649平方米，服务人数约400人；二是业主维修申报处理率≥98%，监控系统完好率≥100%，经费支出符合财经纪律；三是卫生保洁在规定时间内完成，设施设备维修及时，物业服务24小时在位；四是物业、水电、维修等共256万元；五是改善和提高办公环境程度明显；六是对水电能耗的节约率约3%；七是保证大楼正常运转，确保局系统正常开展市场监督管理工作；八是服务对象满意度≥90%。</w:t>
      </w:r>
    </w:p>
    <w:p>
      <w:pPr>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二、绩效</w:t>
      </w:r>
      <w:r>
        <w:rPr>
          <w:rFonts w:hint="eastAsia" w:ascii="Times New Roman" w:hAnsi="Times New Roman" w:eastAsia="黑体"/>
          <w:color w:val="000000"/>
          <w:sz w:val="32"/>
          <w:szCs w:val="32"/>
        </w:rPr>
        <w:t>评价</w:t>
      </w:r>
      <w:r>
        <w:rPr>
          <w:rFonts w:ascii="Times New Roman" w:hAnsi="Times New Roman" w:eastAsia="黑体"/>
          <w:color w:val="000000"/>
          <w:sz w:val="32"/>
          <w:szCs w:val="32"/>
        </w:rPr>
        <w:t>结论</w:t>
      </w:r>
    </w:p>
    <w:p>
      <w:pPr>
        <w:widowControl/>
        <w:spacing w:line="560" w:lineRule="exact"/>
        <w:ind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（一）总体结论</w:t>
      </w:r>
    </w:p>
    <w:p>
      <w:pPr>
        <w:widowControl/>
        <w:spacing w:line="600" w:lineRule="exact"/>
        <w:ind w:firstLine="640" w:firstLineChars="200"/>
        <w:rPr>
          <w:rFonts w:hint="eastAsia" w:ascii="仿宋" w:hAnsi="仿宋" w:eastAsia="仿宋" w:cs="仿宋"/>
          <w:sz w:val="32"/>
          <w:szCs w:val="32"/>
          <w:lang w:val="en-US" w:eastAsia="zh-CN"/>
        </w:rPr>
      </w:pPr>
      <w:r>
        <w:rPr>
          <w:rFonts w:hint="eastAsia" w:eastAsia="仿宋_GB2312"/>
          <w:sz w:val="32"/>
          <w:szCs w:val="32"/>
          <w:lang w:val="en-US" w:eastAsia="zh-CN"/>
        </w:rPr>
        <w:t>围绕绩效评价指标体系，通过数据采集分析等方式，对该项目绩效进行了客观、公开的评价。该项目资金安排合理，各项资金本着降低成本，节约资金的原则，安排合理购置计划，资金利用率高，财政资金使用效益达到最大化，项目达</w:t>
      </w:r>
      <w:r>
        <w:rPr>
          <w:rFonts w:hint="eastAsia" w:ascii="仿宋" w:hAnsi="仿宋" w:eastAsia="仿宋" w:cs="仿宋"/>
          <w:sz w:val="32"/>
          <w:szCs w:val="32"/>
          <w:lang w:val="en-US" w:eastAsia="zh-CN"/>
        </w:rPr>
        <w:t>到预期目标。</w:t>
      </w:r>
    </w:p>
    <w:p>
      <w:pPr>
        <w:widowControl/>
        <w:spacing w:line="560" w:lineRule="exact"/>
        <w:ind w:firstLine="643" w:firstLineChars="200"/>
        <w:rPr>
          <w:rFonts w:hint="eastAsia" w:ascii="Times New Roman" w:hAnsi="Times New Roman" w:eastAsia="楷体_GB2312"/>
          <w:b/>
          <w:color w:val="000000"/>
          <w:sz w:val="32"/>
          <w:szCs w:val="32"/>
        </w:rPr>
      </w:pPr>
      <w:r>
        <w:rPr>
          <w:rFonts w:hint="eastAsia" w:ascii="Times New Roman" w:hAnsi="Times New Roman" w:eastAsia="楷体_GB2312"/>
          <w:b/>
          <w:color w:val="000000"/>
          <w:sz w:val="32"/>
          <w:szCs w:val="32"/>
        </w:rPr>
        <w:t>（二）评价结果</w:t>
      </w:r>
    </w:p>
    <w:p>
      <w:pPr>
        <w:widowControl/>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经评价，2023年淮南市市场监督管理局办公大楼运行项目绩效评价综合得分为100分，评价结果为“优”。</w:t>
      </w:r>
    </w:p>
    <w:p>
      <w:pPr>
        <w:spacing w:line="560" w:lineRule="exact"/>
        <w:ind w:firstLine="640" w:firstLineChars="200"/>
        <w:rPr>
          <w:rFonts w:hint="eastAsia" w:ascii="Times New Roman" w:hAnsi="Times New Roman" w:eastAsia="黑体"/>
          <w:color w:val="000000"/>
          <w:sz w:val="32"/>
          <w:szCs w:val="32"/>
        </w:rPr>
      </w:pPr>
      <w:r>
        <w:rPr>
          <w:rFonts w:hint="eastAsia" w:ascii="Times New Roman" w:hAnsi="Times New Roman" w:eastAsia="黑体"/>
          <w:color w:val="000000"/>
          <w:sz w:val="32"/>
          <w:szCs w:val="32"/>
        </w:rPr>
        <w:t>三、指标分析</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2023年淮南市市场监督管理局办公大楼运行项目绩效评价指标体系共设置4个一级指标，8个二级指标，8个三级指标，各项指标评分情况分析如下：</w:t>
      </w:r>
    </w:p>
    <w:p>
      <w:pPr>
        <w:widowControl/>
        <w:spacing w:line="600" w:lineRule="exact"/>
        <w:ind w:right="-283" w:firstLine="643" w:firstLineChars="200"/>
        <w:rPr>
          <w:rFonts w:hint="eastAsia" w:ascii="仿宋" w:hAnsi="仿宋" w:eastAsia="仿宋" w:cs="仿宋"/>
          <w:b/>
          <w:color w:val="000000"/>
          <w:sz w:val="32"/>
          <w:szCs w:val="32"/>
        </w:rPr>
      </w:pPr>
      <w:r>
        <w:rPr>
          <w:rFonts w:ascii="Times New Roman" w:hAnsi="Times New Roman" w:eastAsia="楷体_GB2312"/>
          <w:b/>
          <w:color w:val="000000"/>
          <w:sz w:val="32"/>
          <w:szCs w:val="32"/>
        </w:rPr>
        <w:t>（一）</w:t>
      </w:r>
      <w:r>
        <w:rPr>
          <w:rFonts w:hint="eastAsia" w:ascii="Times New Roman" w:hAnsi="Times New Roman" w:eastAsia="楷体_GB2312"/>
          <w:b/>
          <w:color w:val="000000"/>
          <w:sz w:val="32"/>
          <w:szCs w:val="32"/>
          <w:lang w:val="en-US" w:eastAsia="zh-CN"/>
        </w:rPr>
        <w:t>过程</w:t>
      </w:r>
      <w:r>
        <w:rPr>
          <w:rFonts w:ascii="Times New Roman" w:hAnsi="Times New Roman" w:eastAsia="楷体_GB2312"/>
          <w:b/>
          <w:color w:val="000000"/>
          <w:sz w:val="32"/>
          <w:szCs w:val="32"/>
        </w:rPr>
        <w:t>指标</w:t>
      </w:r>
      <w:r>
        <w:rPr>
          <w:rFonts w:hint="eastAsia" w:ascii="仿宋" w:hAnsi="仿宋" w:eastAsia="仿宋" w:cs="仿宋"/>
          <w:b/>
          <w:color w:val="000000"/>
          <w:sz w:val="32"/>
          <w:szCs w:val="32"/>
        </w:rPr>
        <w:t>（满分</w:t>
      </w:r>
      <w:r>
        <w:rPr>
          <w:rFonts w:hint="eastAsia" w:ascii="仿宋" w:hAnsi="仿宋" w:eastAsia="仿宋" w:cs="仿宋"/>
          <w:b/>
          <w:color w:val="000000"/>
          <w:sz w:val="32"/>
          <w:szCs w:val="32"/>
          <w:lang w:val="en-US" w:eastAsia="zh-CN"/>
        </w:rPr>
        <w:t>10</w:t>
      </w:r>
      <w:r>
        <w:rPr>
          <w:rFonts w:hint="eastAsia" w:ascii="仿宋" w:hAnsi="仿宋" w:eastAsia="仿宋" w:cs="仿宋"/>
          <w:b/>
          <w:color w:val="000000"/>
          <w:sz w:val="32"/>
          <w:szCs w:val="32"/>
        </w:rPr>
        <w:t>分，实得</w:t>
      </w:r>
      <w:r>
        <w:rPr>
          <w:rFonts w:hint="eastAsia" w:ascii="仿宋" w:hAnsi="仿宋" w:eastAsia="仿宋" w:cs="仿宋"/>
          <w:b/>
          <w:color w:val="000000"/>
          <w:sz w:val="32"/>
          <w:szCs w:val="32"/>
          <w:lang w:val="en-US" w:eastAsia="zh-CN"/>
        </w:rPr>
        <w:t>10</w:t>
      </w:r>
      <w:r>
        <w:rPr>
          <w:rFonts w:hint="eastAsia" w:ascii="仿宋" w:hAnsi="仿宋" w:eastAsia="仿宋" w:cs="仿宋"/>
          <w:b/>
          <w:color w:val="000000"/>
          <w:sz w:val="32"/>
          <w:szCs w:val="32"/>
        </w:rPr>
        <w:t>分）</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资金管理指标</w:t>
      </w:r>
      <w:r>
        <w:rPr>
          <w:rFonts w:hint="eastAsia" w:ascii="仿宋" w:hAnsi="仿宋" w:eastAsia="仿宋" w:cs="仿宋"/>
          <w:sz w:val="32"/>
          <w:szCs w:val="32"/>
        </w:rPr>
        <w:t>（满分</w:t>
      </w:r>
      <w:r>
        <w:rPr>
          <w:rFonts w:hint="eastAsia" w:ascii="仿宋" w:hAnsi="仿宋" w:eastAsia="仿宋" w:cs="仿宋"/>
          <w:sz w:val="32"/>
          <w:szCs w:val="32"/>
          <w:lang w:val="en-US" w:eastAsia="zh-CN"/>
        </w:rPr>
        <w:t>10</w:t>
      </w:r>
      <w:r>
        <w:rPr>
          <w:rFonts w:hint="eastAsia" w:ascii="仿宋" w:hAnsi="仿宋" w:eastAsia="仿宋" w:cs="仿宋"/>
          <w:sz w:val="32"/>
          <w:szCs w:val="32"/>
        </w:rPr>
        <w:t>分，实得</w:t>
      </w:r>
      <w:r>
        <w:rPr>
          <w:rFonts w:hint="eastAsia" w:ascii="仿宋" w:hAnsi="仿宋" w:eastAsia="仿宋" w:cs="仿宋"/>
          <w:sz w:val="32"/>
          <w:szCs w:val="32"/>
          <w:lang w:val="en-US" w:eastAsia="zh-CN"/>
        </w:rPr>
        <w:t>10</w:t>
      </w:r>
      <w:r>
        <w:rPr>
          <w:rFonts w:hint="eastAsia" w:ascii="仿宋" w:hAnsi="仿宋" w:eastAsia="仿宋" w:cs="仿宋"/>
          <w:sz w:val="32"/>
          <w:szCs w:val="32"/>
        </w:rPr>
        <w:t>分）</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预算执行率</w:t>
      </w:r>
      <w:r>
        <w:rPr>
          <w:rFonts w:hint="eastAsia" w:ascii="仿宋" w:hAnsi="仿宋" w:eastAsia="仿宋" w:cs="仿宋"/>
          <w:sz w:val="32"/>
          <w:szCs w:val="32"/>
        </w:rPr>
        <w:t>（满分</w:t>
      </w:r>
      <w:r>
        <w:rPr>
          <w:rFonts w:hint="eastAsia" w:ascii="仿宋" w:hAnsi="仿宋" w:eastAsia="仿宋" w:cs="仿宋"/>
          <w:sz w:val="32"/>
          <w:szCs w:val="32"/>
          <w:lang w:val="en-US" w:eastAsia="zh-CN"/>
        </w:rPr>
        <w:t>10</w:t>
      </w:r>
      <w:r>
        <w:rPr>
          <w:rFonts w:hint="eastAsia" w:ascii="仿宋" w:hAnsi="仿宋" w:eastAsia="仿宋" w:cs="仿宋"/>
          <w:sz w:val="32"/>
          <w:szCs w:val="32"/>
        </w:rPr>
        <w:t>分，实得</w:t>
      </w:r>
      <w:r>
        <w:rPr>
          <w:rFonts w:hint="eastAsia" w:ascii="仿宋" w:hAnsi="仿宋" w:eastAsia="仿宋" w:cs="仿宋"/>
          <w:sz w:val="32"/>
          <w:szCs w:val="32"/>
          <w:lang w:val="en-US" w:eastAsia="zh-CN"/>
        </w:rPr>
        <w:t>10</w:t>
      </w:r>
      <w:r>
        <w:rPr>
          <w:rFonts w:hint="eastAsia" w:ascii="仿宋" w:hAnsi="仿宋" w:eastAsia="仿宋" w:cs="仿宋"/>
          <w:sz w:val="32"/>
          <w:szCs w:val="32"/>
        </w:rPr>
        <w:t>分）</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2023年度项目资金预算金额393.82万元，实际支付393.82万元，预算执行率为100%。</w:t>
      </w:r>
    </w:p>
    <w:p>
      <w:pPr>
        <w:spacing w:line="600" w:lineRule="exact"/>
        <w:ind w:firstLine="643" w:firstLineChars="200"/>
        <w:rPr>
          <w:rFonts w:hint="eastAsia" w:ascii="Times New Roman" w:hAnsi="Times New Roman" w:eastAsia="楷体_GB2312"/>
          <w:b/>
          <w:color w:val="000000"/>
          <w:sz w:val="32"/>
          <w:szCs w:val="32"/>
          <w:lang w:val="en-US" w:eastAsia="zh-CN"/>
        </w:rPr>
      </w:pPr>
      <w:r>
        <w:rPr>
          <w:rFonts w:ascii="Times New Roman" w:hAnsi="Times New Roman" w:eastAsia="楷体_GB2312"/>
          <w:b/>
          <w:color w:val="000000"/>
          <w:sz w:val="32"/>
          <w:szCs w:val="32"/>
        </w:rPr>
        <w:t>（二）</w:t>
      </w:r>
      <w:r>
        <w:rPr>
          <w:rFonts w:hint="eastAsia" w:ascii="Times New Roman" w:hAnsi="Times New Roman" w:eastAsia="楷体_GB2312"/>
          <w:b/>
          <w:color w:val="000000"/>
          <w:sz w:val="32"/>
          <w:szCs w:val="32"/>
          <w:lang w:val="en-US" w:eastAsia="zh-CN"/>
        </w:rPr>
        <w:t>产出指标（满分50分，实得50分）</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1.数量指标（满分10分，实得10分）</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（1）劳务费（满分10分，实得10分）</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指标值：≥359人</w:t>
      </w:r>
    </w:p>
    <w:p>
      <w:pPr>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实际完成值：359人</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2.质量指标（满分10分，实得10分）</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（1）维修申报处理率（满分10分，实得10分）</w:t>
      </w:r>
    </w:p>
    <w:p>
      <w:pPr>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指标值：≥98%</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实际完成值：98%</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3.时效指标（满分15分，实得15分）</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（1）按时供应工作（满分15分，实得15分）</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指标值：按时</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实际完成值：达成预期指标</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4.成本指标（满分15分，实得15分）</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（1）项目计划总成本（满分15分，实得15分）</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指标值：≤417.16万元</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实际完成值：393.82万元</w:t>
      </w:r>
    </w:p>
    <w:p>
      <w:pPr>
        <w:spacing w:line="600" w:lineRule="exact"/>
        <w:ind w:firstLine="643" w:firstLineChars="200"/>
        <w:rPr>
          <w:rFonts w:hint="eastAsia" w:ascii="Times New Roman" w:hAnsi="Times New Roman" w:eastAsia="楷体_GB2312"/>
          <w:b/>
          <w:color w:val="000000"/>
          <w:sz w:val="32"/>
          <w:szCs w:val="32"/>
          <w:lang w:val="en-US" w:eastAsia="zh-CN"/>
        </w:rPr>
      </w:pPr>
      <w:r>
        <w:rPr>
          <w:rFonts w:hint="eastAsia" w:ascii="Times New Roman" w:hAnsi="Times New Roman" w:eastAsia="楷体_GB2312"/>
          <w:b/>
          <w:color w:val="000000"/>
          <w:sz w:val="32"/>
          <w:szCs w:val="32"/>
          <w:lang w:val="en-US" w:eastAsia="zh-CN"/>
        </w:rPr>
        <w:t>（三）效益指标（满分30分，实得30分）</w:t>
      </w:r>
    </w:p>
    <w:p>
      <w:pPr>
        <w:widowControl/>
        <w:spacing w:line="600" w:lineRule="exact"/>
        <w:ind w:right="-283"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1.社会效益指标（满分10分，实得10分）</w:t>
      </w:r>
    </w:p>
    <w:p>
      <w:pPr>
        <w:widowControl/>
        <w:spacing w:line="600" w:lineRule="exact"/>
        <w:ind w:right="-283"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（1）改善和提高办公环境程度（满分10分，实得10分）</w:t>
      </w:r>
    </w:p>
    <w:p>
      <w:pPr>
        <w:widowControl/>
        <w:spacing w:line="600" w:lineRule="exact"/>
        <w:ind w:right="-283"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指标值：明显</w:t>
      </w:r>
    </w:p>
    <w:p>
      <w:pPr>
        <w:widowControl/>
        <w:spacing w:line="600" w:lineRule="exact"/>
        <w:ind w:right="-283"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实际完成值：达成预期指标</w:t>
      </w:r>
    </w:p>
    <w:p>
      <w:pPr>
        <w:widowControl/>
        <w:spacing w:line="600" w:lineRule="exact"/>
        <w:ind w:right="-283"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2.生态效益指标（满分10分，实得10分）</w:t>
      </w:r>
    </w:p>
    <w:p>
      <w:pPr>
        <w:widowControl/>
        <w:spacing w:line="600" w:lineRule="exact"/>
        <w:ind w:right="-283"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（1）水电能节约率（满分10分，实得10分）</w:t>
      </w:r>
    </w:p>
    <w:p>
      <w:pPr>
        <w:widowControl/>
        <w:spacing w:line="600" w:lineRule="exact"/>
        <w:ind w:right="-283"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指标值：≥3%</w:t>
      </w:r>
    </w:p>
    <w:p>
      <w:pPr>
        <w:widowControl/>
        <w:spacing w:line="600" w:lineRule="exact"/>
        <w:ind w:right="-283"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实际完成值：3%</w:t>
      </w:r>
    </w:p>
    <w:p>
      <w:pPr>
        <w:widowControl/>
        <w:spacing w:line="600" w:lineRule="exact"/>
        <w:ind w:right="-283"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3.可持续影响指标（满分10分，实得10分）</w:t>
      </w:r>
    </w:p>
    <w:p>
      <w:pPr>
        <w:widowControl/>
        <w:spacing w:line="600" w:lineRule="exact"/>
        <w:ind w:right="-283"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（1）保证系统正常开展工作（满分10分，实得10分）</w:t>
      </w:r>
    </w:p>
    <w:p>
      <w:pPr>
        <w:widowControl/>
        <w:spacing w:line="600" w:lineRule="exact"/>
        <w:ind w:right="-283"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指标值：提升</w:t>
      </w:r>
    </w:p>
    <w:p>
      <w:pPr>
        <w:widowControl/>
        <w:spacing w:line="600" w:lineRule="exact"/>
        <w:ind w:right="-283"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实际完成值：达成预期指标</w:t>
      </w:r>
    </w:p>
    <w:p>
      <w:pPr>
        <w:widowControl/>
        <w:spacing w:line="600" w:lineRule="exact"/>
        <w:ind w:right="-283"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（四）</w:t>
      </w:r>
      <w:r>
        <w:rPr>
          <w:rFonts w:hint="eastAsia" w:ascii="Times New Roman" w:hAnsi="Times New Roman" w:eastAsia="楷体_GB2312"/>
          <w:b/>
          <w:color w:val="000000"/>
          <w:sz w:val="32"/>
          <w:szCs w:val="32"/>
          <w:lang w:val="en-US" w:eastAsia="zh-CN"/>
        </w:rPr>
        <w:t>满意度</w:t>
      </w:r>
      <w:r>
        <w:rPr>
          <w:rFonts w:ascii="Times New Roman" w:hAnsi="Times New Roman" w:eastAsia="楷体_GB2312"/>
          <w:b/>
          <w:color w:val="000000"/>
          <w:sz w:val="32"/>
          <w:szCs w:val="32"/>
        </w:rPr>
        <w:t>指标（满分</w:t>
      </w:r>
      <w:r>
        <w:rPr>
          <w:rFonts w:hint="eastAsia" w:ascii="Times New Roman" w:hAnsi="Times New Roman" w:eastAsia="楷体_GB2312"/>
          <w:b/>
          <w:color w:val="000000"/>
          <w:sz w:val="32"/>
          <w:szCs w:val="32"/>
          <w:lang w:val="en-US" w:eastAsia="zh-CN"/>
        </w:rPr>
        <w:t>10</w:t>
      </w:r>
      <w:r>
        <w:rPr>
          <w:rFonts w:ascii="Times New Roman" w:hAnsi="Times New Roman" w:eastAsia="楷体_GB2312"/>
          <w:b/>
          <w:color w:val="000000"/>
          <w:sz w:val="32"/>
          <w:szCs w:val="32"/>
        </w:rPr>
        <w:t>分，实得</w:t>
      </w:r>
      <w:r>
        <w:rPr>
          <w:rFonts w:hint="eastAsia" w:ascii="Times New Roman" w:hAnsi="Times New Roman" w:eastAsia="楷体_GB2312"/>
          <w:b/>
          <w:color w:val="000000"/>
          <w:sz w:val="32"/>
          <w:szCs w:val="32"/>
          <w:lang w:val="en-US" w:eastAsia="zh-CN"/>
        </w:rPr>
        <w:t>10</w:t>
      </w:r>
      <w:r>
        <w:rPr>
          <w:rFonts w:ascii="Times New Roman" w:hAnsi="Times New Roman" w:eastAsia="楷体_GB2312"/>
          <w:b/>
          <w:color w:val="000000"/>
          <w:sz w:val="32"/>
          <w:szCs w:val="32"/>
        </w:rPr>
        <w:t>分）</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服务对象满意度</w:t>
      </w:r>
      <w:r>
        <w:rPr>
          <w:rFonts w:hint="eastAsia" w:ascii="仿宋" w:hAnsi="仿宋" w:eastAsia="仿宋" w:cs="仿宋"/>
          <w:color w:val="000000"/>
          <w:sz w:val="32"/>
          <w:szCs w:val="32"/>
        </w:rPr>
        <w:t>（满分</w:t>
      </w: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分，实得</w:t>
      </w: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分）</w:t>
      </w:r>
    </w:p>
    <w:p>
      <w:pPr>
        <w:spacing w:line="60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指标值：≥90%</w:t>
      </w:r>
    </w:p>
    <w:p>
      <w:pPr>
        <w:spacing w:line="60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实际完成值：90%</w:t>
      </w:r>
    </w:p>
    <w:p>
      <w:pPr>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四、存在问题</w:t>
      </w:r>
    </w:p>
    <w:p>
      <w:pPr>
        <w:widowControl/>
        <w:spacing w:line="600" w:lineRule="exact"/>
        <w:ind w:firstLine="640" w:firstLineChars="200"/>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部分预算编制水平有待进一步提升，指标不完善情况，绩效指标设定不够科学、合理。</w:t>
      </w:r>
    </w:p>
    <w:p>
      <w:pPr>
        <w:widowControl/>
        <w:spacing w:line="600" w:lineRule="exact"/>
        <w:ind w:firstLine="640" w:firstLineChars="200"/>
        <w:rPr>
          <w:rFonts w:hint="eastAsia" w:ascii="Times New Roman" w:hAnsi="Times New Roman" w:eastAsia="黑体"/>
          <w:color w:val="000000"/>
          <w:sz w:val="32"/>
          <w:szCs w:val="32"/>
          <w:lang w:val="en-US" w:eastAsia="zh-CN"/>
        </w:rPr>
      </w:pPr>
      <w:r>
        <w:rPr>
          <w:rFonts w:ascii="Times New Roman" w:hAnsi="Times New Roman" w:eastAsia="黑体"/>
          <w:color w:val="000000"/>
          <w:sz w:val="32"/>
          <w:szCs w:val="32"/>
        </w:rPr>
        <w:t>五、</w:t>
      </w:r>
      <w:r>
        <w:rPr>
          <w:rFonts w:hint="eastAsia" w:ascii="Times New Roman" w:hAnsi="Times New Roman" w:eastAsia="黑体"/>
          <w:color w:val="000000"/>
          <w:sz w:val="32"/>
          <w:szCs w:val="32"/>
          <w:lang w:val="en-US" w:eastAsia="zh-CN"/>
        </w:rPr>
        <w:t>改进措施</w:t>
      </w:r>
    </w:p>
    <w:p>
      <w:pPr>
        <w:widowControl/>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一是提高申报主体绩效意识，改善申报质量，科学合理编制预算；二是强化项目执行监督管理，争取项目按计划执行。</w:t>
      </w:r>
    </w:p>
    <w:p/>
    <w:p>
      <w:pPr>
        <w:keepNext w:val="0"/>
        <w:keepLines w:val="0"/>
        <w:pageBreakBefore w:val="0"/>
        <w:tabs>
          <w:tab w:val="left" w:pos="3316"/>
        </w:tabs>
        <w:kinsoku/>
        <w:overflowPunct/>
        <w:topLinePunct w:val="0"/>
        <w:autoSpaceDE/>
        <w:autoSpaceDN/>
        <w:bidi w:val="0"/>
        <w:adjustRightInd w:val="0"/>
        <w:snapToGrid w:val="0"/>
        <w:spacing w:line="560" w:lineRule="exact"/>
        <w:outlineLvl w:val="0"/>
        <w:rPr>
          <w:rFonts w:hint="default" w:ascii="TimesNewRoman" w:hAnsi="TimesNewRoman" w:eastAsia="黑体" w:cs="TimesNewRoman"/>
          <w:color w:val="000000"/>
          <w:sz w:val="36"/>
          <w:szCs w:val="36"/>
          <w:highlight w:val="none"/>
        </w:rPr>
      </w:pPr>
    </w:p>
    <w:p>
      <w:pPr>
        <w:widowControl/>
        <w:spacing w:line="560" w:lineRule="exact"/>
        <w:jc w:val="center"/>
        <w:rPr>
          <w:rFonts w:hint="eastAsia" w:ascii="Times New Roman" w:hAnsi="Times New Roman" w:eastAsia="方正小标宋简体"/>
          <w:bCs/>
          <w:sz w:val="44"/>
          <w:szCs w:val="24"/>
          <w:lang w:val="en-US" w:eastAsia="zh-CN"/>
        </w:rPr>
      </w:pPr>
      <w:r>
        <w:rPr>
          <w:rFonts w:hint="eastAsia" w:ascii="Times New Roman" w:hAnsi="Times New Roman" w:eastAsia="方正小标宋简体"/>
          <w:bCs/>
          <w:sz w:val="44"/>
          <w:szCs w:val="24"/>
          <w:lang w:val="en-US" w:eastAsia="zh-CN"/>
        </w:rPr>
        <w:t>淮南市市场监督管理局（市本级）2023年度市场主体登记及监管经费项目支出</w:t>
      </w:r>
    </w:p>
    <w:p>
      <w:pPr>
        <w:widowControl/>
        <w:spacing w:line="560" w:lineRule="exact"/>
        <w:jc w:val="center"/>
        <w:rPr>
          <w:rFonts w:ascii="Times New Roman" w:hAnsi="Times New Roman" w:eastAsia="黑体"/>
          <w:sz w:val="32"/>
          <w:szCs w:val="32"/>
        </w:rPr>
      </w:pPr>
      <w:r>
        <w:rPr>
          <w:rFonts w:hint="eastAsia" w:ascii="Times New Roman" w:hAnsi="Times New Roman" w:eastAsia="方正小标宋简体"/>
          <w:bCs/>
          <w:sz w:val="44"/>
          <w:szCs w:val="24"/>
          <w:lang w:val="en-US" w:eastAsia="zh-CN"/>
        </w:rPr>
        <w:t>自评报告</w:t>
      </w:r>
    </w:p>
    <w:p>
      <w:pPr>
        <w:widowControl/>
        <w:spacing w:line="560" w:lineRule="exact"/>
        <w:ind w:firstLine="640" w:firstLineChars="200"/>
        <w:rPr>
          <w:rFonts w:ascii="Times New Roman" w:hAnsi="Times New Roman" w:eastAsia="黑体"/>
          <w:sz w:val="32"/>
          <w:szCs w:val="32"/>
        </w:rPr>
      </w:pP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一、项目基本情况</w:t>
      </w:r>
    </w:p>
    <w:p>
      <w:pPr>
        <w:widowControl/>
        <w:spacing w:line="560" w:lineRule="exact"/>
        <w:ind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（一）项目概况</w:t>
      </w:r>
    </w:p>
    <w:p>
      <w:pPr>
        <w:snapToGrid w:val="0"/>
        <w:spacing w:line="560" w:lineRule="exact"/>
        <w:ind w:firstLine="660"/>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1.立项依据</w:t>
      </w:r>
    </w:p>
    <w:p>
      <w:pPr>
        <w:snapToGrid w:val="0"/>
        <w:spacing w:line="560" w:lineRule="exact"/>
        <w:ind w:firstLine="66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（1）机构改革三定方案；（2）《公司法》；（3）安徽省财政厅 安徽省市场监督管理局关于做好2021年度省级计量器具强制检定经费汇缴工作的通知（依申请公开）；（4）《关于印发〈2022年重点领域缺陷消费品召回指导性目录清单〉的通知》（皖市监办函〔2022〕482号）；（5）产品质量监督抽查管理办法；（6）淮南市人民代表大会常务委员会关于《淮南市电梯安全管理条例》的公告；（7）淮南市人民代表大会常务委员会关于《淮南市电梯安全管理条例》的公告；（8）淮南市人民代表大会常务委员会关于《淮南市电梯安全管理条例》的公告；（9）淮南市人民代表大会常务委员会关于《淮南市电梯安全管理条例》的公告等。</w:t>
      </w:r>
    </w:p>
    <w:p>
      <w:pPr>
        <w:snapToGrid w:val="0"/>
        <w:spacing w:line="560" w:lineRule="exact"/>
        <w:ind w:firstLine="66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2.项目主要内容</w:t>
      </w:r>
    </w:p>
    <w:p>
      <w:pPr>
        <w:snapToGrid w:val="0"/>
        <w:spacing w:line="560" w:lineRule="exact"/>
        <w:ind w:firstLine="66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市场局主体登记及网络信息(维护）等业务；（2）执法办案及4辆执法执勤车辆的购置；（3）标准、计量、认证提升经费、缺陷产品召回及质量基础设施一站式服务平台的建设（运维）经费；（4）省计量强检经费、产品质量抽检经费及特种设备安全经费；（5）电梯、气瓶远程监测和应急救援平台的建设及气瓶运营管理系统运行维护工作；（6）食品安全民生管养经费、聘请第三方开展食品安全综合评议工作、特殊食品专区专柜经营示范街创建及食品安全抽检经费等；（7）药品、医疗器械和化妆品安全监督抽检经费及第三方机构药品零售企业安全测评经费等工作；（8）平安建设（打击传销宣传）经费、知识产权保护－省政府考核市政府经济发展指标“每万人发明专利”拥有量、知识产权服务平台运行及办案装备的更新。</w:t>
      </w:r>
    </w:p>
    <w:p>
      <w:pPr>
        <w:snapToGrid w:val="0"/>
        <w:spacing w:line="560" w:lineRule="exact"/>
        <w:ind w:firstLine="66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3.资金投入和使用情况</w:t>
      </w:r>
    </w:p>
    <w:p>
      <w:pPr>
        <w:widowControl/>
        <w:tabs>
          <w:tab w:val="right" w:pos="8306"/>
        </w:tabs>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2023年度项目资金预算金额1043.55万元，实际支付963.55万元，预算执行率为92.33%。</w:t>
      </w:r>
    </w:p>
    <w:p>
      <w:pPr>
        <w:widowControl/>
        <w:tabs>
          <w:tab w:val="right" w:pos="8306"/>
        </w:tabs>
        <w:spacing w:line="560" w:lineRule="exact"/>
        <w:ind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（二）项目绩效目标</w:t>
      </w:r>
      <w:r>
        <w:rPr>
          <w:rFonts w:ascii="Times New Roman" w:hAnsi="Times New Roman" w:eastAsia="楷体_GB2312"/>
          <w:b/>
          <w:color w:val="000000"/>
          <w:sz w:val="32"/>
          <w:szCs w:val="32"/>
        </w:rPr>
        <w:tab/>
      </w:r>
    </w:p>
    <w:p>
      <w:pPr>
        <w:widowControl/>
        <w:tabs>
          <w:tab w:val="right" w:pos="8306"/>
        </w:tabs>
        <w:spacing w:line="560" w:lineRule="exact"/>
        <w:ind w:firstLine="643" w:firstLineChars="20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1.项目年度总体目标</w:t>
      </w:r>
    </w:p>
    <w:p>
      <w:pPr>
        <w:widowControl/>
        <w:tabs>
          <w:tab w:val="right" w:pos="8306"/>
        </w:tabs>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预算安排965.55万元财政拨款，其他资金78万元。主体登记及监管项目经费主要包括：（1）登记监管费用162万，其中38万是从房租及罚没收入中列支；（2）市场秩序监管36.5万，其中签订法律顾问合同3.5万；（3）应急处置工作费用6.9万元；（4）标准计量认证等质量提升及特种设备安全监管经费41万；（5）数智化市场监督管理经费146万，主要用于信息网络及软件购置更新费113万及12315热线外包服务费18万元；（6）省政府考核每万人拥有量经费5万；（7）办公设备购置31万元；（8）省级计量器具强检经费签订的委托业务费用56万元。</w:t>
      </w:r>
    </w:p>
    <w:p>
      <w:pPr>
        <w:widowControl/>
        <w:tabs>
          <w:tab w:val="right" w:pos="8306"/>
        </w:tabs>
        <w:spacing w:line="560" w:lineRule="exact"/>
        <w:ind w:firstLine="643" w:firstLineChars="20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2.总体目标完成情况</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是购买2辆执法执勤车，召回缺陷产品2.9万件，发明专利授权量808件，新增市场主体50506户；二是完成全年工作任务，经费支出严格执行相关财经法规制度。提升强制检定的计量器具工作质量，确保强制检定计量器具正常使用。三是按计划和进度使用资金；四是项目总成本不超预算数，资金使用合规；五是降低市场主体经营成本，激发市场主体活力，营造了领好的营商环境。通过项目实施，提高行政效率，加强监管水平，做好服务提升；六是提升监管能力，促进地方经济可持续发展能力；七是受益对象满意度≥80%。</w:t>
      </w:r>
    </w:p>
    <w:p>
      <w:pPr>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二、绩效</w:t>
      </w:r>
      <w:r>
        <w:rPr>
          <w:rFonts w:hint="eastAsia" w:ascii="Times New Roman" w:hAnsi="Times New Roman" w:eastAsia="黑体"/>
          <w:color w:val="000000"/>
          <w:sz w:val="32"/>
          <w:szCs w:val="32"/>
        </w:rPr>
        <w:t>评价</w:t>
      </w:r>
      <w:r>
        <w:rPr>
          <w:rFonts w:ascii="Times New Roman" w:hAnsi="Times New Roman" w:eastAsia="黑体"/>
          <w:color w:val="000000"/>
          <w:sz w:val="32"/>
          <w:szCs w:val="32"/>
        </w:rPr>
        <w:t>结论</w:t>
      </w:r>
    </w:p>
    <w:p>
      <w:pPr>
        <w:widowControl/>
        <w:spacing w:line="560" w:lineRule="exact"/>
        <w:ind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（一）总体结论</w:t>
      </w:r>
    </w:p>
    <w:p>
      <w:pPr>
        <w:widowControl/>
        <w:spacing w:line="600" w:lineRule="exact"/>
        <w:ind w:firstLine="640" w:firstLineChars="200"/>
        <w:rPr>
          <w:rFonts w:hint="eastAsia" w:ascii="仿宋" w:hAnsi="仿宋" w:eastAsia="仿宋" w:cs="仿宋"/>
          <w:sz w:val="32"/>
          <w:szCs w:val="32"/>
          <w:lang w:val="en-US" w:eastAsia="zh-CN"/>
        </w:rPr>
      </w:pPr>
      <w:r>
        <w:rPr>
          <w:rFonts w:hint="eastAsia" w:eastAsia="仿宋_GB2312"/>
          <w:sz w:val="32"/>
          <w:szCs w:val="32"/>
          <w:lang w:val="en-US" w:eastAsia="zh-CN"/>
        </w:rPr>
        <w:t>围绕绩效评价指标体系，通过数据采集分析等方式，对该项目绩效进行了客观、公开的评价。该项目资金安排合理，各项资金本着降低成本，节约资金的原则，安排合理购置计划，资金利用率高，财政资金使用效益达到最大化，项目达</w:t>
      </w:r>
      <w:r>
        <w:rPr>
          <w:rFonts w:hint="eastAsia" w:ascii="仿宋" w:hAnsi="仿宋" w:eastAsia="仿宋" w:cs="仿宋"/>
          <w:sz w:val="32"/>
          <w:szCs w:val="32"/>
          <w:lang w:val="en-US" w:eastAsia="zh-CN"/>
        </w:rPr>
        <w:t>到预期目标。</w:t>
      </w:r>
    </w:p>
    <w:p>
      <w:pPr>
        <w:widowControl/>
        <w:spacing w:line="560" w:lineRule="exact"/>
        <w:ind w:firstLine="643" w:firstLineChars="200"/>
        <w:rPr>
          <w:rFonts w:hint="eastAsia" w:ascii="Times New Roman" w:hAnsi="Times New Roman" w:eastAsia="楷体_GB2312"/>
          <w:b/>
          <w:color w:val="000000"/>
          <w:sz w:val="32"/>
          <w:szCs w:val="32"/>
        </w:rPr>
      </w:pPr>
      <w:r>
        <w:rPr>
          <w:rFonts w:hint="eastAsia" w:ascii="Times New Roman" w:hAnsi="Times New Roman" w:eastAsia="楷体_GB2312"/>
          <w:b/>
          <w:color w:val="000000"/>
          <w:sz w:val="32"/>
          <w:szCs w:val="32"/>
        </w:rPr>
        <w:t>（二）评价结果</w:t>
      </w:r>
    </w:p>
    <w:p>
      <w:pPr>
        <w:widowControl/>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经评价，2023年淮南市市场监督管理局市场主体登记及监管经费项目绩效评价综合得分为99.23分，评价结果为“优”。</w:t>
      </w:r>
    </w:p>
    <w:p>
      <w:pPr>
        <w:spacing w:line="560" w:lineRule="exact"/>
        <w:ind w:firstLine="640" w:firstLineChars="200"/>
        <w:rPr>
          <w:rFonts w:hint="eastAsia" w:ascii="Times New Roman" w:hAnsi="Times New Roman" w:eastAsia="黑体"/>
          <w:color w:val="000000"/>
          <w:sz w:val="32"/>
          <w:szCs w:val="32"/>
        </w:rPr>
      </w:pPr>
      <w:r>
        <w:rPr>
          <w:rFonts w:hint="eastAsia" w:ascii="Times New Roman" w:hAnsi="Times New Roman" w:eastAsia="黑体"/>
          <w:color w:val="000000"/>
          <w:sz w:val="32"/>
          <w:szCs w:val="32"/>
        </w:rPr>
        <w:t>三、指标分析</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2023年淮南市市场监督管理局市场主体登记及监管经费项目绩效评价指标体系共设置4个一级指标，8个二级指标，8个三级指标，各项指标评分情况分析如下：</w:t>
      </w:r>
    </w:p>
    <w:p>
      <w:pPr>
        <w:widowControl/>
        <w:spacing w:line="600" w:lineRule="exact"/>
        <w:ind w:right="-283" w:firstLine="643" w:firstLineChars="200"/>
        <w:rPr>
          <w:rFonts w:hint="eastAsia" w:ascii="仿宋" w:hAnsi="仿宋" w:eastAsia="仿宋" w:cs="仿宋"/>
          <w:b/>
          <w:color w:val="000000"/>
          <w:sz w:val="32"/>
          <w:szCs w:val="32"/>
        </w:rPr>
      </w:pPr>
      <w:r>
        <w:rPr>
          <w:rFonts w:ascii="Times New Roman" w:hAnsi="Times New Roman" w:eastAsia="楷体_GB2312"/>
          <w:b/>
          <w:color w:val="000000"/>
          <w:sz w:val="32"/>
          <w:szCs w:val="32"/>
        </w:rPr>
        <w:t>（一）</w:t>
      </w:r>
      <w:r>
        <w:rPr>
          <w:rFonts w:hint="eastAsia" w:ascii="Times New Roman" w:hAnsi="Times New Roman" w:eastAsia="楷体_GB2312"/>
          <w:b/>
          <w:color w:val="000000"/>
          <w:sz w:val="32"/>
          <w:szCs w:val="32"/>
          <w:lang w:val="en-US" w:eastAsia="zh-CN"/>
        </w:rPr>
        <w:t>过程</w:t>
      </w:r>
      <w:r>
        <w:rPr>
          <w:rFonts w:ascii="Times New Roman" w:hAnsi="Times New Roman" w:eastAsia="楷体_GB2312"/>
          <w:b/>
          <w:color w:val="000000"/>
          <w:sz w:val="32"/>
          <w:szCs w:val="32"/>
        </w:rPr>
        <w:t>指标</w:t>
      </w:r>
      <w:r>
        <w:rPr>
          <w:rFonts w:hint="eastAsia" w:ascii="仿宋" w:hAnsi="仿宋" w:eastAsia="仿宋" w:cs="仿宋"/>
          <w:b/>
          <w:color w:val="000000"/>
          <w:sz w:val="32"/>
          <w:szCs w:val="32"/>
        </w:rPr>
        <w:t>（满分</w:t>
      </w:r>
      <w:r>
        <w:rPr>
          <w:rFonts w:hint="eastAsia" w:ascii="仿宋" w:hAnsi="仿宋" w:eastAsia="仿宋" w:cs="仿宋"/>
          <w:b/>
          <w:color w:val="000000"/>
          <w:sz w:val="32"/>
          <w:szCs w:val="32"/>
          <w:lang w:val="en-US" w:eastAsia="zh-CN"/>
        </w:rPr>
        <w:t>10</w:t>
      </w:r>
      <w:r>
        <w:rPr>
          <w:rFonts w:hint="eastAsia" w:ascii="仿宋" w:hAnsi="仿宋" w:eastAsia="仿宋" w:cs="仿宋"/>
          <w:b/>
          <w:color w:val="000000"/>
          <w:sz w:val="32"/>
          <w:szCs w:val="32"/>
        </w:rPr>
        <w:t>分，实得</w:t>
      </w:r>
      <w:r>
        <w:rPr>
          <w:rFonts w:hint="eastAsia" w:ascii="仿宋" w:hAnsi="仿宋" w:eastAsia="仿宋" w:cs="仿宋"/>
          <w:b/>
          <w:color w:val="000000"/>
          <w:sz w:val="32"/>
          <w:szCs w:val="32"/>
          <w:lang w:val="en-US" w:eastAsia="zh-CN"/>
        </w:rPr>
        <w:t>9.23</w:t>
      </w:r>
      <w:r>
        <w:rPr>
          <w:rFonts w:hint="eastAsia" w:ascii="仿宋" w:hAnsi="仿宋" w:eastAsia="仿宋" w:cs="仿宋"/>
          <w:b/>
          <w:color w:val="000000"/>
          <w:sz w:val="32"/>
          <w:szCs w:val="32"/>
        </w:rPr>
        <w:t>分）</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资金管理指标</w:t>
      </w:r>
      <w:r>
        <w:rPr>
          <w:rFonts w:hint="eastAsia" w:ascii="仿宋" w:hAnsi="仿宋" w:eastAsia="仿宋" w:cs="仿宋"/>
          <w:sz w:val="32"/>
          <w:szCs w:val="32"/>
        </w:rPr>
        <w:t>（满分</w:t>
      </w:r>
      <w:r>
        <w:rPr>
          <w:rFonts w:hint="eastAsia" w:ascii="仿宋" w:hAnsi="仿宋" w:eastAsia="仿宋" w:cs="仿宋"/>
          <w:sz w:val="32"/>
          <w:szCs w:val="32"/>
          <w:lang w:val="en-US" w:eastAsia="zh-CN"/>
        </w:rPr>
        <w:t>10</w:t>
      </w:r>
      <w:r>
        <w:rPr>
          <w:rFonts w:hint="eastAsia" w:ascii="仿宋" w:hAnsi="仿宋" w:eastAsia="仿宋" w:cs="仿宋"/>
          <w:sz w:val="32"/>
          <w:szCs w:val="32"/>
        </w:rPr>
        <w:t>分，实得</w:t>
      </w:r>
      <w:r>
        <w:rPr>
          <w:rFonts w:hint="eastAsia" w:ascii="仿宋" w:hAnsi="仿宋" w:eastAsia="仿宋" w:cs="仿宋"/>
          <w:sz w:val="32"/>
          <w:szCs w:val="32"/>
          <w:lang w:val="en-US" w:eastAsia="zh-CN"/>
        </w:rPr>
        <w:t>9.23</w:t>
      </w:r>
      <w:r>
        <w:rPr>
          <w:rFonts w:hint="eastAsia" w:ascii="仿宋" w:hAnsi="仿宋" w:eastAsia="仿宋" w:cs="仿宋"/>
          <w:sz w:val="32"/>
          <w:szCs w:val="32"/>
        </w:rPr>
        <w:t>分）</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预算执行率</w:t>
      </w:r>
      <w:r>
        <w:rPr>
          <w:rFonts w:hint="eastAsia" w:ascii="仿宋" w:hAnsi="仿宋" w:eastAsia="仿宋" w:cs="仿宋"/>
          <w:sz w:val="32"/>
          <w:szCs w:val="32"/>
        </w:rPr>
        <w:t>（满分</w:t>
      </w:r>
      <w:r>
        <w:rPr>
          <w:rFonts w:hint="eastAsia" w:ascii="仿宋" w:hAnsi="仿宋" w:eastAsia="仿宋" w:cs="仿宋"/>
          <w:sz w:val="32"/>
          <w:szCs w:val="32"/>
          <w:lang w:val="en-US" w:eastAsia="zh-CN"/>
        </w:rPr>
        <w:t>10</w:t>
      </w:r>
      <w:r>
        <w:rPr>
          <w:rFonts w:hint="eastAsia" w:ascii="仿宋" w:hAnsi="仿宋" w:eastAsia="仿宋" w:cs="仿宋"/>
          <w:sz w:val="32"/>
          <w:szCs w:val="32"/>
        </w:rPr>
        <w:t>分，实得</w:t>
      </w:r>
      <w:r>
        <w:rPr>
          <w:rFonts w:hint="eastAsia" w:ascii="仿宋" w:hAnsi="仿宋" w:eastAsia="仿宋" w:cs="仿宋"/>
          <w:sz w:val="32"/>
          <w:szCs w:val="32"/>
          <w:lang w:val="en-US" w:eastAsia="zh-CN"/>
        </w:rPr>
        <w:t>9.23</w:t>
      </w:r>
      <w:r>
        <w:rPr>
          <w:rFonts w:hint="eastAsia" w:ascii="仿宋" w:hAnsi="仿宋" w:eastAsia="仿宋" w:cs="仿宋"/>
          <w:sz w:val="32"/>
          <w:szCs w:val="32"/>
        </w:rPr>
        <w:t>分）</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2023年度项目资金预算金额1043.55万元，实际支付963.55万元，预算执行率为92.33%。</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偏差原因：80万的“淮南市市场监管局气瓶检验单位监控设备采购及移动监管技术服务项目”于2023年12月22日开标，因流标，需重新招标，已申请项目资金结转至2024年。</w:t>
      </w:r>
    </w:p>
    <w:p>
      <w:pPr>
        <w:spacing w:line="600" w:lineRule="exact"/>
        <w:ind w:firstLine="643" w:firstLineChars="200"/>
        <w:rPr>
          <w:rFonts w:hint="eastAsia" w:ascii="Times New Roman" w:hAnsi="Times New Roman" w:eastAsia="楷体_GB2312"/>
          <w:b/>
          <w:color w:val="000000"/>
          <w:sz w:val="32"/>
          <w:szCs w:val="32"/>
          <w:lang w:val="en-US" w:eastAsia="zh-CN"/>
        </w:rPr>
      </w:pPr>
      <w:r>
        <w:rPr>
          <w:rFonts w:ascii="Times New Roman" w:hAnsi="Times New Roman" w:eastAsia="楷体_GB2312"/>
          <w:b/>
          <w:color w:val="000000"/>
          <w:sz w:val="32"/>
          <w:szCs w:val="32"/>
        </w:rPr>
        <w:t>（二）</w:t>
      </w:r>
      <w:r>
        <w:rPr>
          <w:rFonts w:hint="eastAsia" w:ascii="Times New Roman" w:hAnsi="Times New Roman" w:eastAsia="楷体_GB2312"/>
          <w:b/>
          <w:color w:val="000000"/>
          <w:sz w:val="32"/>
          <w:szCs w:val="32"/>
          <w:lang w:val="en-US" w:eastAsia="zh-CN"/>
        </w:rPr>
        <w:t>产出指标（满分50分，实得50分）</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1.数量指标（满分10分，实得10分）</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（1）市场主体登记数（满分10分，实得10分）</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指标值：≥30000家</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实际完成值：50506家</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2.质量指标（满分10分，实得10分）</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（1）经费支出合理性（满分10分，实得10分）</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指标值：严格执行相关财经法规</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实际完成值：达成预期指标</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3.时效指标（满分15分，实得15分）</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（1）经费支出时效性（满分15分，实得15分）</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指标值：≤12月</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实际完成值：12月</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4.成本指标（满分15分，实得15分）</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（1）项目计划总成本（满分15分，实得15分）</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指标值：≤1519.19万元</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实际完成值：963.55万元</w:t>
      </w:r>
    </w:p>
    <w:p>
      <w:pPr>
        <w:spacing w:line="600" w:lineRule="exact"/>
        <w:ind w:firstLine="643" w:firstLineChars="200"/>
        <w:rPr>
          <w:rFonts w:hint="eastAsia" w:ascii="Times New Roman" w:hAnsi="Times New Roman" w:eastAsia="楷体_GB2312"/>
          <w:b/>
          <w:color w:val="000000"/>
          <w:sz w:val="32"/>
          <w:szCs w:val="32"/>
          <w:lang w:val="en-US" w:eastAsia="zh-CN"/>
        </w:rPr>
      </w:pPr>
      <w:r>
        <w:rPr>
          <w:rFonts w:hint="eastAsia" w:ascii="Times New Roman" w:hAnsi="Times New Roman" w:eastAsia="楷体_GB2312"/>
          <w:b/>
          <w:color w:val="000000"/>
          <w:sz w:val="32"/>
          <w:szCs w:val="32"/>
          <w:lang w:val="en-US" w:eastAsia="zh-CN"/>
        </w:rPr>
        <w:t>（三）效益指标（满分30分，实得30分）</w:t>
      </w:r>
    </w:p>
    <w:p>
      <w:pPr>
        <w:widowControl/>
        <w:spacing w:line="600" w:lineRule="exact"/>
        <w:ind w:right="-283"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1.社会效益指标（满分15分，实得15分）</w:t>
      </w:r>
    </w:p>
    <w:p>
      <w:pPr>
        <w:widowControl/>
        <w:spacing w:line="600" w:lineRule="exact"/>
        <w:ind w:right="-283"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（1）部门履职影响度（满分15分，实得15分）</w:t>
      </w:r>
    </w:p>
    <w:p>
      <w:pPr>
        <w:widowControl/>
        <w:spacing w:line="600" w:lineRule="exact"/>
        <w:ind w:right="-283"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指标值：明显</w:t>
      </w:r>
    </w:p>
    <w:p>
      <w:pPr>
        <w:widowControl/>
        <w:spacing w:line="600" w:lineRule="exact"/>
        <w:ind w:right="-283"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实际完成值：达成预期指标</w:t>
      </w:r>
    </w:p>
    <w:p>
      <w:pPr>
        <w:widowControl/>
        <w:spacing w:line="600" w:lineRule="exact"/>
        <w:ind w:right="-283"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2.可持续影响指标（满分15分，实得15分）</w:t>
      </w:r>
    </w:p>
    <w:p>
      <w:pPr>
        <w:widowControl/>
        <w:spacing w:line="600" w:lineRule="exact"/>
        <w:ind w:right="-283"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（1）加强监管，提升服务（满分15分，实得15分）</w:t>
      </w:r>
    </w:p>
    <w:p>
      <w:pPr>
        <w:widowControl/>
        <w:spacing w:line="600" w:lineRule="exact"/>
        <w:ind w:right="-283"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指标值：较高</w:t>
      </w:r>
    </w:p>
    <w:p>
      <w:pPr>
        <w:widowControl/>
        <w:spacing w:line="600" w:lineRule="exact"/>
        <w:ind w:right="-283"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实际完成值：达成预期指标</w:t>
      </w:r>
    </w:p>
    <w:p>
      <w:pPr>
        <w:widowControl/>
        <w:spacing w:line="600" w:lineRule="exact"/>
        <w:ind w:right="-283"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（四）</w:t>
      </w:r>
      <w:r>
        <w:rPr>
          <w:rFonts w:hint="eastAsia" w:ascii="Times New Roman" w:hAnsi="Times New Roman" w:eastAsia="楷体_GB2312"/>
          <w:b/>
          <w:color w:val="000000"/>
          <w:sz w:val="32"/>
          <w:szCs w:val="32"/>
          <w:lang w:val="en-US" w:eastAsia="zh-CN"/>
        </w:rPr>
        <w:t>满意度</w:t>
      </w:r>
      <w:r>
        <w:rPr>
          <w:rFonts w:ascii="Times New Roman" w:hAnsi="Times New Roman" w:eastAsia="楷体_GB2312"/>
          <w:b/>
          <w:color w:val="000000"/>
          <w:sz w:val="32"/>
          <w:szCs w:val="32"/>
        </w:rPr>
        <w:t>指标（满分</w:t>
      </w:r>
      <w:r>
        <w:rPr>
          <w:rFonts w:hint="eastAsia" w:ascii="Times New Roman" w:hAnsi="Times New Roman" w:eastAsia="楷体_GB2312"/>
          <w:b/>
          <w:color w:val="000000"/>
          <w:sz w:val="32"/>
          <w:szCs w:val="32"/>
          <w:lang w:val="en-US" w:eastAsia="zh-CN"/>
        </w:rPr>
        <w:t>10</w:t>
      </w:r>
      <w:r>
        <w:rPr>
          <w:rFonts w:ascii="Times New Roman" w:hAnsi="Times New Roman" w:eastAsia="楷体_GB2312"/>
          <w:b/>
          <w:color w:val="000000"/>
          <w:sz w:val="32"/>
          <w:szCs w:val="32"/>
        </w:rPr>
        <w:t>分，实得</w:t>
      </w:r>
      <w:r>
        <w:rPr>
          <w:rFonts w:hint="eastAsia" w:ascii="Times New Roman" w:hAnsi="Times New Roman" w:eastAsia="楷体_GB2312"/>
          <w:b/>
          <w:color w:val="000000"/>
          <w:sz w:val="32"/>
          <w:szCs w:val="32"/>
          <w:lang w:val="en-US" w:eastAsia="zh-CN"/>
        </w:rPr>
        <w:t>10</w:t>
      </w:r>
      <w:r>
        <w:rPr>
          <w:rFonts w:ascii="Times New Roman" w:hAnsi="Times New Roman" w:eastAsia="楷体_GB2312"/>
          <w:b/>
          <w:color w:val="000000"/>
          <w:sz w:val="32"/>
          <w:szCs w:val="32"/>
        </w:rPr>
        <w:t>分）</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服务对象满意度</w:t>
      </w:r>
      <w:r>
        <w:rPr>
          <w:rFonts w:hint="eastAsia" w:ascii="仿宋" w:hAnsi="仿宋" w:eastAsia="仿宋" w:cs="仿宋"/>
          <w:color w:val="000000"/>
          <w:sz w:val="32"/>
          <w:szCs w:val="32"/>
        </w:rPr>
        <w:t>（满分</w:t>
      </w: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分，实得</w:t>
      </w: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分）</w:t>
      </w:r>
    </w:p>
    <w:p>
      <w:pPr>
        <w:spacing w:line="60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指标值：≥85%</w:t>
      </w:r>
    </w:p>
    <w:p>
      <w:pPr>
        <w:spacing w:line="60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实际完成值：90%</w:t>
      </w:r>
    </w:p>
    <w:p>
      <w:pPr>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四、存在问题</w:t>
      </w:r>
    </w:p>
    <w:p>
      <w:pPr>
        <w:spacing w:line="600" w:lineRule="exact"/>
        <w:ind w:firstLine="640" w:firstLineChars="200"/>
        <w:rPr>
          <w:rFonts w:hint="eastAsia" w:ascii="仿宋_GB2312" w:eastAsia="仿宋_GB2312"/>
          <w:color w:val="000000"/>
          <w:sz w:val="32"/>
          <w:szCs w:val="32"/>
        </w:rPr>
      </w:pPr>
      <w:r>
        <w:rPr>
          <w:rFonts w:ascii="Times New Roman" w:hAnsi="Times New Roman" w:eastAsia="仿宋_GB2312"/>
          <w:color w:val="000000"/>
          <w:sz w:val="32"/>
          <w:szCs w:val="32"/>
        </w:rPr>
        <w:t>通过</w:t>
      </w:r>
      <w:r>
        <w:rPr>
          <w:rFonts w:hint="eastAsia" w:ascii="Times New Roman" w:hAnsi="Times New Roman" w:eastAsia="仿宋_GB2312"/>
          <w:color w:val="000000"/>
          <w:sz w:val="32"/>
          <w:szCs w:val="32"/>
          <w:lang w:eastAsia="zh-CN"/>
        </w:rPr>
        <w:t>评价</w:t>
      </w:r>
      <w:r>
        <w:rPr>
          <w:rFonts w:ascii="Times New Roman" w:hAnsi="Times New Roman" w:eastAsia="仿宋_GB2312"/>
          <w:color w:val="000000"/>
          <w:sz w:val="32"/>
          <w:szCs w:val="32"/>
        </w:rPr>
        <w:t>发现，</w:t>
      </w:r>
      <w:r>
        <w:rPr>
          <w:rFonts w:hint="eastAsia" w:ascii="Times New Roman" w:hAnsi="Times New Roman" w:eastAsia="仿宋_GB2312"/>
          <w:color w:val="000000"/>
          <w:sz w:val="32"/>
          <w:szCs w:val="32"/>
          <w:lang w:val="en-US" w:eastAsia="zh-CN"/>
        </w:rPr>
        <w:t>2023年淮南市市场监督管理局市场主体登记及监管经费项目</w:t>
      </w:r>
      <w:r>
        <w:rPr>
          <w:rFonts w:ascii="Times New Roman" w:hAnsi="Times New Roman" w:eastAsia="仿宋_GB2312"/>
          <w:color w:val="000000"/>
          <w:sz w:val="32"/>
          <w:szCs w:val="32"/>
        </w:rPr>
        <w:t>实施取得一定的成效，但还存在一些问题和不足，主要表现在：</w:t>
      </w:r>
      <w:r>
        <w:rPr>
          <w:rFonts w:hint="eastAsia" w:ascii="仿宋_GB2312" w:eastAsia="仿宋_GB2312"/>
          <w:color w:val="000000"/>
          <w:sz w:val="32"/>
          <w:szCs w:val="32"/>
          <w:lang w:val="en-US" w:eastAsia="zh-CN"/>
        </w:rPr>
        <w:t>预算编制水平有待进一步提升，预估的绩效指标和实际完成值存在一定差异，部分任务未按照计划开展，预算执行进度未达预期。</w:t>
      </w:r>
    </w:p>
    <w:p>
      <w:pPr>
        <w:widowControl/>
        <w:spacing w:line="600" w:lineRule="exact"/>
        <w:ind w:firstLine="640" w:firstLineChars="200"/>
        <w:rPr>
          <w:rFonts w:hint="eastAsia" w:ascii="Times New Roman" w:hAnsi="Times New Roman" w:eastAsia="黑体"/>
          <w:color w:val="000000"/>
          <w:sz w:val="32"/>
          <w:szCs w:val="32"/>
          <w:lang w:val="en-US" w:eastAsia="zh-CN"/>
        </w:rPr>
      </w:pPr>
      <w:r>
        <w:rPr>
          <w:rFonts w:ascii="Times New Roman" w:hAnsi="Times New Roman" w:eastAsia="黑体"/>
          <w:color w:val="000000"/>
          <w:sz w:val="32"/>
          <w:szCs w:val="32"/>
        </w:rPr>
        <w:t>五、</w:t>
      </w:r>
      <w:r>
        <w:rPr>
          <w:rFonts w:hint="eastAsia" w:ascii="Times New Roman" w:hAnsi="Times New Roman" w:eastAsia="黑体"/>
          <w:color w:val="000000"/>
          <w:sz w:val="32"/>
          <w:szCs w:val="32"/>
          <w:lang w:val="en-US" w:eastAsia="zh-CN"/>
        </w:rPr>
        <w:t>改进措施</w:t>
      </w:r>
    </w:p>
    <w:p>
      <w:pPr>
        <w:widowControl/>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一是提高申报主体绩效意识，改善申报质量，科学合理编制预算；二是强化项目执行监督管理，争取项目按计划执行。</w:t>
      </w:r>
    </w:p>
    <w:p/>
    <w:p>
      <w:pPr>
        <w:spacing w:line="580" w:lineRule="exact"/>
        <w:jc w:val="center"/>
        <w:rPr>
          <w:rFonts w:ascii="Times New Roman" w:hAnsi="Times New Roman" w:eastAsia="仿宋_GB2312"/>
          <w:bCs/>
          <w:sz w:val="32"/>
          <w:szCs w:val="32"/>
        </w:rPr>
      </w:pPr>
      <w:r>
        <w:rPr>
          <w:rFonts w:hint="eastAsia" w:ascii="Times New Roman" w:hAnsi="Times New Roman" w:eastAsia="方正小标宋简体"/>
          <w:bCs/>
          <w:sz w:val="44"/>
          <w:szCs w:val="24"/>
          <w:lang w:val="en-US" w:eastAsia="zh-CN"/>
        </w:rPr>
        <w:t>淮南市市场监督管理局（市本级）2023年度支持产业发展奖补资金项目支出自评报告</w:t>
      </w:r>
    </w:p>
    <w:p>
      <w:pPr>
        <w:widowControl/>
        <w:spacing w:line="560" w:lineRule="exact"/>
        <w:ind w:firstLine="640" w:firstLineChars="200"/>
        <w:rPr>
          <w:rFonts w:ascii="Times New Roman" w:hAnsi="Times New Roman" w:eastAsia="黑体"/>
          <w:sz w:val="32"/>
          <w:szCs w:val="32"/>
        </w:rPr>
      </w:pP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一、项目基本情况</w:t>
      </w:r>
    </w:p>
    <w:p>
      <w:pPr>
        <w:widowControl/>
        <w:spacing w:line="560" w:lineRule="exact"/>
        <w:ind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（一）项目概况</w:t>
      </w:r>
    </w:p>
    <w:p>
      <w:pPr>
        <w:snapToGrid w:val="0"/>
        <w:spacing w:line="560" w:lineRule="exact"/>
        <w:ind w:firstLine="660"/>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1.立项依据</w:t>
      </w:r>
    </w:p>
    <w:p>
      <w:pPr>
        <w:snapToGrid w:val="0"/>
        <w:spacing w:line="560" w:lineRule="exact"/>
        <w:ind w:firstLine="66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（1）淮南市人民政府关于财政支持产业发展若干政策的意见（2022－2023年）淮府[2022]56号文；</w:t>
      </w:r>
    </w:p>
    <w:p>
      <w:pPr>
        <w:snapToGrid w:val="0"/>
        <w:spacing w:line="560" w:lineRule="exact"/>
        <w:ind w:firstLine="66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（2）淮南市人民政府办公室关于明确2020年省考指标责任科室的通知 ；</w:t>
      </w:r>
    </w:p>
    <w:p>
      <w:pPr>
        <w:snapToGrid w:val="0"/>
        <w:spacing w:line="560" w:lineRule="exact"/>
        <w:ind w:firstLine="66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（3）《淮南市人民政府关于2020年财政支持产业发展若干政策的意见》 淮府〔2020〕40号 ；</w:t>
      </w:r>
    </w:p>
    <w:p>
      <w:pPr>
        <w:snapToGrid w:val="0"/>
        <w:spacing w:line="560" w:lineRule="exact"/>
        <w:ind w:firstLine="66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（4）2018年1月1日起施行的《中华人民共和国标准化法》《中共淮南市委 淮南市人民政府 关于印发&lt;淮南市五大发展行动计划&gt;修订版的通知》（淮发﹝2018﹞2号）专栏11质量品牌升级工程。</w:t>
      </w:r>
    </w:p>
    <w:p>
      <w:pPr>
        <w:snapToGrid w:val="0"/>
        <w:spacing w:line="560" w:lineRule="exact"/>
        <w:ind w:firstLine="66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2.项目主要内容</w:t>
      </w:r>
    </w:p>
    <w:p>
      <w:pPr>
        <w:snapToGrid w:val="0"/>
        <w:spacing w:line="560" w:lineRule="exact"/>
        <w:ind w:firstLine="66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深入实施创新驱动发展战略，推进创新型城市建设，充分发挥科技创新引领作用，支持企业品牌建设对于促进自主创新、发展自主品牌、加快经济发展方式的转变，具有重要意义。 推动商标战略与经济工作深度融合，提高企业自主创新能力和核心竞争力，加快形成“企业主体、市场导向、政府推动、社会支持”的商标发展机制。</w:t>
      </w:r>
    </w:p>
    <w:p>
      <w:pPr>
        <w:snapToGrid w:val="0"/>
        <w:spacing w:line="560" w:lineRule="exact"/>
        <w:ind w:firstLine="66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3.资金投入和使用情况</w:t>
      </w:r>
    </w:p>
    <w:p>
      <w:pPr>
        <w:widowControl/>
        <w:tabs>
          <w:tab w:val="right" w:pos="8306"/>
        </w:tabs>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2023年度项目资金预算金额650万元，实际支付650万元，预算执行率为100%。</w:t>
      </w:r>
    </w:p>
    <w:p>
      <w:pPr>
        <w:widowControl/>
        <w:tabs>
          <w:tab w:val="right" w:pos="8306"/>
        </w:tabs>
        <w:spacing w:line="560" w:lineRule="exact"/>
        <w:ind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（二）项目绩效目标</w:t>
      </w:r>
      <w:r>
        <w:rPr>
          <w:rFonts w:ascii="Times New Roman" w:hAnsi="Times New Roman" w:eastAsia="楷体_GB2312"/>
          <w:b/>
          <w:color w:val="000000"/>
          <w:sz w:val="32"/>
          <w:szCs w:val="32"/>
        </w:rPr>
        <w:tab/>
      </w:r>
    </w:p>
    <w:p>
      <w:pPr>
        <w:widowControl/>
        <w:tabs>
          <w:tab w:val="right" w:pos="8306"/>
        </w:tabs>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1.项目年度总体目标</w:t>
      </w:r>
    </w:p>
    <w:p>
      <w:pPr>
        <w:widowControl/>
        <w:tabs>
          <w:tab w:val="right" w:pos="8306"/>
        </w:tabs>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预算安排650万元财政拨款。深入实施创新驱动发展战略，推进创新型城市建设，充分发挥科技创新引领作用，支持企业品牌建设对于促进自主创新、发展自主品牌、加快经济发展方式的转变，持续推进质量淮南建设，夯实质量品牌基础，推动企业质量提升。推动商标战略与经济工作深度融合，提高企业自主创新能力和核心竞争力，加快形成“企业主体、市场导向、政府推动、社会支持”的商标发展机制，为淮南经济转型、建设创新性城市、促进经济社会又好又快发展提供有力支撑。</w:t>
      </w:r>
    </w:p>
    <w:p>
      <w:pPr>
        <w:widowControl/>
        <w:tabs>
          <w:tab w:val="right" w:pos="8306"/>
        </w:tabs>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2.总体目标完成情况</w:t>
      </w:r>
    </w:p>
    <w:p>
      <w:pPr>
        <w:widowControl/>
        <w:tabs>
          <w:tab w:val="right" w:pos="8306"/>
        </w:tabs>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是预算项目安排资金共计650万元，主要用于：商标奖励经费80万元；标准监管经费150万元；市长质量奖和皖美品牌示范企业奖励140万；专利资助与奖励280万元；二是严格评选标准，保证企业产业升级与发展；三是当年12月底前完成申报和验收；四是项目总成本不超预算数，资金使用合规；五是通过财政奖励，市场主体对知识产权的创造、运用、保护的能力显著增强，企业创新成果和合法权益得到有效保护，带动我市企业高质量发展；六是持续推进质量淮南建设，夯实质量品牌基础，推动企业质量提升；七是通过开展商标战略，形成一批具有较强市场竞争力和影响力的商标品牌；八是受益对象满意度≥90%。</w:t>
      </w:r>
    </w:p>
    <w:p>
      <w:pPr>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二、绩效</w:t>
      </w:r>
      <w:r>
        <w:rPr>
          <w:rFonts w:hint="eastAsia" w:ascii="Times New Roman" w:hAnsi="Times New Roman" w:eastAsia="黑体"/>
          <w:color w:val="000000"/>
          <w:sz w:val="32"/>
          <w:szCs w:val="32"/>
        </w:rPr>
        <w:t>评价</w:t>
      </w:r>
      <w:r>
        <w:rPr>
          <w:rFonts w:ascii="Times New Roman" w:hAnsi="Times New Roman" w:eastAsia="黑体"/>
          <w:color w:val="000000"/>
          <w:sz w:val="32"/>
          <w:szCs w:val="32"/>
        </w:rPr>
        <w:t>结论</w:t>
      </w:r>
    </w:p>
    <w:p>
      <w:pPr>
        <w:widowControl/>
        <w:spacing w:line="560" w:lineRule="exact"/>
        <w:ind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（一）总体结论</w:t>
      </w:r>
    </w:p>
    <w:p>
      <w:pPr>
        <w:widowControl/>
        <w:spacing w:line="600" w:lineRule="exact"/>
        <w:ind w:firstLine="640" w:firstLineChars="200"/>
        <w:rPr>
          <w:rFonts w:hint="eastAsia" w:ascii="仿宋" w:hAnsi="仿宋" w:eastAsia="仿宋" w:cs="仿宋"/>
          <w:sz w:val="32"/>
          <w:szCs w:val="32"/>
          <w:lang w:val="en-US" w:eastAsia="zh-CN"/>
        </w:rPr>
      </w:pPr>
      <w:r>
        <w:rPr>
          <w:rFonts w:hint="eastAsia" w:eastAsia="仿宋_GB2312"/>
          <w:sz w:val="32"/>
          <w:szCs w:val="32"/>
          <w:lang w:val="en-US" w:eastAsia="zh-CN"/>
        </w:rPr>
        <w:t>围绕绩效评价指标体系，通过数据采集分析等方式，对该项目绩效进行了客观、公开的评价。该项目资金安排合理，各项资金本着降低成本，节约资金的原则，安排合理购置计划，资金利用率高，财政资金使用效益达到最大化，项目达</w:t>
      </w:r>
      <w:r>
        <w:rPr>
          <w:rFonts w:hint="eastAsia" w:ascii="仿宋" w:hAnsi="仿宋" w:eastAsia="仿宋" w:cs="仿宋"/>
          <w:sz w:val="32"/>
          <w:szCs w:val="32"/>
          <w:lang w:val="en-US" w:eastAsia="zh-CN"/>
        </w:rPr>
        <w:t>到预期目标。</w:t>
      </w:r>
    </w:p>
    <w:p>
      <w:pPr>
        <w:widowControl/>
        <w:spacing w:line="560" w:lineRule="exact"/>
        <w:ind w:firstLine="643" w:firstLineChars="200"/>
        <w:rPr>
          <w:rFonts w:hint="eastAsia" w:ascii="Times New Roman" w:hAnsi="Times New Roman" w:eastAsia="楷体_GB2312"/>
          <w:b/>
          <w:color w:val="000000"/>
          <w:sz w:val="32"/>
          <w:szCs w:val="32"/>
        </w:rPr>
      </w:pPr>
      <w:r>
        <w:rPr>
          <w:rFonts w:hint="eastAsia" w:ascii="Times New Roman" w:hAnsi="Times New Roman" w:eastAsia="楷体_GB2312"/>
          <w:b/>
          <w:color w:val="000000"/>
          <w:sz w:val="32"/>
          <w:szCs w:val="32"/>
        </w:rPr>
        <w:t>（二）评价结果</w:t>
      </w:r>
    </w:p>
    <w:p>
      <w:pPr>
        <w:widowControl/>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经评价，2023年淮南市市场监督管理局支持产业发展奖补资金项目绩效评价综合得分为95分，评价结果为“优”。</w:t>
      </w:r>
    </w:p>
    <w:p>
      <w:pPr>
        <w:spacing w:line="560" w:lineRule="exact"/>
        <w:ind w:firstLine="640" w:firstLineChars="200"/>
        <w:rPr>
          <w:rFonts w:hint="eastAsia" w:ascii="Times New Roman" w:hAnsi="Times New Roman" w:eastAsia="黑体"/>
          <w:color w:val="000000"/>
          <w:sz w:val="32"/>
          <w:szCs w:val="32"/>
        </w:rPr>
      </w:pPr>
      <w:r>
        <w:rPr>
          <w:rFonts w:hint="eastAsia" w:ascii="Times New Roman" w:hAnsi="Times New Roman" w:eastAsia="黑体"/>
          <w:color w:val="000000"/>
          <w:sz w:val="32"/>
          <w:szCs w:val="32"/>
        </w:rPr>
        <w:t>三、指标分析</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2023年淮南市市场监督管理局支持产业发展奖补资金项目绩效评价指标体系共设置4个一级指标，8个二级指标，8个三级指标，各项指标评分情况分析如下：</w:t>
      </w:r>
    </w:p>
    <w:p>
      <w:pPr>
        <w:widowControl/>
        <w:spacing w:line="600" w:lineRule="exact"/>
        <w:ind w:right="-283" w:firstLine="643" w:firstLineChars="200"/>
        <w:rPr>
          <w:rFonts w:ascii="Times New Roman" w:hAnsi="Times New Roman" w:eastAsia="楷体_GB2312"/>
          <w:b/>
          <w:color w:val="000000"/>
          <w:sz w:val="32"/>
          <w:szCs w:val="32"/>
        </w:rPr>
      </w:pPr>
      <w:r>
        <w:rPr>
          <w:rFonts w:ascii="Times New Roman" w:hAnsi="Times New Roman" w:eastAsia="楷体_GB2312"/>
          <w:b/>
          <w:color w:val="000000"/>
          <w:sz w:val="32"/>
          <w:szCs w:val="32"/>
        </w:rPr>
        <w:t>（一）</w:t>
      </w:r>
      <w:r>
        <w:rPr>
          <w:rFonts w:hint="eastAsia" w:ascii="Times New Roman" w:hAnsi="Times New Roman" w:eastAsia="楷体_GB2312"/>
          <w:b/>
          <w:color w:val="000000"/>
          <w:sz w:val="32"/>
          <w:szCs w:val="32"/>
          <w:lang w:val="en-US" w:eastAsia="zh-CN"/>
        </w:rPr>
        <w:t>过程</w:t>
      </w:r>
      <w:r>
        <w:rPr>
          <w:rFonts w:ascii="Times New Roman" w:hAnsi="Times New Roman" w:eastAsia="楷体_GB2312"/>
          <w:b/>
          <w:color w:val="000000"/>
          <w:sz w:val="32"/>
          <w:szCs w:val="32"/>
        </w:rPr>
        <w:t>指标（满分</w:t>
      </w:r>
      <w:r>
        <w:rPr>
          <w:rFonts w:hint="eastAsia" w:ascii="Times New Roman" w:hAnsi="Times New Roman" w:eastAsia="楷体_GB2312"/>
          <w:b/>
          <w:color w:val="000000"/>
          <w:sz w:val="32"/>
          <w:szCs w:val="32"/>
          <w:lang w:val="en-US" w:eastAsia="zh-CN"/>
        </w:rPr>
        <w:t>10</w:t>
      </w:r>
      <w:r>
        <w:rPr>
          <w:rFonts w:ascii="Times New Roman" w:hAnsi="Times New Roman" w:eastAsia="楷体_GB2312"/>
          <w:b/>
          <w:color w:val="000000"/>
          <w:sz w:val="32"/>
          <w:szCs w:val="32"/>
        </w:rPr>
        <w:t>分，实得</w:t>
      </w:r>
      <w:r>
        <w:rPr>
          <w:rFonts w:hint="eastAsia" w:ascii="Times New Roman" w:hAnsi="Times New Roman" w:eastAsia="楷体_GB2312"/>
          <w:b/>
          <w:color w:val="000000"/>
          <w:sz w:val="32"/>
          <w:szCs w:val="32"/>
          <w:lang w:val="en-US" w:eastAsia="zh-CN"/>
        </w:rPr>
        <w:t>10</w:t>
      </w:r>
      <w:r>
        <w:rPr>
          <w:rFonts w:ascii="Times New Roman" w:hAnsi="Times New Roman" w:eastAsia="楷体_GB2312"/>
          <w:b/>
          <w:color w:val="000000"/>
          <w:sz w:val="32"/>
          <w:szCs w:val="32"/>
        </w:rPr>
        <w:t>分）</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资金管理指标</w:t>
      </w:r>
      <w:r>
        <w:rPr>
          <w:rFonts w:ascii="Times New Roman" w:hAnsi="Times New Roman" w:eastAsia="仿宋_GB2312"/>
          <w:sz w:val="32"/>
          <w:szCs w:val="32"/>
        </w:rPr>
        <w:t>（满分</w:t>
      </w:r>
      <w:r>
        <w:rPr>
          <w:rFonts w:hint="eastAsia" w:ascii="Times New Roman" w:hAnsi="Times New Roman" w:eastAsia="仿宋_GB2312"/>
          <w:sz w:val="32"/>
          <w:szCs w:val="32"/>
          <w:lang w:val="en-US" w:eastAsia="zh-CN"/>
        </w:rPr>
        <w:t>10</w:t>
      </w:r>
      <w:r>
        <w:rPr>
          <w:rFonts w:ascii="Times New Roman" w:hAnsi="Times New Roman" w:eastAsia="仿宋_GB2312"/>
          <w:sz w:val="32"/>
          <w:szCs w:val="32"/>
        </w:rPr>
        <w:t>分，实得</w:t>
      </w:r>
      <w:r>
        <w:rPr>
          <w:rFonts w:hint="eastAsia" w:ascii="Times New Roman" w:hAnsi="Times New Roman" w:eastAsia="仿宋_GB2312"/>
          <w:sz w:val="32"/>
          <w:szCs w:val="32"/>
          <w:lang w:val="en-US" w:eastAsia="zh-CN"/>
        </w:rPr>
        <w:t>10</w:t>
      </w:r>
      <w:r>
        <w:rPr>
          <w:rFonts w:ascii="Times New Roman" w:hAnsi="Times New Roman" w:eastAsia="仿宋_GB2312"/>
          <w:sz w:val="32"/>
          <w:szCs w:val="32"/>
        </w:rPr>
        <w:t>分）</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default" w:ascii="Times New Roman" w:hAnsi="Times New Roman" w:eastAsia="仿宋_GB2312"/>
          <w:sz w:val="32"/>
          <w:szCs w:val="32"/>
          <w:lang w:val="en-US" w:eastAsia="zh-CN"/>
        </w:rPr>
        <w:t>预算执行率</w:t>
      </w:r>
      <w:r>
        <w:rPr>
          <w:rFonts w:ascii="Times New Roman" w:hAnsi="Times New Roman" w:eastAsia="仿宋_GB2312"/>
          <w:sz w:val="32"/>
          <w:szCs w:val="32"/>
        </w:rPr>
        <w:t>（满分</w:t>
      </w:r>
      <w:r>
        <w:rPr>
          <w:rFonts w:hint="eastAsia" w:ascii="Times New Roman" w:hAnsi="Times New Roman" w:eastAsia="仿宋_GB2312"/>
          <w:sz w:val="32"/>
          <w:szCs w:val="32"/>
          <w:lang w:val="en-US" w:eastAsia="zh-CN"/>
        </w:rPr>
        <w:t>10</w:t>
      </w:r>
      <w:r>
        <w:rPr>
          <w:rFonts w:ascii="Times New Roman" w:hAnsi="Times New Roman" w:eastAsia="仿宋_GB2312"/>
          <w:sz w:val="32"/>
          <w:szCs w:val="32"/>
        </w:rPr>
        <w:t>分，实得</w:t>
      </w:r>
      <w:r>
        <w:rPr>
          <w:rFonts w:hint="eastAsia" w:ascii="Times New Roman" w:hAnsi="Times New Roman" w:eastAsia="仿宋_GB2312"/>
          <w:sz w:val="32"/>
          <w:szCs w:val="32"/>
          <w:lang w:val="en-US" w:eastAsia="zh-CN"/>
        </w:rPr>
        <w:t>10</w:t>
      </w:r>
      <w:r>
        <w:rPr>
          <w:rFonts w:ascii="Times New Roman" w:hAnsi="Times New Roman" w:eastAsia="仿宋_GB2312"/>
          <w:sz w:val="32"/>
          <w:szCs w:val="32"/>
        </w:rPr>
        <w:t>分）</w:t>
      </w:r>
    </w:p>
    <w:p>
      <w:p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2023年度项目资金预算金额650万元，实际支付650万元，预算执行率为100%。</w:t>
      </w:r>
    </w:p>
    <w:p>
      <w:pPr>
        <w:spacing w:line="600" w:lineRule="exact"/>
        <w:ind w:firstLine="643" w:firstLineChars="200"/>
        <w:rPr>
          <w:rFonts w:hint="eastAsia" w:ascii="Times New Roman" w:hAnsi="Times New Roman" w:eastAsia="楷体_GB2312"/>
          <w:b/>
          <w:color w:val="000000"/>
          <w:sz w:val="32"/>
          <w:szCs w:val="32"/>
          <w:lang w:val="en-US" w:eastAsia="zh-CN"/>
        </w:rPr>
      </w:pPr>
      <w:r>
        <w:rPr>
          <w:rFonts w:ascii="Times New Roman" w:hAnsi="Times New Roman" w:eastAsia="楷体_GB2312"/>
          <w:b/>
          <w:color w:val="000000"/>
          <w:sz w:val="32"/>
          <w:szCs w:val="32"/>
        </w:rPr>
        <w:t>（二）</w:t>
      </w:r>
      <w:r>
        <w:rPr>
          <w:rFonts w:hint="eastAsia" w:ascii="Times New Roman" w:hAnsi="Times New Roman" w:eastAsia="楷体_GB2312"/>
          <w:b/>
          <w:color w:val="000000"/>
          <w:sz w:val="32"/>
          <w:szCs w:val="32"/>
          <w:lang w:val="en-US" w:eastAsia="zh-CN"/>
        </w:rPr>
        <w:t>产出指标（满分50分，实得45分）</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1.数量指标（满分10分，实得5分）</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（1）获得专利奖的企业数（满分10分，实得5分）</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指标值：6家</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实际完成值：3家</w:t>
      </w:r>
    </w:p>
    <w:p>
      <w:pPr>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偏差原因：专利奖由省局组织专家认定，2023年我市申报18项，获评银奖及优秀奖共计3项。</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2.质量指标（满分10分，实得10分）</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（1）提升企业产业升级与发展（满分10分，实得10分）</w:t>
      </w:r>
    </w:p>
    <w:p>
      <w:pPr>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指标值：明显</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实际完成值：达成预期指标</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3.时效指标（满分15分，实得15分）</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（1）项目完成及时性（满分15分，实得15分）</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指标值：≤12月</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实际完成值：12月</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4.成本指标（满分15分，实得15分）</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（1）项目计划总成本（满分15分，实得15分）</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指标值：≤1374.93万元</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实际完成值：950万元</w:t>
      </w:r>
    </w:p>
    <w:p>
      <w:pPr>
        <w:spacing w:line="600" w:lineRule="exact"/>
        <w:ind w:firstLine="643" w:firstLineChars="200"/>
        <w:rPr>
          <w:rFonts w:hint="eastAsia" w:ascii="Times New Roman" w:hAnsi="Times New Roman" w:eastAsia="楷体_GB2312"/>
          <w:b/>
          <w:color w:val="000000"/>
          <w:sz w:val="32"/>
          <w:szCs w:val="32"/>
          <w:lang w:val="en-US" w:eastAsia="zh-CN"/>
        </w:rPr>
      </w:pPr>
      <w:r>
        <w:rPr>
          <w:rFonts w:hint="eastAsia" w:ascii="Times New Roman" w:hAnsi="Times New Roman" w:eastAsia="楷体_GB2312"/>
          <w:b/>
          <w:color w:val="000000"/>
          <w:sz w:val="32"/>
          <w:szCs w:val="32"/>
          <w:lang w:val="en-US" w:eastAsia="zh-CN"/>
        </w:rPr>
        <w:t>（三）效益指标（满分30分，实得30分）</w:t>
      </w:r>
    </w:p>
    <w:p>
      <w:pPr>
        <w:widowControl/>
        <w:spacing w:line="600" w:lineRule="exact"/>
        <w:ind w:right="-283"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1.社会效益指标（满分15分，实得15分）</w:t>
      </w:r>
    </w:p>
    <w:p>
      <w:pPr>
        <w:widowControl/>
        <w:spacing w:line="600" w:lineRule="exact"/>
        <w:ind w:right="-283"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（1）提高产品质量的影响度（满分15分，实得15分）</w:t>
      </w:r>
    </w:p>
    <w:p>
      <w:pPr>
        <w:widowControl/>
        <w:spacing w:line="600" w:lineRule="exact"/>
        <w:ind w:right="-283"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指标值：明显</w:t>
      </w:r>
    </w:p>
    <w:p>
      <w:pPr>
        <w:widowControl/>
        <w:spacing w:line="600" w:lineRule="exact"/>
        <w:ind w:right="-283"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实际完成值：达成预期指标</w:t>
      </w:r>
    </w:p>
    <w:p>
      <w:pPr>
        <w:widowControl/>
        <w:spacing w:line="600" w:lineRule="exact"/>
        <w:ind w:right="-283"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2.可持续影响指标（满分15分，实得15分）</w:t>
      </w:r>
    </w:p>
    <w:p>
      <w:pPr>
        <w:widowControl/>
        <w:spacing w:line="600" w:lineRule="exact"/>
        <w:ind w:right="-283"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（1）提升产品核心竞争力（满分15分，实得15分）</w:t>
      </w:r>
    </w:p>
    <w:p>
      <w:pPr>
        <w:widowControl/>
        <w:spacing w:line="600" w:lineRule="exact"/>
        <w:ind w:right="-283"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指标值：明显</w:t>
      </w:r>
    </w:p>
    <w:p>
      <w:pPr>
        <w:widowControl/>
        <w:spacing w:line="600" w:lineRule="exact"/>
        <w:ind w:right="-283"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实际完成值：达成预期指标</w:t>
      </w:r>
    </w:p>
    <w:p>
      <w:pPr>
        <w:widowControl/>
        <w:spacing w:line="600" w:lineRule="exact"/>
        <w:ind w:right="-283"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（四）</w:t>
      </w:r>
      <w:r>
        <w:rPr>
          <w:rFonts w:hint="eastAsia" w:ascii="仿宋" w:hAnsi="仿宋" w:eastAsia="仿宋" w:cs="仿宋"/>
          <w:b/>
          <w:color w:val="000000"/>
          <w:sz w:val="32"/>
          <w:szCs w:val="32"/>
          <w:lang w:val="en-US" w:eastAsia="zh-CN"/>
        </w:rPr>
        <w:t>满意度</w:t>
      </w:r>
      <w:r>
        <w:rPr>
          <w:rFonts w:hint="eastAsia" w:ascii="仿宋" w:hAnsi="仿宋" w:eastAsia="仿宋" w:cs="仿宋"/>
          <w:b/>
          <w:color w:val="000000"/>
          <w:sz w:val="32"/>
          <w:szCs w:val="32"/>
        </w:rPr>
        <w:t>指标（满分</w:t>
      </w:r>
      <w:r>
        <w:rPr>
          <w:rFonts w:hint="eastAsia" w:ascii="仿宋" w:hAnsi="仿宋" w:eastAsia="仿宋" w:cs="仿宋"/>
          <w:b/>
          <w:color w:val="000000"/>
          <w:sz w:val="32"/>
          <w:szCs w:val="32"/>
          <w:lang w:val="en-US" w:eastAsia="zh-CN"/>
        </w:rPr>
        <w:t>10</w:t>
      </w:r>
      <w:r>
        <w:rPr>
          <w:rFonts w:hint="eastAsia" w:ascii="仿宋" w:hAnsi="仿宋" w:eastAsia="仿宋" w:cs="仿宋"/>
          <w:b/>
          <w:color w:val="000000"/>
          <w:sz w:val="32"/>
          <w:szCs w:val="32"/>
        </w:rPr>
        <w:t>分，实得</w:t>
      </w:r>
      <w:r>
        <w:rPr>
          <w:rFonts w:hint="eastAsia" w:ascii="仿宋" w:hAnsi="仿宋" w:eastAsia="仿宋" w:cs="仿宋"/>
          <w:b/>
          <w:color w:val="000000"/>
          <w:sz w:val="32"/>
          <w:szCs w:val="32"/>
          <w:lang w:val="en-US" w:eastAsia="zh-CN"/>
        </w:rPr>
        <w:t>10</w:t>
      </w:r>
      <w:r>
        <w:rPr>
          <w:rFonts w:hint="eastAsia" w:ascii="仿宋" w:hAnsi="仿宋" w:eastAsia="仿宋" w:cs="仿宋"/>
          <w:b/>
          <w:color w:val="000000"/>
          <w:sz w:val="32"/>
          <w:szCs w:val="32"/>
        </w:rPr>
        <w:t>分）</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受益对象满意度</w:t>
      </w:r>
      <w:r>
        <w:rPr>
          <w:rFonts w:hint="eastAsia" w:ascii="仿宋" w:hAnsi="仿宋" w:eastAsia="仿宋" w:cs="仿宋"/>
          <w:color w:val="000000"/>
          <w:sz w:val="32"/>
          <w:szCs w:val="32"/>
        </w:rPr>
        <w:t>（满分</w:t>
      </w: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分，实得</w:t>
      </w: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分）</w:t>
      </w:r>
    </w:p>
    <w:p>
      <w:pPr>
        <w:spacing w:line="60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指标值：≥90%</w:t>
      </w:r>
    </w:p>
    <w:p>
      <w:pPr>
        <w:spacing w:line="60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实际完成值：90%</w:t>
      </w:r>
    </w:p>
    <w:p>
      <w:pPr>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四、存在问题</w:t>
      </w:r>
    </w:p>
    <w:p>
      <w:pPr>
        <w:widowControl/>
        <w:spacing w:line="600" w:lineRule="exact"/>
        <w:ind w:firstLine="640" w:firstLineChars="200"/>
        <w:rPr>
          <w:rFonts w:hint="eastAsia" w:ascii="仿宋_GB2312" w:eastAsia="仿宋_GB2312"/>
          <w:color w:val="000000"/>
          <w:sz w:val="32"/>
          <w:szCs w:val="32"/>
          <w:lang w:val="en-US" w:eastAsia="zh-CN"/>
        </w:rPr>
      </w:pPr>
      <w:r>
        <w:rPr>
          <w:rFonts w:ascii="Times New Roman" w:hAnsi="Times New Roman" w:eastAsia="仿宋_GB2312"/>
          <w:color w:val="000000"/>
          <w:sz w:val="32"/>
          <w:szCs w:val="32"/>
        </w:rPr>
        <w:t>通过</w:t>
      </w:r>
      <w:r>
        <w:rPr>
          <w:rFonts w:hint="eastAsia" w:ascii="Times New Roman" w:hAnsi="Times New Roman" w:eastAsia="仿宋_GB2312"/>
          <w:color w:val="000000"/>
          <w:sz w:val="32"/>
          <w:szCs w:val="32"/>
          <w:lang w:eastAsia="zh-CN"/>
        </w:rPr>
        <w:t>评价</w:t>
      </w:r>
      <w:r>
        <w:rPr>
          <w:rFonts w:ascii="Times New Roman" w:hAnsi="Times New Roman" w:eastAsia="仿宋_GB2312"/>
          <w:color w:val="000000"/>
          <w:sz w:val="32"/>
          <w:szCs w:val="32"/>
        </w:rPr>
        <w:t>发现，</w:t>
      </w:r>
      <w:r>
        <w:rPr>
          <w:rFonts w:hint="eastAsia" w:ascii="Times New Roman" w:hAnsi="Times New Roman" w:eastAsia="仿宋_GB2312"/>
          <w:color w:val="000000"/>
          <w:sz w:val="32"/>
          <w:szCs w:val="32"/>
          <w:lang w:val="en-US" w:eastAsia="zh-CN"/>
        </w:rPr>
        <w:t>2023年淮南市市场监督管理局支持产业发展奖补资金项目</w:t>
      </w:r>
      <w:r>
        <w:rPr>
          <w:rFonts w:ascii="Times New Roman" w:hAnsi="Times New Roman" w:eastAsia="仿宋_GB2312"/>
          <w:color w:val="000000"/>
          <w:sz w:val="32"/>
          <w:szCs w:val="32"/>
        </w:rPr>
        <w:t>实施取得一定的成效，但还存在一些问题和不足，主要表现在：</w:t>
      </w:r>
      <w:r>
        <w:rPr>
          <w:rFonts w:hint="eastAsia" w:ascii="仿宋_GB2312" w:eastAsia="仿宋_GB2312"/>
          <w:color w:val="000000"/>
          <w:sz w:val="32"/>
          <w:szCs w:val="32"/>
          <w:lang w:val="en-US" w:eastAsia="zh-CN"/>
        </w:rPr>
        <w:t>预算编制水平有待进一步提升，预估的绩效指标和实际完成值存在一定差异，部分任务未按照计划开展，预算执行进度未达预期。</w:t>
      </w:r>
    </w:p>
    <w:p>
      <w:pPr>
        <w:widowControl/>
        <w:spacing w:line="600" w:lineRule="exact"/>
        <w:ind w:firstLine="640" w:firstLineChars="200"/>
        <w:rPr>
          <w:rFonts w:hint="eastAsia" w:ascii="Times New Roman" w:hAnsi="Times New Roman" w:eastAsia="黑体"/>
          <w:color w:val="000000"/>
          <w:sz w:val="32"/>
          <w:szCs w:val="32"/>
          <w:lang w:val="en-US" w:eastAsia="zh-CN"/>
        </w:rPr>
      </w:pPr>
      <w:r>
        <w:rPr>
          <w:rFonts w:ascii="Times New Roman" w:hAnsi="Times New Roman" w:eastAsia="黑体"/>
          <w:color w:val="000000"/>
          <w:sz w:val="32"/>
          <w:szCs w:val="32"/>
        </w:rPr>
        <w:t>五、</w:t>
      </w:r>
      <w:r>
        <w:rPr>
          <w:rFonts w:hint="eastAsia" w:ascii="Times New Roman" w:hAnsi="Times New Roman" w:eastAsia="黑体"/>
          <w:color w:val="000000"/>
          <w:sz w:val="32"/>
          <w:szCs w:val="32"/>
          <w:lang w:val="en-US" w:eastAsia="zh-CN"/>
        </w:rPr>
        <w:t>改进措施</w:t>
      </w:r>
    </w:p>
    <w:p>
      <w:pPr>
        <w:widowControl/>
        <w:spacing w:line="6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一是提高申报主体绩效意识，改善申报质量，科学合理编制预算；二是强化项目执行监督管理，争取项目按计划执行。</w:t>
      </w:r>
    </w:p>
    <w:p>
      <w:pPr>
        <w:spacing w:line="600" w:lineRule="exact"/>
        <w:ind w:firstLine="640" w:firstLineChars="200"/>
        <w:rPr>
          <w:rFonts w:hint="eastAsia" w:ascii="仿宋_GB2312" w:eastAsia="仿宋_GB2312"/>
          <w:color w:val="000000"/>
          <w:sz w:val="32"/>
          <w:szCs w:val="32"/>
        </w:rPr>
      </w:pPr>
    </w:p>
    <w:p>
      <w:pPr>
        <w:keepNext w:val="0"/>
        <w:keepLines w:val="0"/>
        <w:pageBreakBefore w:val="0"/>
        <w:tabs>
          <w:tab w:val="left" w:pos="3316"/>
        </w:tabs>
        <w:kinsoku/>
        <w:overflowPunct/>
        <w:topLinePunct w:val="0"/>
        <w:autoSpaceDE/>
        <w:autoSpaceDN/>
        <w:bidi w:val="0"/>
        <w:adjustRightInd w:val="0"/>
        <w:snapToGrid w:val="0"/>
        <w:spacing w:line="560" w:lineRule="exact"/>
        <w:outlineLvl w:val="0"/>
        <w:rPr>
          <w:rFonts w:hint="default" w:ascii="TimesNewRoman" w:hAnsi="TimesNewRoman" w:eastAsia="黑体" w:cs="TimesNewRoman"/>
          <w:color w:val="000000"/>
          <w:sz w:val="36"/>
          <w:szCs w:val="36"/>
          <w:highlight w:val="none"/>
        </w:rPr>
      </w:pPr>
    </w:p>
    <w:p>
      <w:pPr>
        <w:keepNext w:val="0"/>
        <w:keepLines w:val="0"/>
        <w:pageBreakBefore w:val="0"/>
        <w:tabs>
          <w:tab w:val="left" w:pos="3316"/>
        </w:tabs>
        <w:kinsoku/>
        <w:overflowPunct/>
        <w:topLinePunct w:val="0"/>
        <w:autoSpaceDE/>
        <w:autoSpaceDN/>
        <w:bidi w:val="0"/>
        <w:adjustRightInd w:val="0"/>
        <w:snapToGrid w:val="0"/>
        <w:spacing w:line="560" w:lineRule="exact"/>
        <w:outlineLvl w:val="0"/>
        <w:rPr>
          <w:rFonts w:hint="default" w:ascii="TimesNewRoman" w:hAnsi="TimesNewRoman" w:eastAsia="黑体" w:cs="TimesNewRoman"/>
          <w:color w:val="000000"/>
          <w:sz w:val="36"/>
          <w:szCs w:val="36"/>
          <w:highlight w:val="none"/>
        </w:rPr>
      </w:pPr>
    </w:p>
    <w:p>
      <w:pPr>
        <w:keepNext w:val="0"/>
        <w:keepLines w:val="0"/>
        <w:pageBreakBefore w:val="0"/>
        <w:tabs>
          <w:tab w:val="left" w:pos="3316"/>
        </w:tabs>
        <w:kinsoku/>
        <w:overflowPunct/>
        <w:topLinePunct w:val="0"/>
        <w:autoSpaceDE/>
        <w:autoSpaceDN/>
        <w:bidi w:val="0"/>
        <w:adjustRightInd w:val="0"/>
        <w:snapToGrid w:val="0"/>
        <w:spacing w:line="560" w:lineRule="exact"/>
        <w:outlineLvl w:val="0"/>
        <w:rPr>
          <w:rFonts w:hint="default" w:ascii="TimesNewRoman" w:hAnsi="TimesNewRoman" w:eastAsia="黑体" w:cs="TimesNewRoman"/>
          <w:color w:val="000000"/>
          <w:sz w:val="36"/>
          <w:szCs w:val="36"/>
          <w:highlight w:val="none"/>
        </w:rPr>
      </w:pPr>
      <w:r>
        <w:drawing>
          <wp:anchor distT="0" distB="0" distL="114300" distR="114300" simplePos="0" relativeHeight="251667456" behindDoc="0" locked="0" layoutInCell="1" allowOverlap="1">
            <wp:simplePos x="0" y="0"/>
            <wp:positionH relativeFrom="column">
              <wp:posOffset>19050</wp:posOffset>
            </wp:positionH>
            <wp:positionV relativeFrom="paragraph">
              <wp:posOffset>219075</wp:posOffset>
            </wp:positionV>
            <wp:extent cx="5267960" cy="7966710"/>
            <wp:effectExtent l="0" t="0" r="8890" b="15240"/>
            <wp:wrapSquare wrapText="bothSides"/>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4"/>
                    <a:stretch>
                      <a:fillRect/>
                    </a:stretch>
                  </pic:blipFill>
                  <pic:spPr>
                    <a:xfrm>
                      <a:off x="0" y="0"/>
                      <a:ext cx="5267960" cy="7966710"/>
                    </a:xfrm>
                    <a:prstGeom prst="rect">
                      <a:avLst/>
                    </a:prstGeom>
                    <a:noFill/>
                    <a:ln>
                      <a:noFill/>
                    </a:ln>
                  </pic:spPr>
                </pic:pic>
              </a:graphicData>
            </a:graphic>
          </wp:anchor>
        </w:drawing>
      </w:r>
    </w:p>
    <w:p>
      <w:pPr>
        <w:keepNext w:val="0"/>
        <w:keepLines w:val="0"/>
        <w:pageBreakBefore w:val="0"/>
        <w:tabs>
          <w:tab w:val="left" w:pos="3316"/>
        </w:tabs>
        <w:kinsoku/>
        <w:overflowPunct/>
        <w:topLinePunct w:val="0"/>
        <w:autoSpaceDE/>
        <w:autoSpaceDN/>
        <w:bidi w:val="0"/>
        <w:adjustRightInd w:val="0"/>
        <w:snapToGrid w:val="0"/>
        <w:spacing w:line="560" w:lineRule="exact"/>
        <w:outlineLvl w:val="0"/>
        <w:rPr>
          <w:rFonts w:hint="default" w:ascii="TimesNewRoman" w:hAnsi="TimesNewRoman" w:eastAsia="黑体" w:cs="TimesNewRoman"/>
          <w:color w:val="000000"/>
          <w:sz w:val="36"/>
          <w:szCs w:val="36"/>
          <w:highlight w:val="none"/>
        </w:rPr>
      </w:pPr>
      <w:r>
        <w:drawing>
          <wp:anchor distT="0" distB="0" distL="114300" distR="114300" simplePos="0" relativeHeight="251673600" behindDoc="0" locked="0" layoutInCell="1" allowOverlap="1">
            <wp:simplePos x="0" y="0"/>
            <wp:positionH relativeFrom="column">
              <wp:posOffset>-123825</wp:posOffset>
            </wp:positionH>
            <wp:positionV relativeFrom="paragraph">
              <wp:posOffset>343535</wp:posOffset>
            </wp:positionV>
            <wp:extent cx="5273040" cy="7753350"/>
            <wp:effectExtent l="0" t="0" r="381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3040" cy="7753350"/>
                    </a:xfrm>
                    <a:prstGeom prst="rect">
                      <a:avLst/>
                    </a:prstGeom>
                    <a:noFill/>
                    <a:ln>
                      <a:noFill/>
                    </a:ln>
                  </pic:spPr>
                </pic:pic>
              </a:graphicData>
            </a:graphic>
          </wp:anchor>
        </w:drawing>
      </w:r>
    </w:p>
    <w:p>
      <w:pPr>
        <w:keepNext w:val="0"/>
        <w:keepLines w:val="0"/>
        <w:pageBreakBefore w:val="0"/>
        <w:tabs>
          <w:tab w:val="left" w:pos="3316"/>
        </w:tabs>
        <w:kinsoku/>
        <w:overflowPunct/>
        <w:topLinePunct w:val="0"/>
        <w:autoSpaceDE/>
        <w:autoSpaceDN/>
        <w:bidi w:val="0"/>
        <w:adjustRightInd w:val="0"/>
        <w:snapToGrid w:val="0"/>
        <w:spacing w:line="560" w:lineRule="exact"/>
        <w:outlineLvl w:val="0"/>
        <w:rPr>
          <w:rFonts w:hint="default" w:ascii="TimesNewRoman" w:hAnsi="TimesNewRoman" w:eastAsia="黑体" w:cs="TimesNewRoman"/>
          <w:color w:val="000000"/>
          <w:sz w:val="36"/>
          <w:szCs w:val="36"/>
          <w:highlight w:val="none"/>
        </w:rPr>
      </w:pPr>
    </w:p>
    <w:p>
      <w:pPr>
        <w:keepNext w:val="0"/>
        <w:keepLines w:val="0"/>
        <w:pageBreakBefore w:val="0"/>
        <w:tabs>
          <w:tab w:val="left" w:pos="3316"/>
        </w:tabs>
        <w:kinsoku/>
        <w:overflowPunct/>
        <w:topLinePunct w:val="0"/>
        <w:autoSpaceDE/>
        <w:autoSpaceDN/>
        <w:bidi w:val="0"/>
        <w:adjustRightInd w:val="0"/>
        <w:snapToGrid w:val="0"/>
        <w:spacing w:line="560" w:lineRule="exact"/>
        <w:outlineLvl w:val="0"/>
        <w:rPr>
          <w:rFonts w:hint="default" w:ascii="TimesNewRoman" w:hAnsi="TimesNewRoman" w:eastAsia="黑体" w:cs="TimesNewRoman"/>
          <w:color w:val="000000"/>
          <w:sz w:val="36"/>
          <w:szCs w:val="36"/>
          <w:highlight w:val="none"/>
        </w:rPr>
      </w:pPr>
      <w:r>
        <w:drawing>
          <wp:anchor distT="0" distB="0" distL="114300" distR="114300" simplePos="0" relativeHeight="251669504" behindDoc="0" locked="0" layoutInCell="1" allowOverlap="1">
            <wp:simplePos x="0" y="0"/>
            <wp:positionH relativeFrom="column">
              <wp:posOffset>-76200</wp:posOffset>
            </wp:positionH>
            <wp:positionV relativeFrom="paragraph">
              <wp:posOffset>54610</wp:posOffset>
            </wp:positionV>
            <wp:extent cx="5271770" cy="7872730"/>
            <wp:effectExtent l="0" t="0" r="5080" b="13970"/>
            <wp:wrapSquare wrapText="bothSides"/>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6"/>
                    <a:stretch>
                      <a:fillRect/>
                    </a:stretch>
                  </pic:blipFill>
                  <pic:spPr>
                    <a:xfrm>
                      <a:off x="0" y="0"/>
                      <a:ext cx="5271770" cy="7872730"/>
                    </a:xfrm>
                    <a:prstGeom prst="rect">
                      <a:avLst/>
                    </a:prstGeom>
                    <a:noFill/>
                    <a:ln>
                      <a:noFill/>
                    </a:ln>
                  </pic:spPr>
                </pic:pic>
              </a:graphicData>
            </a:graphic>
          </wp:anchor>
        </w:drawing>
      </w:r>
    </w:p>
    <w:p>
      <w:pPr>
        <w:keepNext w:val="0"/>
        <w:keepLines w:val="0"/>
        <w:pageBreakBefore w:val="0"/>
        <w:tabs>
          <w:tab w:val="left" w:pos="3316"/>
        </w:tabs>
        <w:kinsoku/>
        <w:overflowPunct/>
        <w:topLinePunct w:val="0"/>
        <w:autoSpaceDE/>
        <w:autoSpaceDN/>
        <w:bidi w:val="0"/>
        <w:adjustRightInd w:val="0"/>
        <w:snapToGrid w:val="0"/>
        <w:spacing w:line="560" w:lineRule="exact"/>
        <w:outlineLvl w:val="0"/>
        <w:rPr>
          <w:rFonts w:hint="default" w:ascii="TimesNewRoman" w:hAnsi="TimesNewRoman" w:eastAsia="黑体" w:cs="TimesNewRoman"/>
          <w:color w:val="000000"/>
          <w:sz w:val="36"/>
          <w:szCs w:val="36"/>
          <w:highlight w:val="none"/>
        </w:rPr>
      </w:pPr>
    </w:p>
    <w:p>
      <w:pPr>
        <w:keepNext w:val="0"/>
        <w:keepLines w:val="0"/>
        <w:pageBreakBefore w:val="0"/>
        <w:tabs>
          <w:tab w:val="left" w:pos="3316"/>
        </w:tabs>
        <w:kinsoku/>
        <w:overflowPunct/>
        <w:topLinePunct w:val="0"/>
        <w:autoSpaceDE/>
        <w:autoSpaceDN/>
        <w:bidi w:val="0"/>
        <w:adjustRightInd w:val="0"/>
        <w:snapToGrid w:val="0"/>
        <w:spacing w:line="560" w:lineRule="exact"/>
        <w:outlineLvl w:val="0"/>
        <w:rPr>
          <w:rFonts w:hint="default" w:ascii="TimesNewRoman" w:hAnsi="TimesNewRoman" w:eastAsia="黑体" w:cs="TimesNewRoman"/>
          <w:color w:val="000000"/>
          <w:sz w:val="36"/>
          <w:szCs w:val="36"/>
          <w:highlight w:val="none"/>
        </w:rPr>
      </w:pPr>
    </w:p>
    <w:p>
      <w:pPr>
        <w:keepNext w:val="0"/>
        <w:keepLines w:val="0"/>
        <w:pageBreakBefore w:val="0"/>
        <w:tabs>
          <w:tab w:val="left" w:pos="3316"/>
        </w:tabs>
        <w:kinsoku/>
        <w:overflowPunct/>
        <w:topLinePunct w:val="0"/>
        <w:autoSpaceDE/>
        <w:autoSpaceDN/>
        <w:bidi w:val="0"/>
        <w:adjustRightInd w:val="0"/>
        <w:snapToGrid w:val="0"/>
        <w:spacing w:line="560" w:lineRule="exact"/>
        <w:outlineLvl w:val="0"/>
        <w:rPr>
          <w:rFonts w:hint="default" w:ascii="TimesNewRoman" w:hAnsi="TimesNewRoman" w:eastAsia="黑体" w:cs="TimesNewRoman"/>
          <w:color w:val="000000"/>
          <w:sz w:val="36"/>
          <w:szCs w:val="36"/>
          <w:highlight w:val="none"/>
        </w:rPr>
      </w:pPr>
      <w:r>
        <w:drawing>
          <wp:anchor distT="0" distB="0" distL="114300" distR="114300" simplePos="0" relativeHeight="251670528" behindDoc="0" locked="0" layoutInCell="1" allowOverlap="1">
            <wp:simplePos x="0" y="0"/>
            <wp:positionH relativeFrom="column">
              <wp:posOffset>85725</wp:posOffset>
            </wp:positionH>
            <wp:positionV relativeFrom="paragraph">
              <wp:posOffset>107950</wp:posOffset>
            </wp:positionV>
            <wp:extent cx="5272405" cy="7486015"/>
            <wp:effectExtent l="0" t="0" r="4445" b="635"/>
            <wp:wrapSquare wrapText="bothSides"/>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7"/>
                    <a:stretch>
                      <a:fillRect/>
                    </a:stretch>
                  </pic:blipFill>
                  <pic:spPr>
                    <a:xfrm>
                      <a:off x="0" y="0"/>
                      <a:ext cx="5272405" cy="7486015"/>
                    </a:xfrm>
                    <a:prstGeom prst="rect">
                      <a:avLst/>
                    </a:prstGeom>
                    <a:noFill/>
                    <a:ln>
                      <a:noFill/>
                    </a:ln>
                  </pic:spPr>
                </pic:pic>
              </a:graphicData>
            </a:graphic>
          </wp:anchor>
        </w:drawing>
      </w:r>
    </w:p>
    <w:p>
      <w:pPr>
        <w:keepNext w:val="0"/>
        <w:keepLines w:val="0"/>
        <w:pageBreakBefore w:val="0"/>
        <w:tabs>
          <w:tab w:val="left" w:pos="3316"/>
        </w:tabs>
        <w:kinsoku/>
        <w:overflowPunct/>
        <w:topLinePunct w:val="0"/>
        <w:autoSpaceDE/>
        <w:autoSpaceDN/>
        <w:bidi w:val="0"/>
        <w:adjustRightInd w:val="0"/>
        <w:snapToGrid w:val="0"/>
        <w:spacing w:line="560" w:lineRule="exact"/>
        <w:outlineLvl w:val="0"/>
        <w:rPr>
          <w:rFonts w:hint="default" w:ascii="TimesNewRoman" w:hAnsi="TimesNewRoman" w:eastAsia="黑体" w:cs="TimesNewRoman"/>
          <w:color w:val="000000"/>
          <w:sz w:val="36"/>
          <w:szCs w:val="36"/>
          <w:highlight w:val="none"/>
        </w:rPr>
      </w:pPr>
      <w:r>
        <w:drawing>
          <wp:anchor distT="0" distB="0" distL="114300" distR="114300" simplePos="0" relativeHeight="251671552" behindDoc="0" locked="0" layoutInCell="1" allowOverlap="1">
            <wp:simplePos x="0" y="0"/>
            <wp:positionH relativeFrom="column">
              <wp:posOffset>219075</wp:posOffset>
            </wp:positionH>
            <wp:positionV relativeFrom="paragraph">
              <wp:posOffset>247650</wp:posOffset>
            </wp:positionV>
            <wp:extent cx="5270500" cy="8429625"/>
            <wp:effectExtent l="0" t="0" r="6350" b="9525"/>
            <wp:wrapSquare wrapText="bothSides"/>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pic:cNvPicPr>
                  </pic:nvPicPr>
                  <pic:blipFill>
                    <a:blip r:embed="rId8"/>
                    <a:stretch>
                      <a:fillRect/>
                    </a:stretch>
                  </pic:blipFill>
                  <pic:spPr>
                    <a:xfrm>
                      <a:off x="0" y="0"/>
                      <a:ext cx="5270500" cy="8429625"/>
                    </a:xfrm>
                    <a:prstGeom prst="rect">
                      <a:avLst/>
                    </a:prstGeom>
                    <a:noFill/>
                    <a:ln>
                      <a:noFill/>
                    </a:ln>
                  </pic:spPr>
                </pic:pic>
              </a:graphicData>
            </a:graphic>
          </wp:anchor>
        </w:drawing>
      </w:r>
    </w:p>
    <w:p>
      <w:pPr>
        <w:keepNext w:val="0"/>
        <w:keepLines w:val="0"/>
        <w:pageBreakBefore w:val="0"/>
        <w:tabs>
          <w:tab w:val="left" w:pos="3316"/>
        </w:tabs>
        <w:kinsoku/>
        <w:overflowPunct/>
        <w:topLinePunct w:val="0"/>
        <w:autoSpaceDE/>
        <w:autoSpaceDN/>
        <w:bidi w:val="0"/>
        <w:adjustRightInd w:val="0"/>
        <w:snapToGrid w:val="0"/>
        <w:spacing w:line="560" w:lineRule="exact"/>
        <w:outlineLvl w:val="0"/>
        <w:rPr>
          <w:rFonts w:hint="default" w:ascii="TimesNewRoman" w:hAnsi="TimesNewRoman" w:eastAsia="黑体" w:cs="TimesNewRoman"/>
          <w:color w:val="000000"/>
          <w:sz w:val="36"/>
          <w:szCs w:val="36"/>
          <w:highlight w:val="none"/>
        </w:rPr>
      </w:pPr>
      <w:r>
        <w:drawing>
          <wp:anchor distT="0" distB="0" distL="114300" distR="114300" simplePos="0" relativeHeight="251672576" behindDoc="0" locked="0" layoutInCell="1" allowOverlap="1">
            <wp:simplePos x="0" y="0"/>
            <wp:positionH relativeFrom="column">
              <wp:posOffset>9525</wp:posOffset>
            </wp:positionH>
            <wp:positionV relativeFrom="paragraph">
              <wp:posOffset>66675</wp:posOffset>
            </wp:positionV>
            <wp:extent cx="5271770" cy="8312785"/>
            <wp:effectExtent l="0" t="0" r="5080" b="12065"/>
            <wp:wrapSquare wrapText="bothSides"/>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pic:cNvPicPr>
                      <a:picLocks noChangeAspect="1"/>
                    </pic:cNvPicPr>
                  </pic:nvPicPr>
                  <pic:blipFill>
                    <a:blip r:embed="rId9"/>
                    <a:stretch>
                      <a:fillRect/>
                    </a:stretch>
                  </pic:blipFill>
                  <pic:spPr>
                    <a:xfrm>
                      <a:off x="0" y="0"/>
                      <a:ext cx="5271770" cy="8312785"/>
                    </a:xfrm>
                    <a:prstGeom prst="rect">
                      <a:avLst/>
                    </a:prstGeom>
                    <a:noFill/>
                    <a:ln>
                      <a:noFill/>
                    </a:ln>
                  </pic:spPr>
                </pic:pic>
              </a:graphicData>
            </a:graphic>
          </wp:anchor>
        </w:drawing>
      </w:r>
    </w:p>
    <w:p>
      <w:pPr>
        <w:keepNext w:val="0"/>
        <w:keepLines w:val="0"/>
        <w:pageBreakBefore w:val="0"/>
        <w:tabs>
          <w:tab w:val="left" w:pos="3316"/>
        </w:tabs>
        <w:kinsoku/>
        <w:overflowPunct/>
        <w:topLinePunct w:val="0"/>
        <w:autoSpaceDE/>
        <w:autoSpaceDN/>
        <w:bidi w:val="0"/>
        <w:adjustRightInd w:val="0"/>
        <w:snapToGrid w:val="0"/>
        <w:spacing w:line="560" w:lineRule="exact"/>
        <w:outlineLvl w:val="0"/>
        <w:rPr>
          <w:rFonts w:hint="default" w:ascii="TimesNewRoman" w:hAnsi="TimesNewRoman" w:eastAsia="黑体" w:cs="TimesNewRoman"/>
          <w:color w:val="000000"/>
          <w:sz w:val="36"/>
          <w:szCs w:val="36"/>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TimesNewRoman">
    <w:altName w:val="Traditional Arabic"/>
    <w:panose1 w:val="02020603050405020304"/>
    <w:charset w:val="00"/>
    <w:family w:val="auto"/>
    <w:pitch w:val="default"/>
    <w:sig w:usb0="00000000" w:usb1="00000000" w:usb2="00000029" w:usb3="00000000" w:csb0="6000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raditional Arabic">
    <w:panose1 w:val="02020603050405020304"/>
    <w:charset w:val="00"/>
    <w:family w:val="auto"/>
    <w:pitch w:val="default"/>
    <w:sig w:usb0="00006003" w:usb1="80000000" w:usb2="00000008" w:usb3="00000000" w:csb0="00000041" w:csb1="200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wODhjYWU5MDBhZTIzYjcwMzk2MDU2NTE1OGQ4M2UifQ=="/>
  </w:docVars>
  <w:rsids>
    <w:rsidRoot w:val="700F685A"/>
    <w:rsid w:val="05DA4518"/>
    <w:rsid w:val="0F1E119B"/>
    <w:rsid w:val="27287EEF"/>
    <w:rsid w:val="36B2643D"/>
    <w:rsid w:val="649D3E2D"/>
    <w:rsid w:val="662E7C0C"/>
    <w:rsid w:val="6894606C"/>
    <w:rsid w:val="69E7757D"/>
    <w:rsid w:val="6EA6764F"/>
    <w:rsid w:val="700F685A"/>
    <w:rsid w:val="705F5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imes New Roman" w:hAnsi="Times New Roman"/>
      <w:sz w:val="18"/>
      <w:szCs w:val="18"/>
    </w:rPr>
  </w:style>
  <w:style w:type="paragraph" w:styleId="3">
    <w:name w:val="Normal (Web)"/>
    <w:basedOn w:val="1"/>
    <w:qFormat/>
    <w:uiPriority w:val="0"/>
    <w:rPr>
      <w:rFonts w:eastAsia="宋体"/>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emf"/><Relationship Id="rId8" Type="http://schemas.openxmlformats.org/officeDocument/2006/relationships/image" Target="media/image5.emf"/><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2024-02-08T00:41:00Z</dcterms:created>
  <dc:creator>   白日梦 </dc:creator>
  <cp:lastModifiedBy>DAI</cp:lastModifiedBy>
  <dcterms:modified xsi:type="dcterms:W3CDTF">2024-08-07T02:21:54Z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ED0DE30285A34B5EB277B429C3557080_11</vt:lpwstr>
  </property>
</Properties>
</file>