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overflowPunct/>
        <w:topLinePunct w:val="0"/>
        <w:autoSpaceDE/>
        <w:autoSpaceDN/>
        <w:bidi w:val="0"/>
        <w:adjustRightInd w:val="0"/>
        <w:snapToGrid w:val="0"/>
        <w:spacing w:line="560" w:lineRule="exact"/>
        <w:outlineLvl w:val="0"/>
        <w:rPr>
          <w:rFonts w:hint="eastAsia" w:ascii="方正黑体_GBK" w:hAnsi="方正黑体_GBK" w:eastAsia="方正黑体_GBK" w:cs="方正黑体_GBK"/>
          <w:color w:val="000000"/>
          <w:sz w:val="32"/>
          <w:szCs w:val="32"/>
          <w:highlight w:val="none"/>
          <w:lang w:eastAsia="zh-CN"/>
        </w:rPr>
      </w:pPr>
      <w:r>
        <w:rPr>
          <w:rFonts w:hint="eastAsia" w:ascii="方正黑体_GBK" w:hAnsi="方正黑体_GBK" w:eastAsia="方正黑体_GBK" w:cs="方正黑体_GBK"/>
          <w:color w:val="000000"/>
          <w:sz w:val="32"/>
          <w:szCs w:val="32"/>
          <w:highlight w:val="none"/>
          <w:lang w:eastAsia="zh-CN"/>
        </w:rPr>
        <w:t>附件：</w:t>
      </w:r>
    </w:p>
    <w:p>
      <w:pPr>
        <w:keepNext w:val="0"/>
        <w:keepLines w:val="0"/>
        <w:pageBreakBefore w:val="0"/>
        <w:kinsoku/>
        <w:overflowPunct/>
        <w:topLinePunct w:val="0"/>
        <w:autoSpaceDE/>
        <w:autoSpaceDN/>
        <w:bidi w:val="0"/>
        <w:spacing w:line="560" w:lineRule="exact"/>
        <w:jc w:val="center"/>
        <w:rPr>
          <w:rFonts w:hint="default" w:ascii="TimesNewRoman" w:hAnsi="TimesNewRoman" w:eastAsia="华文中宋" w:cs="TimesNewRoman"/>
          <w:b/>
          <w:color w:val="000000"/>
          <w:sz w:val="36"/>
          <w:szCs w:val="36"/>
        </w:rPr>
      </w:pPr>
    </w:p>
    <w:p>
      <w:pPr>
        <w:keepNext w:val="0"/>
        <w:keepLines w:val="0"/>
        <w:pageBreakBefore w:val="0"/>
        <w:kinsoku/>
        <w:overflowPunct/>
        <w:topLinePunct w:val="0"/>
        <w:autoSpaceDE/>
        <w:autoSpaceDN/>
        <w:bidi w:val="0"/>
        <w:spacing w:line="560" w:lineRule="exact"/>
        <w:jc w:val="center"/>
        <w:rPr>
          <w:rFonts w:hint="default" w:ascii="TimesNewRoman" w:hAnsi="TimesNewRoman" w:eastAsia="华文中宋" w:cs="TimesNewRoman"/>
          <w:b/>
          <w:color w:val="000000"/>
          <w:sz w:val="36"/>
          <w:szCs w:val="36"/>
          <w:lang w:eastAsia="zh-CN"/>
        </w:rPr>
      </w:pPr>
      <w:r>
        <w:rPr>
          <w:rFonts w:hint="eastAsia" w:ascii="TimesNewRoman" w:hAnsi="TimesNewRoman" w:eastAsia="华文中宋" w:cs="TimesNewRoman"/>
          <w:b/>
          <w:color w:val="000000"/>
          <w:sz w:val="36"/>
          <w:szCs w:val="36"/>
          <w:lang w:eastAsia="zh-CN"/>
        </w:rPr>
        <w:t>淮南市市场监督管理局</w:t>
      </w:r>
      <w:r>
        <w:rPr>
          <w:rFonts w:hint="default" w:ascii="TimesNewRoman" w:hAnsi="TimesNewRoman" w:eastAsia="华文中宋" w:cs="TimesNewRoman"/>
          <w:b/>
          <w:color w:val="000000"/>
          <w:sz w:val="36"/>
          <w:szCs w:val="36"/>
          <w:lang w:val="en-US" w:eastAsia="zh-CN"/>
        </w:rPr>
        <w:t>202</w:t>
      </w:r>
      <w:r>
        <w:rPr>
          <w:rFonts w:hint="eastAsia" w:ascii="TimesNewRoman" w:hAnsi="TimesNewRoman" w:eastAsia="华文中宋" w:cs="TimesNewRoman"/>
          <w:b/>
          <w:color w:val="000000"/>
          <w:sz w:val="36"/>
          <w:szCs w:val="36"/>
          <w:lang w:val="en-US" w:eastAsia="zh-CN"/>
        </w:rPr>
        <w:t>3</w:t>
      </w:r>
      <w:r>
        <w:rPr>
          <w:rFonts w:hint="default" w:ascii="TimesNewRoman" w:hAnsi="TimesNewRoman" w:eastAsia="华文中宋" w:cs="TimesNewRoman"/>
          <w:b/>
          <w:color w:val="000000"/>
          <w:sz w:val="36"/>
          <w:szCs w:val="36"/>
          <w:lang w:val="en-US" w:eastAsia="zh-CN"/>
        </w:rPr>
        <w:t>年度</w:t>
      </w:r>
      <w:r>
        <w:rPr>
          <w:rFonts w:hint="default" w:ascii="TimesNewRoman" w:hAnsi="TimesNewRoman" w:eastAsia="华文中宋" w:cs="TimesNewRoman"/>
          <w:b/>
          <w:color w:val="000000"/>
          <w:sz w:val="36"/>
          <w:szCs w:val="36"/>
        </w:rPr>
        <w:t>项目</w:t>
      </w:r>
      <w:r>
        <w:rPr>
          <w:rFonts w:hint="default" w:ascii="TimesNewRoman" w:hAnsi="TimesNewRoman" w:eastAsia="华文中宋" w:cs="TimesNewRoman"/>
          <w:b/>
          <w:color w:val="000000"/>
          <w:sz w:val="36"/>
          <w:szCs w:val="36"/>
          <w:lang w:eastAsia="zh-CN"/>
        </w:rPr>
        <w:t>支出绩效目标</w:t>
      </w:r>
    </w:p>
    <w:p>
      <w:pPr>
        <w:keepNext w:val="0"/>
        <w:keepLines w:val="0"/>
        <w:pageBreakBefore w:val="0"/>
        <w:kinsoku/>
        <w:overflowPunct/>
        <w:topLinePunct w:val="0"/>
        <w:autoSpaceDE/>
        <w:autoSpaceDN/>
        <w:bidi w:val="0"/>
        <w:adjustRightInd w:val="0"/>
        <w:snapToGrid w:val="0"/>
        <w:spacing w:line="560" w:lineRule="exact"/>
        <w:jc w:val="both"/>
        <w:outlineLvl w:val="0"/>
        <w:rPr>
          <w:rFonts w:hint="default" w:ascii="TimesNewRoman" w:hAnsi="TimesNewRoman" w:eastAsia="仿宋_GB2312" w:cs="TimesNewRoman"/>
          <w:b w:val="0"/>
          <w:bCs w:val="0"/>
          <w:color w:val="000000"/>
          <w:sz w:val="32"/>
          <w:szCs w:val="32"/>
          <w:highlight w:val="none"/>
          <w:lang w:eastAsia="zh-CN"/>
        </w:rPr>
      </w:pPr>
    </w:p>
    <w:tbl>
      <w:tblPr>
        <w:tblStyle w:val="5"/>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5787"/>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5"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TimesNewRoman" w:hAnsi="TimesNewRoman" w:eastAsia="仿宋_GB2312" w:cs="TimesNewRoman"/>
                <w:b w:val="0"/>
                <w:bCs w:val="0"/>
                <w:color w:val="000000"/>
                <w:sz w:val="32"/>
                <w:szCs w:val="32"/>
                <w:highlight w:val="none"/>
                <w:vertAlign w:val="baseline"/>
                <w:lang w:val="en-US" w:eastAsia="zh-CN"/>
              </w:rPr>
            </w:pPr>
            <w:r>
              <w:rPr>
                <w:rFonts w:hint="default" w:ascii="TimesNewRoman" w:hAnsi="TimesNewRoman" w:eastAsia="仿宋_GB2312" w:cs="TimesNewRoman"/>
                <w:color w:val="000000"/>
                <w:kern w:val="2"/>
                <w:sz w:val="32"/>
                <w:szCs w:val="32"/>
                <w:lang w:val="en-US" w:eastAsia="zh-CN" w:bidi="ar-SA"/>
              </w:rPr>
              <w:t>项目支出绩效目标公开清单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TimesNewRoman" w:hAnsi="TimesNewRoman" w:eastAsia="仿宋_GB2312" w:cs="TimesNewRoman"/>
                <w:color w:val="000000"/>
                <w:kern w:val="2"/>
                <w:sz w:val="32"/>
                <w:szCs w:val="32"/>
                <w:lang w:val="en-US" w:eastAsia="zh-CN" w:bidi="ar-SA"/>
              </w:rPr>
            </w:pPr>
            <w:r>
              <w:rPr>
                <w:rFonts w:hint="default" w:ascii="TimesNewRoman" w:hAnsi="TimesNewRoman" w:eastAsia="仿宋_GB2312" w:cs="TimesNewRoman"/>
                <w:color w:val="000000"/>
                <w:kern w:val="2"/>
                <w:sz w:val="32"/>
                <w:szCs w:val="32"/>
                <w:lang w:val="en-US" w:eastAsia="zh-CN" w:bidi="ar-SA"/>
              </w:rPr>
              <w:t>序号</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TimesNewRoman" w:hAnsi="TimesNewRoman" w:eastAsia="仿宋_GB2312" w:cs="TimesNewRoman"/>
                <w:color w:val="000000"/>
                <w:kern w:val="2"/>
                <w:sz w:val="32"/>
                <w:szCs w:val="32"/>
                <w:lang w:val="en-US" w:eastAsia="zh-CN" w:bidi="ar-SA"/>
              </w:rPr>
            </w:pPr>
            <w:r>
              <w:rPr>
                <w:rFonts w:hint="default" w:ascii="TimesNewRoman" w:hAnsi="TimesNewRoman" w:eastAsia="仿宋_GB2312" w:cs="TimesNewRoman"/>
                <w:color w:val="000000"/>
                <w:kern w:val="2"/>
                <w:sz w:val="32"/>
                <w:szCs w:val="32"/>
                <w:lang w:val="en-US" w:eastAsia="zh-CN" w:bidi="ar-SA"/>
              </w:rPr>
              <w:t>项目名称</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TimesNewRoman" w:hAnsi="TimesNewRoman" w:eastAsia="仿宋_GB2312" w:cs="TimesNewRoman"/>
                <w:color w:val="000000"/>
                <w:kern w:val="2"/>
                <w:sz w:val="32"/>
                <w:szCs w:val="32"/>
                <w:lang w:val="en-US" w:eastAsia="zh-CN" w:bidi="ar-SA"/>
              </w:rPr>
            </w:pPr>
            <w:r>
              <w:rPr>
                <w:rFonts w:hint="default" w:ascii="TimesNewRoman" w:hAnsi="TimesNewRoman" w:eastAsia="仿宋_GB2312" w:cs="TimesNewRoman"/>
                <w:color w:val="000000"/>
                <w:kern w:val="2"/>
                <w:sz w:val="32"/>
                <w:szCs w:val="32"/>
                <w:lang w:val="en-US" w:eastAsia="zh-CN" w:bidi="ar-SA"/>
              </w:rPr>
              <w:t>预算金额（单位：万元）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1</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color w:val="000000"/>
                <w:sz w:val="28"/>
                <w:szCs w:val="28"/>
                <w:highlight w:val="none"/>
              </w:rPr>
              <w:t>办公大楼运行管理经费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color w:val="000000"/>
                <w:kern w:val="2"/>
                <w:sz w:val="32"/>
                <w:szCs w:val="32"/>
                <w:lang w:val="en-US" w:eastAsia="zh-CN"/>
              </w:rPr>
              <w:t>393.82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2</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color w:val="000000"/>
                <w:sz w:val="28"/>
                <w:szCs w:val="28"/>
                <w:highlight w:val="none"/>
              </w:rPr>
              <w:t>市场主体登记及监管业务</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color w:val="000000"/>
                <w:kern w:val="2"/>
                <w:sz w:val="32"/>
                <w:szCs w:val="32"/>
                <w:lang w:val="en-US" w:eastAsia="zh-CN"/>
              </w:rPr>
              <w:t>1043.55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３</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color w:val="000000"/>
                <w:sz w:val="28"/>
                <w:szCs w:val="28"/>
                <w:highlight w:val="none"/>
              </w:rPr>
              <w:t>省级食管业务、省级食品、药品及市场监管补助经费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４</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color w:val="000000"/>
                <w:sz w:val="28"/>
                <w:szCs w:val="28"/>
                <w:highlight w:val="none"/>
              </w:rPr>
              <w:t>消费维权经费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５</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color w:val="000000"/>
                <w:sz w:val="28"/>
                <w:szCs w:val="28"/>
                <w:highlight w:val="none"/>
              </w:rPr>
              <w:t>支持产业政策发展奖补</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６</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color w:val="000000"/>
                <w:sz w:val="28"/>
                <w:szCs w:val="28"/>
                <w:highlight w:val="none"/>
              </w:rPr>
              <w:t>国家煤化工中心二期工程入经开区毛集分局日常工作经费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 w:hAnsi="仿宋" w:eastAsia="仿宋" w:cs="仿宋"/>
                <w:b w:val="0"/>
                <w:bCs w:val="0"/>
                <w:color w:val="000000"/>
                <w:sz w:val="32"/>
                <w:szCs w:val="32"/>
                <w:highlight w:val="none"/>
                <w:vertAlign w:val="baseline"/>
                <w:lang w:val="en-US" w:eastAsia="zh-CN"/>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7</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计量检测工作运行经费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8</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计量设备购置</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9</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收费停征后非强检计量器具服务支出</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10</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特种设备检验日常运行管理</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444.6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11</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特种检验设备购置经费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241.36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kern w:val="2"/>
                <w:sz w:val="30"/>
                <w:szCs w:val="30"/>
                <w:highlight w:val="none"/>
                <w:vertAlign w:val="baseline"/>
                <w:lang w:val="en-US" w:eastAsia="zh-CN" w:bidi="ar-SA"/>
              </w:rPr>
            </w:pPr>
            <w:r>
              <w:rPr>
                <w:rFonts w:hint="eastAsia" w:ascii="仿宋_GB2312" w:hAnsi="仿宋_GB2312" w:cs="仿宋_GB2312"/>
                <w:b w:val="0"/>
                <w:bCs w:val="0"/>
                <w:color w:val="000000"/>
                <w:kern w:val="2"/>
                <w:sz w:val="30"/>
                <w:szCs w:val="30"/>
                <w:highlight w:val="none"/>
                <w:vertAlign w:val="baseline"/>
                <w:lang w:val="en-US" w:eastAsia="zh-CN" w:bidi="ar-SA"/>
              </w:rPr>
              <w:t>12</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kern w:val="2"/>
                <w:sz w:val="30"/>
                <w:szCs w:val="30"/>
                <w:highlight w:val="none"/>
                <w:vertAlign w:val="baseline"/>
                <w:lang w:val="en-US" w:eastAsia="zh-CN" w:bidi="ar-SA"/>
              </w:rPr>
            </w:pPr>
            <w:r>
              <w:rPr>
                <w:rFonts w:hint="eastAsia" w:ascii="仿宋_GB2312" w:hAnsi="仿宋_GB2312" w:eastAsia="仿宋_GB2312" w:cs="仿宋_GB2312"/>
                <w:b w:val="0"/>
                <w:bCs w:val="0"/>
                <w:color w:val="000000"/>
                <w:sz w:val="30"/>
                <w:szCs w:val="30"/>
                <w:highlight w:val="none"/>
                <w:vertAlign w:val="baseline"/>
                <w:lang w:val="en-US" w:eastAsia="zh-CN"/>
              </w:rPr>
              <w:t>市场监管综合行政执法工作开展经费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kern w:val="2"/>
                <w:sz w:val="30"/>
                <w:szCs w:val="30"/>
                <w:highlight w:val="none"/>
                <w:vertAlign w:val="baseline"/>
                <w:lang w:val="en-US" w:eastAsia="zh-CN" w:bidi="ar-SA"/>
              </w:rPr>
            </w:pPr>
            <w:r>
              <w:rPr>
                <w:rFonts w:hint="eastAsia" w:ascii="仿宋_GB2312" w:hAnsi="仿宋_GB2312" w:cs="仿宋_GB2312"/>
                <w:b w:val="0"/>
                <w:bCs w:val="0"/>
                <w:color w:val="000000"/>
                <w:sz w:val="30"/>
                <w:szCs w:val="30"/>
                <w:highlight w:val="none"/>
                <w:vertAlign w:val="baseline"/>
                <w:lang w:val="en-US" w:eastAsia="zh-CN"/>
              </w:rPr>
              <w:t>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13</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开展“打击侵犯知识产权和制售假冒伪劣商品”专项执法经费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14</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执法取证装备购置经费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15</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执法车辆购置经费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16</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博士后工作站经费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17</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产品质量委托工作检验经费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18</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实验室专用设备</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19</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委托产品质量检验运营经费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317.7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20</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食品、药品、保健品、医疗器械、药包材抽检运转经费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21</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药品安全监管城乡一体化建设经费项目</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22</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乳制品抽检专项经费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23</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药品（含医疗器械、化妆品）抽检经费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24</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物业管理费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25</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淮南市食品药品检验中心药品检验能力达标建设项目</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26</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中央食品药品监管补助资金</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27</w:t>
            </w: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eastAsia="仿宋_GB2312" w:cs="仿宋_GB2312"/>
                <w:b w:val="0"/>
                <w:bCs w:val="0"/>
                <w:color w:val="000000"/>
                <w:sz w:val="30"/>
                <w:szCs w:val="30"/>
                <w:highlight w:val="none"/>
                <w:vertAlign w:val="baseline"/>
                <w:lang w:val="en-US" w:eastAsia="zh-CN"/>
              </w:rPr>
              <w:t>标准化日常运行管理经费</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sz w:val="30"/>
                <w:szCs w:val="30"/>
                <w:highlight w:val="none"/>
                <w:vertAlign w:val="baseline"/>
                <w:lang w:val="en-US" w:eastAsia="zh-CN"/>
              </w:rPr>
            </w:pPr>
            <w:r>
              <w:rPr>
                <w:rFonts w:hint="eastAsia" w:ascii="仿宋_GB2312" w:hAnsi="仿宋_GB2312" w:cs="仿宋_GB2312"/>
                <w:b w:val="0"/>
                <w:bCs w:val="0"/>
                <w:color w:val="000000"/>
                <w:sz w:val="30"/>
                <w:szCs w:val="30"/>
                <w:highlight w:val="none"/>
                <w:vertAlign w:val="baseline"/>
                <w:lang w:val="en-US" w:eastAsia="zh-CN"/>
              </w:rPr>
              <w:t>12.96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sz w:val="30"/>
                <w:szCs w:val="30"/>
                <w:highlight w:val="none"/>
                <w:vertAlign w:val="baseline"/>
                <w:lang w:val="en-US" w:eastAsia="zh-CN"/>
              </w:rPr>
            </w:pPr>
          </w:p>
        </w:tc>
        <w:tc>
          <w:tcPr>
            <w:tcW w:w="57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kern w:val="2"/>
                <w:sz w:val="30"/>
                <w:szCs w:val="30"/>
                <w:highlight w:val="none"/>
                <w:vertAlign w:val="baseline"/>
                <w:lang w:val="en-US" w:eastAsia="zh-CN" w:bidi="ar-SA"/>
              </w:rPr>
            </w:pP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eastAsia" w:ascii="仿宋_GB2312" w:hAnsi="仿宋_GB2312" w:eastAsia="仿宋_GB2312" w:cs="仿宋_GB2312"/>
                <w:b w:val="0"/>
                <w:bCs w:val="0"/>
                <w:color w:val="000000"/>
                <w:kern w:val="2"/>
                <w:sz w:val="30"/>
                <w:szCs w:val="30"/>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outlineLvl w:val="0"/>
              <w:rPr>
                <w:rFonts w:hint="eastAsia" w:ascii="仿宋_GB2312" w:hAnsi="仿宋_GB2312" w:eastAsia="仿宋_GB2312" w:cs="仿宋_GB2312"/>
                <w:b w:val="0"/>
                <w:bCs w:val="0"/>
                <w:color w:val="000000"/>
                <w:kern w:val="2"/>
                <w:sz w:val="30"/>
                <w:szCs w:val="30"/>
                <w:highlight w:val="none"/>
                <w:vertAlign w:val="baseline"/>
                <w:lang w:val="en-US" w:eastAsia="zh-CN" w:bidi="ar-SA"/>
              </w:rPr>
            </w:pPr>
            <w:r>
              <w:rPr>
                <w:rFonts w:hint="eastAsia" w:ascii="仿宋_GB2312" w:hAnsi="仿宋_GB2312" w:cs="仿宋_GB2312"/>
                <w:b w:val="0"/>
                <w:bCs w:val="0"/>
                <w:color w:val="000000"/>
                <w:kern w:val="2"/>
                <w:sz w:val="30"/>
                <w:szCs w:val="30"/>
                <w:highlight w:val="none"/>
                <w:vertAlign w:val="baseline"/>
                <w:lang w:val="en-US" w:eastAsia="zh-CN" w:bidi="ar-SA"/>
              </w:rPr>
              <w:t>合计</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outlineLvl w:val="0"/>
              <w:rPr>
                <w:rFonts w:hint="default" w:ascii="仿宋_GB2312" w:hAnsi="仿宋_GB2312" w:eastAsia="仿宋_GB2312" w:cs="仿宋_GB2312"/>
                <w:b w:val="0"/>
                <w:bCs w:val="0"/>
                <w:color w:val="000000"/>
                <w:kern w:val="2"/>
                <w:sz w:val="30"/>
                <w:szCs w:val="30"/>
                <w:highlight w:val="none"/>
                <w:vertAlign w:val="baseline"/>
                <w:lang w:val="en-US" w:eastAsia="zh-CN" w:bidi="ar-SA"/>
              </w:rPr>
            </w:pPr>
            <w:r>
              <w:rPr>
                <w:rFonts w:hint="eastAsia" w:ascii="仿宋_GB2312" w:hAnsi="仿宋_GB2312" w:cs="仿宋_GB2312"/>
                <w:b w:val="0"/>
                <w:bCs w:val="0"/>
                <w:color w:val="000000"/>
                <w:kern w:val="2"/>
                <w:sz w:val="30"/>
                <w:szCs w:val="30"/>
                <w:highlight w:val="none"/>
                <w:vertAlign w:val="baseline"/>
                <w:lang w:val="en-US" w:eastAsia="zh-CN" w:bidi="ar-SA"/>
              </w:rPr>
              <w:t>4756.07</w:t>
            </w:r>
          </w:p>
        </w:tc>
      </w:tr>
    </w:tbl>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rPr>
          <w:rFonts w:hint="default" w:ascii="TimesNewRoman" w:hAnsi="TimesNewRoman" w:eastAsia="黑体" w:cs="TimesNewRoman"/>
          <w:color w:val="000000"/>
          <w:sz w:val="36"/>
          <w:szCs w:val="36"/>
          <w:highlight w:val="none"/>
        </w:rPr>
        <w:br w:type="page"/>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outlineLvl w:val="9"/>
        <w:rPr>
          <w:rFonts w:hint="eastAsia" w:ascii="方正小标宋简体" w:hAnsi="方正小标宋简体" w:eastAsia="方正小标宋简体" w:cs="方正小标宋简体"/>
          <w:color w:val="000000"/>
          <w:spacing w:val="0"/>
          <w:w w:val="100"/>
          <w:kern w:val="2"/>
          <w:position w:val="0"/>
          <w:sz w:val="44"/>
          <w:szCs w:val="44"/>
          <w:shd w:val="clear" w:color="auto" w:fill="auto"/>
          <w:lang w:val="en-US" w:eastAsia="zh-CN" w:bidi="ar-SA"/>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right="0"/>
        <w:jc w:val="center"/>
        <w:textAlignment w:val="auto"/>
        <w:outlineLvl w:val="9"/>
        <w:rPr>
          <w:rFonts w:hint="eastAsia" w:ascii="方正小标宋简体" w:hAnsi="方正小标宋简体" w:eastAsia="方正小标宋简体" w:cs="方正小标宋简体"/>
          <w:color w:val="000000"/>
          <w:spacing w:val="0"/>
          <w:w w:val="100"/>
          <w:kern w:val="2"/>
          <w:position w:val="0"/>
          <w:sz w:val="44"/>
          <w:szCs w:val="44"/>
          <w:shd w:val="clear" w:color="auto" w:fill="auto"/>
          <w:lang w:val="en-US" w:eastAsia="zh-CN" w:bidi="ar-SA"/>
        </w:rPr>
      </w:pPr>
      <w:r>
        <w:rPr>
          <w:rFonts w:hint="eastAsia" w:ascii="方正小标宋简体" w:hAnsi="方正小标宋简体" w:eastAsia="方正小标宋简体" w:cs="方正小标宋简体"/>
          <w:color w:val="000000"/>
          <w:spacing w:val="0"/>
          <w:w w:val="100"/>
          <w:kern w:val="2"/>
          <w:position w:val="0"/>
          <w:sz w:val="44"/>
          <w:szCs w:val="44"/>
          <w:shd w:val="clear" w:color="auto" w:fill="auto"/>
          <w:lang w:val="en-US" w:eastAsia="zh-CN" w:bidi="ar-SA"/>
        </w:rPr>
        <w:t>淮南市市场监管局（部门）2023年度50万以上项目支出绩效自评报告</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center"/>
        <w:textAlignment w:val="auto"/>
        <w:rPr>
          <w:rFonts w:hint="eastAsia" w:ascii="仿宋" w:hAnsi="仿宋" w:eastAsia="仿宋" w:cs="仿宋"/>
          <w:color w:val="000000"/>
          <w:spacing w:val="0"/>
          <w:w w:val="100"/>
          <w:kern w:val="0"/>
          <w:position w:val="0"/>
          <w:sz w:val="32"/>
          <w:szCs w:val="32"/>
          <w:shd w:val="clear" w:color="auto" w:fill="auto"/>
          <w:lang w:eastAsia="en-US" w:bidi="en-US"/>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黑体" w:hAnsi="黑体" w:eastAsia="黑体" w:cs="黑体"/>
          <w:color w:val="000000"/>
          <w:spacing w:val="0"/>
          <w:w w:val="100"/>
          <w:kern w:val="0"/>
          <w:position w:val="0"/>
          <w:sz w:val="32"/>
          <w:szCs w:val="32"/>
          <w:shd w:val="clear" w:color="auto" w:fill="auto"/>
          <w:lang w:eastAsia="en-US" w:bidi="en-US"/>
        </w:rPr>
      </w:pPr>
      <w:r>
        <w:rPr>
          <w:rFonts w:hint="eastAsia" w:ascii="黑体" w:hAnsi="黑体" w:eastAsia="黑体" w:cs="黑体"/>
          <w:color w:val="000000"/>
          <w:spacing w:val="0"/>
          <w:w w:val="100"/>
          <w:kern w:val="0"/>
          <w:position w:val="0"/>
          <w:sz w:val="32"/>
          <w:szCs w:val="32"/>
          <w:shd w:val="clear" w:color="auto" w:fill="auto"/>
          <w:lang w:eastAsia="en-US" w:bidi="en-US"/>
        </w:rPr>
        <w:t>一</w:t>
      </w:r>
      <w:r>
        <w:rPr>
          <w:rFonts w:hint="eastAsia" w:ascii="黑体" w:hAnsi="黑体" w:eastAsia="黑体" w:cs="黑体"/>
          <w:color w:val="000000"/>
          <w:spacing w:val="0"/>
          <w:w w:val="100"/>
          <w:kern w:val="0"/>
          <w:position w:val="0"/>
          <w:sz w:val="32"/>
          <w:szCs w:val="32"/>
          <w:shd w:val="clear" w:color="auto" w:fill="auto"/>
          <w:lang w:eastAsia="zh-CN" w:bidi="en-US"/>
        </w:rPr>
        <w:t>、</w:t>
      </w:r>
      <w:r>
        <w:rPr>
          <w:rFonts w:hint="eastAsia" w:ascii="黑体" w:hAnsi="黑体" w:eastAsia="黑体" w:cs="黑体"/>
          <w:color w:val="000000"/>
          <w:spacing w:val="0"/>
          <w:w w:val="100"/>
          <w:kern w:val="0"/>
          <w:position w:val="0"/>
          <w:sz w:val="32"/>
          <w:szCs w:val="32"/>
          <w:shd w:val="clear" w:color="auto" w:fill="auto"/>
          <w:lang w:eastAsia="en-US" w:bidi="en-US"/>
        </w:rPr>
        <w:t>自评工作开展情况</w:t>
      </w:r>
    </w:p>
    <w:p>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为进一步规范财政资金管理，强化绩效和责任意识，切实提高财政资金使用效益，按照</w:t>
      </w:r>
      <w:r>
        <w:rPr>
          <w:rFonts w:hint="eastAsia" w:ascii="仿宋" w:hAnsi="仿宋" w:eastAsia="仿宋" w:cs="仿宋"/>
          <w:color w:val="000000"/>
          <w:sz w:val="32"/>
          <w:szCs w:val="32"/>
          <w:lang w:eastAsia="zh-CN"/>
        </w:rPr>
        <w:t>《淮南市财政局关于开展2023年度市级预算支出绩效单位自评和部门评价工作的通知》（淮财绩效〔202</w:t>
      </w:r>
      <w:r>
        <w:rPr>
          <w:rFonts w:hint="eastAsia" w:ascii="仿宋" w:hAnsi="仿宋" w:eastAsia="仿宋" w:cs="仿宋"/>
          <w:color w:val="000000"/>
          <w:sz w:val="32"/>
          <w:szCs w:val="32"/>
          <w:lang w:val="en-US" w:eastAsia="zh-CN"/>
        </w:rPr>
        <w:t>4</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95</w:t>
      </w:r>
      <w:r>
        <w:rPr>
          <w:rFonts w:hint="eastAsia" w:ascii="仿宋" w:hAnsi="仿宋" w:eastAsia="仿宋" w:cs="仿宋"/>
          <w:color w:val="000000"/>
          <w:sz w:val="32"/>
          <w:szCs w:val="32"/>
          <w:lang w:eastAsia="zh-CN"/>
        </w:rPr>
        <w:t>号）</w:t>
      </w:r>
      <w:r>
        <w:rPr>
          <w:rFonts w:hint="eastAsia" w:ascii="仿宋" w:hAnsi="仿宋" w:eastAsia="仿宋" w:cs="仿宋"/>
          <w:color w:val="000000"/>
          <w:sz w:val="32"/>
          <w:szCs w:val="32"/>
          <w:lang w:val="en-US" w:eastAsia="zh-CN"/>
        </w:rPr>
        <w:t>文件要求，我部门积极开展2023年度部门绩效自评工作。</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shd w:val="clear" w:color="auto" w:fill="auto"/>
          <w:lang w:val="en-US" w:eastAsia="zh-CN" w:bidi="ar-SA"/>
        </w:rPr>
        <w:t>（一）部门年度总体目标和主要任务完成情况</w:t>
      </w:r>
    </w:p>
    <w:p>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年度总体目标：一是围绕建设全国统一大市场，持续优化营商环境。持续完善企业开办帮办工作机制。深入推进“一业一证一码”改革。推深做实企业登记“一网通办”试点工作。深化金融支持个体工商户发展专项活动，努力保住市场监管主体稳定增长的态势。二是围绕质量强市和知识产权强市建设，激发产业创新活力。深入开展质量提升行动。扎实推进“质量强县(区)”创建工作。深化“一站式”质量综合服务平台建设。加快推进计量技术规范体系建设。深入开展检验检测机构监督检查。扎实推进绿色产品认证。三是围绕法治监管、信用监管和智慧监管，全面提升监管效能。强力推进依法行政，全面落实行政执法“三项制度”，健全、完善重大决策合法性审查机制。完善重大行政决策听证和风险评估制度。扎实推进“一业一查”部门联合抽查活动，强化企业信用风险分类结果应用，依据企业信用等级水平对企业实施差异化监管。四是围绕“三品一特”安全监管，坚决守住风险底线。深入推进食品安全“守查保”专项行动。强化“食安安徽”品牌培育。加强进口冷链和非冷链食品监管。深化食品抽检数据在排查风险隐患中的应用。</w:t>
      </w:r>
    </w:p>
    <w:p>
      <w:pPr>
        <w:keepNext w:val="0"/>
        <w:keepLines w:val="0"/>
        <w:pageBreakBefore w:val="0"/>
        <w:kinsoku/>
        <w:wordWrap/>
        <w:overflowPunct/>
        <w:topLinePunct w:val="0"/>
        <w:autoSpaceDE/>
        <w:autoSpaceDN/>
        <w:bidi w:val="0"/>
        <w:adjustRightInd/>
        <w:snapToGrid w:val="0"/>
        <w:spacing w:line="560" w:lineRule="exact"/>
        <w:ind w:firstLine="640" w:firstLineChars="200"/>
        <w:jc w:val="left"/>
        <w:textAlignment w:val="auto"/>
        <w:rPr>
          <w:rFonts w:hint="eastAsia" w:ascii="仿宋" w:hAnsi="仿宋" w:eastAsia="仿宋" w:cs="仿宋"/>
          <w:color w:val="000000"/>
          <w:sz w:val="32"/>
          <w:szCs w:val="32"/>
          <w:highlight w:val="yellow"/>
          <w:lang w:val="en-US" w:eastAsia="zh-CN"/>
        </w:rPr>
      </w:pPr>
      <w:r>
        <w:rPr>
          <w:rFonts w:hint="eastAsia" w:ascii="仿宋" w:hAnsi="仿宋" w:eastAsia="仿宋" w:cs="仿宋"/>
          <w:color w:val="000000"/>
          <w:sz w:val="32"/>
          <w:szCs w:val="32"/>
          <w:lang w:val="en-US" w:eastAsia="zh-CN"/>
        </w:rPr>
        <w:t>2.主要任务完成情况：以年初设定的目标为牵引，依据部门职责，按照年度工作任务及计划较好地完成了年度工作任务。一是基本支出方面，按年度工作计划完成各项业务工作，督促指导市场主体依法承担主体责任，保证全局的日常支出。二是项目支出方面，通过项目执行持续激发发展活力，持续创新监管方式，持续强化监督执法，持续加大消费维权。</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shd w:val="clear" w:color="auto" w:fill="auto"/>
          <w:lang w:val="en-US" w:eastAsia="zh-CN" w:bidi="ar-SA"/>
        </w:rPr>
        <w:t>（二）自评项目基本情况</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淮南市市场监管局（部门）2023年度50万以上自评项目个数为13个，其中：</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市本级自评项目个数为5个，分别为：支持产业发展奖补资金650万元、办公大楼运行管理393.82万元、市场主体登记及监管业务经费1043.55万元、国家煤化工产品质检中心二期工程尾款及经开区毛集分局日常工作经费304万元、省级食品、药品及市场监管补助经费110万元；</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淮南市市场监管综合行政执法支队自评项目个数为1个，为市场监管综合行政执法工作开展经费96.4万元；</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淮南市计量测试检定所自评项目个数为2个，分别为计量检测工作运行经费72万元、计量设备购置280万元；</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国家煤化工产品质量监督检验中心（安徽）自评项目个数为2个，分别为实验室专用设备258万元、委托检验经营运行经费371.7万元；</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淮南市特种设备监督检验中心自评项目个数为2个，分别为：特种设备检验日常运行管理444.6万元、特种检验设备购置经费241.36万元；</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default" w:ascii="仿宋" w:hAnsi="仿宋" w:eastAsia="仿宋" w:cs="仿宋"/>
          <w:color w:val="000000"/>
          <w:spacing w:val="0"/>
          <w:w w:val="100"/>
          <w:kern w:val="0"/>
          <w:position w:val="0"/>
          <w:sz w:val="32"/>
          <w:szCs w:val="32"/>
          <w:highlight w:val="none"/>
          <w:shd w:val="clear" w:color="auto" w:fill="auto"/>
          <w:lang w:val="en-US" w:eastAsia="zh-CN" w:bidi="en-US"/>
        </w:rPr>
        <w:t>淮南市食品药品检验中心自评项目个数为</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1</w:t>
      </w:r>
      <w:r>
        <w:rPr>
          <w:rFonts w:hint="default" w:ascii="仿宋" w:hAnsi="仿宋" w:eastAsia="仿宋" w:cs="仿宋"/>
          <w:color w:val="000000"/>
          <w:spacing w:val="0"/>
          <w:w w:val="100"/>
          <w:kern w:val="0"/>
          <w:position w:val="0"/>
          <w:sz w:val="32"/>
          <w:szCs w:val="32"/>
          <w:highlight w:val="none"/>
          <w:shd w:val="clear" w:color="auto" w:fill="auto"/>
          <w:lang w:val="en-US" w:eastAsia="zh-CN" w:bidi="en-US"/>
        </w:rPr>
        <w:t>个，</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为中央及省级食品药品(含医疗器械、化妆品)监管补助及抽检经费201.7万元。</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shd w:val="clear" w:color="auto" w:fill="auto"/>
          <w:lang w:val="en-US" w:eastAsia="zh-CN" w:bidi="ar-SA"/>
        </w:rPr>
        <w:t>（三）自评工作组织实施情况</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一是严格贯彻落实文件要求，加强组织领导，明确任务分工和时间节点，抓好工作落实。二是按照要求认真组织开展绩效自评，全面总结转移支付资金项目实施情况，按时保质完成绩效自评报告。三是强化审核指导，提高部门绩效自评质量。如实反映财政资金的使用效益和政府职能的实现程度，强化部门预算支出的责任和效率，提高预算绩效管理质量水平。</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黑体" w:hAnsi="黑体" w:eastAsia="黑体" w:cs="黑体"/>
          <w:color w:val="000000"/>
          <w:spacing w:val="0"/>
          <w:w w:val="100"/>
          <w:kern w:val="0"/>
          <w:position w:val="0"/>
          <w:sz w:val="32"/>
          <w:szCs w:val="32"/>
          <w:shd w:val="clear" w:color="auto" w:fill="auto"/>
          <w:lang w:val="en-US" w:eastAsia="zh-CN" w:bidi="en-US"/>
        </w:rPr>
      </w:pPr>
      <w:r>
        <w:rPr>
          <w:rFonts w:hint="eastAsia" w:ascii="黑体" w:hAnsi="黑体" w:eastAsia="黑体" w:cs="黑体"/>
          <w:color w:val="000000"/>
          <w:spacing w:val="0"/>
          <w:w w:val="100"/>
          <w:kern w:val="0"/>
          <w:position w:val="0"/>
          <w:sz w:val="32"/>
          <w:szCs w:val="32"/>
          <w:shd w:val="clear" w:color="auto" w:fill="auto"/>
          <w:lang w:val="en-US" w:eastAsia="zh-CN" w:bidi="en-US"/>
        </w:rPr>
        <w:t>二、绩效目标完成情况</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（一）支持产业发展奖补资金（满分100分，实得95分）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1.资金执行情况分析（满分10分，实得10分）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2023年支持产业发展奖补资金年初预算总金额为650万元，实际执行数为650万元，预算执行率为100%。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 xml:space="preserve"> </w:t>
      </w: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2.绩效目标完成情况分析（满分90分，实得85分）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（1）产出指标完成情况分析。（满分50分，实得45分）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①数量指标（满分10分，实得5分）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指标1：获得专利奖的企业数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指标值：6个</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实际完成值：3个</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产生偏差原因：专利奖由省局组织专家认定，2023年我市申报18项，获评银奖及优秀奖共计3项。</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指标1：提升企业产业升级与发展</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指标1：项目完成及时性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指标值：≤12月</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实际完成值：12月</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指标1：项目计划总成本</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指标值：≤1374.93万元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实际完成值：626.2万元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①社会效益指标（满分15分，实得15分）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指标1：提高产品质量的影响度</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②可持续影响指标（满分15分，实得15分）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指标1：提升产品核心竞争力</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指标1：受益对象满意度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经评价，2023年淮南市市场监督管理局支持产业发展奖补资金项目绩效评价综合得分为95分，评价结果为“优”。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（二）办公大楼运行管理（满分100分，实得100分）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1.资金执行情况分析（满分10分，实得10分）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2023年办公大楼运行管理预算总金额为393.82万元，</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实际执行数为393.82万元，预算执行率为100%。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 xml:space="preserve"> </w:t>
      </w: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（1）产出指标完成情况分析。（满分50分，实得50分）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指标1：劳务费</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指标值：≥359人</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实际完成值：359人</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指标1：维修申报处理率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指标值：≥98%</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实际完成值：98%</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指标1：按时供应工作</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指标值：按时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指标1：项目计划总成本</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指标值：≤417.16万元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实际完成值：393.82万元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①社会效益指标（满分10分，实得10分）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指标1：改善和提高办公环境程度</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②生态效益指标（满分10分，实得10分）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指标1：水电能节约率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指标值：≥3%</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实际完成值：3%</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③可持续影响指标（满分10分，实得10分）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指标1：保证系统正常开展工作</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指标值：提升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指标1：服务对象满意度（满分10分，实得10分）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经评价，2023年淮南市市场监督管理局办公大楼运行管理项目绩效评价综合得分为100分，评价结果为“优”。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（三）市场主体登记及监管业务经费（满分100分，实得99.23分）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1.资金执行情况分析（满分</w:t>
      </w:r>
      <w:r>
        <w:rPr>
          <w:rFonts w:hint="eastAsia" w:ascii="仿宋" w:hAnsi="仿宋" w:eastAsia="仿宋" w:cs="仿宋"/>
          <w:b/>
          <w:bCs/>
          <w:color w:val="000000"/>
          <w:spacing w:val="0"/>
          <w:w w:val="100"/>
          <w:kern w:val="0"/>
          <w:position w:val="0"/>
          <w:sz w:val="32"/>
          <w:szCs w:val="32"/>
          <w:shd w:val="clear" w:color="auto" w:fill="auto"/>
          <w:lang w:val="en-US" w:eastAsia="zh-CN" w:bidi="en-US"/>
        </w:rPr>
        <w:t>10分，实得9.23分）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2023年市场主体登记及监管业务经费预算总金额为1043.55万元，</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实际执行数为963.22万元，预算执行率为92.33%。</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产生偏差原因：80万的“淮南市市场监管局气瓶检验单位监控设备采购及移动监管技术服务项目”于2023年12月22日开标，因流标，需重新招标，已申请项目资金结转至2024年。</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3"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（1）产出指标完成情况分析。（满分50分，实得50分）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①数量指标（满分10分，实得5分）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指标1：市场主体登记数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指标值：≥30000家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实际完成值：50506家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指标1：经费支出合理性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指标值：严格执行相关财经法规</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指标1：经费支出时效性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指标值：≤12月</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实际完成值：12月</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指标1：项目计划总成本</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指标值：≤1519.19万元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实际完成值：927.29847万元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①社会效益指标（满分15分，实得15分）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指标1：部门履职影响度</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②可持续影响指标（满分15分，实得15分）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指标1：加强监管，提升服务</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指标值：较高</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指标1：服务对象满意度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指标值：≥85%</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经评价，2023年淮南市市场监督管理局市场主体登记及监管业务经费项目绩效评价综合得分为99.23分，评价结果为“优”。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（四）国家煤化工产品质检中心二期工程尾款及经开区毛集分局日常工作经费（满分100分，实得100分）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1.资金执行情况分析（满分10分，实得10分）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2023年国家煤化工产品质检中心二期工程尾款及经开区毛集分局日常工作经费年初预算总金额为304万元，实际执行数为304万元，预算执行率为100%。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 xml:space="preserve"> </w:t>
      </w: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（1）产出指标完成情况分析。（满分50分，实得50分）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指标1：主要用于食品快检室设备维修维护、检测试剂购买、检测样品购买，检测室工作人员知识更新培训学习费等支出（万元）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指标值：200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实际完成值：200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指标2：辖区内市场监管工作产生办公费、印刷费、差旅费，生产经营企业三大安全人员培训，专家参与安检费用，辖区内工业产品、食品等监督抽查经费，特种设备电梯维保质量监督抽查经费（万元）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指标值：</w:t>
      </w:r>
      <w:r>
        <w:rPr>
          <w:rFonts w:hint="eastAsia" w:ascii="仿宋" w:hAnsi="仿宋" w:eastAsia="仿宋" w:cs="仿宋"/>
          <w:sz w:val="32"/>
          <w:szCs w:val="32"/>
          <w:lang w:val="en-US" w:eastAsia="zh-CN"/>
        </w:rPr>
        <w:t>104</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w:t>
      </w:r>
      <w:r>
        <w:rPr>
          <w:rFonts w:hint="eastAsia" w:ascii="仿宋" w:hAnsi="仿宋" w:eastAsia="仿宋" w:cs="仿宋"/>
          <w:sz w:val="32"/>
          <w:szCs w:val="32"/>
          <w:lang w:val="en-US" w:eastAsia="zh-CN"/>
        </w:rPr>
        <w:t>104</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指标1：经费支出严格执行相关财经法规、制度等规定</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指标值：严格执行</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实际完成值：严格执行</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指标1：根据合同规定，支付尾款</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指标值：按时支付</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实际完成值：按时支付</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④成本指标（满分20分，实得20分）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指标1：支出总成本（万元）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指标值：≤304万元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实际完成值：304万元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指标2：资金使用合规率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指标值：100%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①社会效益指标（满分10分，实得10分）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指标1：提高我省煤矿安全仪器仪表产品、煤矿防爆电气产品的市场竞争力，确保辖区质量、计量、标准化、特种设备安全监察、商标等市场监管综合监督管理工作。</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指标值：明显提高</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实际完成值：明显提高</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②生态效益指标（满分10分，实得10分）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指标1：检验检测项目满足煤矿安全仪器设备的产品质量检验和型式检验等方面需求，保障煤矿安全生产</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指标值：不断提升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实际完成值：不断提升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③可持续影响指标（满分10分，实得10分）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指标1：努力建成为具有向社会出具公证数据资格的第三方公正权威检测机构</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指标值：不断提升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实际完成值：不断提升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指标1：受益对象满意度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指标值：≥80%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实际完成值：≥80%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经评价，2023年淮南市市场监督管理局国家煤化工产品质检中心二期工程尾款及经开区毛集分局日常工作经费项目绩效评价综合得分为100分，评价结果为“优”。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（五）省级食品、药品及市场监管补助经费（满分100分，实得96分）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1.资金执行情况分析（满分10分，实得6分）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2023年省级食品、药品及市场监管补助经费年初预算总金额为110万元，实际执行数为66.1493万元，预算执行率为60.14%。</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default"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偏差原因：一是该项目预算110万元，但资金实际到位为91.2万元；二是因为部分抽检项目数量大，需待承检机构出具报告审核无误后，按进度序时支付。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 xml:space="preserve"> </w:t>
      </w: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（1）产出指标完成情况分析。（满分50分，实得50分）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①数量指标（满分6分，实得6分）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指标1：省级食品安全监督抽检数量</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指标值：≥710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实际完成值：≥710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②质量指标（满分18分，实得18分）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指标1：食品抽检程序的规范性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指标2：抽检不合格食品核查处置率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指标3：食品抽检应公布信息公布率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③时效指标（满分12分，实得12分）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指标1：工作任务完成时间</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指标值：2023年底前</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实际完成值：2023年底前</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指标2：食品抽检应公布信息公布的及时性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指标值：规定时限内公布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实际完成值：规定时限内公布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④成本指标（满分14分，实得14分）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指标1：支出总成本（万元）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指标值：≤110万元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实际完成值：66.1493万元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指标2：资金使用合规率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指标值：100%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①社会效益指标（满分10分，实得10分）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指标1：对排查食品安全风险、消除安全隐患的影响程度</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②可持续影响指标（满分20分，实得20分）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指标1：对提高食品安全监管水平，优化食品安全环境的影响程度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实际完成值：明显</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指标2：对引导消费者安全消费的影响程度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实际完成值：明显</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指标1：公众对食品安全满意度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指标值：≥80%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实际完成值：≥80%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经评价，2023年淮南市市场监督管理局省级食品、药品及市场监管补助经费项目绩效评价综合得分为96分，评价结果为“优”。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（六）市场监管综合行政执法工作开展经费（满分100分，实得100分）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1.资金执行情况分析（满分10分，实得10分）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2023年市场监管综合行政执法工作开展经费预算总金额为96.4万元，</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实际执行数为96.4万元，预算执行率为100%。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3"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（1）产出指标完成情况分析。（满分50分，实得50分）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指标1：组织行动执法次数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指标值：≥1200次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实际完成值：1260次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w:t>
      </w:r>
      <w:r>
        <w:rPr>
          <w:rFonts w:hint="eastAsia" w:ascii="仿宋" w:hAnsi="仿宋" w:eastAsia="仿宋" w:cs="仿宋"/>
          <w:sz w:val="32"/>
          <w:szCs w:val="32"/>
          <w:lang w:val="en-US" w:eastAsia="zh-CN"/>
        </w:rPr>
        <w:t>2</w:t>
      </w:r>
      <w:r>
        <w:rPr>
          <w:rFonts w:hint="default" w:ascii="仿宋" w:hAnsi="仿宋" w:eastAsia="仿宋" w:cs="仿宋"/>
          <w:sz w:val="32"/>
          <w:szCs w:val="32"/>
          <w:lang w:val="en-US" w:eastAsia="zh-CN"/>
        </w:rPr>
        <w:t>：查处案件数量</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w:t>
      </w:r>
      <w:r>
        <w:rPr>
          <w:rFonts w:hint="eastAsia" w:ascii="仿宋" w:hAnsi="仿宋" w:eastAsia="仿宋" w:cs="仿宋"/>
          <w:sz w:val="32"/>
          <w:szCs w:val="32"/>
          <w:lang w:val="en-US" w:eastAsia="zh-CN"/>
        </w:rPr>
        <w:t>100件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w:t>
      </w:r>
      <w:r>
        <w:rPr>
          <w:rFonts w:hint="eastAsia" w:ascii="仿宋" w:hAnsi="仿宋" w:eastAsia="仿宋" w:cs="仿宋"/>
          <w:sz w:val="32"/>
          <w:szCs w:val="32"/>
          <w:lang w:val="en-US" w:eastAsia="zh-CN"/>
        </w:rPr>
        <w:t>400件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指标1：经费支出合规性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指标值：严格按照相关财决法规进行支出</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指标2：案件办理程序规范性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指标值：依法查处相关领域违反行为</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③时效指标（满分5分，实得5分）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指标1：经费支出时效性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指标值：在规定期限内结案</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④成本指标（满分20分，实得20分）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指标1：项目成本</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指标值：≤96.4万元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实际完成值：96.37万元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指标2：费用开支</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指标值：≤96.4万元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实际完成值：96.37万元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①社会效益指标（满分30分，实得30分）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指标1：社会效益指标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指标值：坚持依法行政，加大监管执法，营造良好市场氛围</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经评价，2023年淮南市市场监督管理局市场监管综合行政执法工作开展经费项目绩效评价综合得分为100分，评价结果为“优”。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（七）计量检测工作运行经费（满分100分，实得100分）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1.资金执行情况分析（满分10分，实得10分）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2023年计量检测工作运行经费预算总金额为72万元，</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实际执行数为72万元，预算执行率为100%。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3"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）产出指标完成情况分析。（满分50分，实得50分）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①数量指标（满分15分，实得15分）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指标1：检定台件数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指标值：≥120000台件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实际完成值：136000台件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②质量指标（满分15分，实得15分）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指标1：检定程序</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指标值：严格执行检定程序</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③时效指标（满分10分，实得10分）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指标1：检测及时性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指标值：自接到受检计量器具之日起15日内完成检定工作的达到95%</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④成本指标（满分10分，实得10分）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指标1：费用开支</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指标值：严格控制在规定标准以内</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lang w:val="en-US" w:eastAsia="zh-CN"/>
        </w:rPr>
        <w:t>①经济效</w:t>
      </w:r>
      <w:r>
        <w:rPr>
          <w:rFonts w:hint="eastAsia" w:ascii="仿宋" w:hAnsi="仿宋" w:eastAsia="仿宋" w:cs="仿宋"/>
          <w:sz w:val="32"/>
          <w:szCs w:val="32"/>
          <w:highlight w:val="none"/>
          <w:lang w:val="en-US" w:eastAsia="zh-CN"/>
        </w:rPr>
        <w:t>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指标1：减轻企业负担</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实际完成值：达成预期指标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②社会效益指标（满分10分，实得10分）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指标1：对提高计量器具准确性的影响程度</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实际完成值：达成预期指标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③可持续影响指标（满分10分，实得10分）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指标1：对建立健全计量体系，提高计量水平的影响程度</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指标1：送检单位对工作满意度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经评价，2023年淮南市市场监督管理局计量检测工作运行经费项目绩效评价综合得分为100分，评价结果为“优”。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（八）计量设备购置（满分100分，实得91.1分）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1.资金执行情况分析（满分10分，实得6.1分）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2023年计量设备购置年初预算总金额为280万元，实际执行数为172万元，预算执行率为61%。</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default"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偏差原因：充电桩检定装置年初预算采购资金145万元，实际通过招标支付86.7万元，节省资金58.3万元。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 xml:space="preserve"> </w:t>
      </w: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2.绩效目标完成情况分析（满分90分，实得85分）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（1）产出指标完成情况分析。（满分50分，实得45分）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①数量指标（满分15分，实得10分）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指标1：实验室设备购置数量</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指标值：6台及以上</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实际完成值：50%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偏差原因：由于省级中心电路改造完成，造成设备购置延后。</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指标1：设备购置验收合格率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实际完成值：100%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指标1：采购计划完成时间</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指标值：按规定时间内完成</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实际完成值：按规定时间内完成</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指标1：设备采购成本</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指标值：≤280万元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实际完成值：在成本控制内完成</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①社会效益指标（满分15分，实得15分）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指标1：对计量检定测试水平能力的提升程度</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②可持续影响指标（满分15分，实得15分）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指标1：对履行单位职责、促进事业发展的提升程度指标值：明显</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实际完成值：明显</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指标1：服务对象满意度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经评价，2023年淮南市市场监督管理局计量设备购置项目绩效评价综合得分为91.1分，评价结果为“优”。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（九）实验室专用设备（满分100分，实得90分）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1.资金执行情况分析（满分10分，实得8分）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2023年实验室专用设备项目年初预算总金额为258万元，实际执行数为0万元，预算执行率为0。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default"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偏差原因：2023年收入大幅度下滑，无法对实验室设备进行更新。</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 xml:space="preserve"> </w:t>
      </w: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2.绩效目标完成情况分析（满分90分，实得82分）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（1）产出指标完成情况分析。（满分50分，实得42分）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①数量指标（满分15分，实得12分）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指标1：购置专用设备约3台、车辆一台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指标值：3台设备、车一辆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实际完成值：未完成</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偏差原因：2023年收入大幅度下滑，无法对实验室设备进行更新。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②质量指标（满分15分，实得10分）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指标1：设备按照技术标准验收合格，确保检验工作顺利开展，确保工作效率、工作质量逐步提高</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指标值：保质保量完成工作</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实际完成值：保质保量完成工作</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③时效指标（满分10分，实得10分）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指标1：当年12月底前完成购置计划，按合同约定完成验收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指标值：完成验收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实际完成值：未完成</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偏差原因：2023年收入大幅度下滑，无法对实验室设备进行更新。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④成本指标（满分10分，实得10分）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指标1：相关专用设备购置</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指标值：成本在预算内</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实际完成值：成本在预算内</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①经济效益指标（满分10分，实得10分）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指标1：完成当年收入目标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指标值：完成</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实际完成值：完成</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②社会效益指标（满分10分，实得10分）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指标1：用于提高工作效率，不断提升我中心检验检测能力，缩短检测周期，尽可能保障产品质量安全。</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指标值：完成当年检验工作</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实际完成值：完成当年检验工作</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③可持续影响指标（满分10分，实得10分）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指标1：建立科学合理的资产配置制度，健全资产购买、使用、维修、处置机制,保障逐年提升的检验任务的按时保质完成，减少安全隐患</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指标值：提升检验能力</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实际完成值：提升检验能力</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本单位不适用此指标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经评价，2023年淮南市市场监督管理局实验室专用设备项目绩效评价综合得分为90分，评价结果为“优”。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（十）委托检验经营运行经费（满分100分，实得100分）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1.资金执行情况分析（满分10分，实得10分）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2023年委托检验经营运行经费年初预算总金额为371.7万元，实际执行数为371.7万元，预算执行率为100%。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 xml:space="preserve"> </w:t>
      </w: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（1）产出指标完成情况分析。（满分50分，实得50</w:t>
      </w:r>
      <w:r>
        <w:rPr>
          <w:rFonts w:hint="eastAsia" w:ascii="仿宋" w:hAnsi="仿宋" w:eastAsia="仿宋" w:cs="仿宋"/>
          <w:color w:val="000000"/>
          <w:spacing w:val="0"/>
          <w:w w:val="100"/>
          <w:kern w:val="0"/>
          <w:position w:val="0"/>
          <w:sz w:val="32"/>
          <w:szCs w:val="32"/>
          <w:shd w:val="clear" w:color="auto" w:fill="auto"/>
          <w:lang w:val="en-US" w:eastAsia="zh-CN" w:bidi="en-US"/>
        </w:rPr>
        <w:t>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①数量指标（满分20分，实得20分）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指标1：每年对全市约2200余组产品质量实施委托检验</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指标值：2200组</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实际完成值：2200组</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指标1：向社会出具公证数据第三方权威检测机构</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指标值：按规定执行</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指标1：当年12月底前完成全年委托检验任务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指标值：2023年底前</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实际完成值：2023年底前</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指标1：包括人员工资、检验耗材、办公、设备投入及维修折旧等</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指标值：371.7万元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实际完成值：371.7万元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①经济效益指标（满分10分，实得10分）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指标1：完成当年收入目标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指标值：439万元</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实际完成值：439万元</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②社会效益指标（满分10分，实得10分）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指标1：掌握我市产品质量安全状况，开展产品质量安全风险防控</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③可持续影响指标（满分10分，实得10分）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指标1：保障我市产品质量安全，提升我市产品质量水平</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指标值：明显</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指标1：受益对象满意度≥90%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经评价，2023年淮南市市场监督管理局委托检验经营运行经费项目绩效评价综合得分为100分，评价结果为“优”。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（十一）特种设备检验日常运行管理（满分100分，实得99.6分）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1.资金执行情况分析（满分10分，实得9.6分）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2023年特种设备检验日常运行管理预算总金额为444.6万元，</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实际执行数为426.79万元，预算执行率为95.99%。</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3"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（1）产出指标完成情况分析。（满分50分，实得50分）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指标1：数量指标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指标值：完成全市电梯、起重、容器、管道、锅炉等一万五千余台特种设备的检验工作</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指标1：质量指标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指标值：向检验单位出具检验报告及合格证，对不符规定、不合格的设备要求单位整改到位</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指标1：时效指标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指标值：当年12月底前完成所有报检任务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④成本指标（满分10分，实得10分）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指标1：成本指标</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指标值：包含在职及聘用人员工资、奖金、五险一金，平日办公耗材、检验耗材、设备维修、及三公支出等</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①经济效益指标（满分10分，实得10分）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指标1：经济效益</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指标值：完成当年非税收入目标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②社会效益指标（满分10分，实得10分）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指标1：社会效益</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指标值：保障我市特种设备安全运行，保护了人民稳定有序生活</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③可持续影响指标（满分10分，实得10分）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指标1：可持续影响</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指标值：提升检验检测效率，保证检验检测质量</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经评价，2023年淮南市市场监督管理局特种设备检验日常运行管理项目绩效评价综合得分为99.6分，评价结果为“优”。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（十二）特种检验设备购置经费（满分100分，实得99.83分）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1.资金执行情况分析（满分10分，实得9.83分）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2023年特种检验设备购置经费预算总金额为241.36万元，</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实际执行数为237.16万元，预算执行率为98.26%。</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3"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（1）产出指标完成情况分析。（满分50分，实得50分）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①数量指标（满分15分，实得15分）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指标1：数量指标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值：日常办公设备购置约4万元（新进在职4人且需更换部分年限已到无法正常使用的电脑7台，约2.8万元；一台全自动装订机约0.8万元；打印机2台约0.4万元）；专用设备购置约216.36万元（按文件要求需购置电梯、容器、锅炉、起重等检验所需仪器设备）；公务用车购置约30万元（中心剩余2台购车指标，计划于今年按购车文件要求更换无法正常使用的检验车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②质量指标（满分15分，实得15分）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指标1：质量指标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指标值：设备按照技术标准验收合格，确保工作效率、工作质量逐步提高。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③时效指标（满分10分，实得10分）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指标1：时效指标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指标值：当年12月底前完成购置计划，按合同约定完成验收。</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④成本指标（满分10分，实得10分）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指标1：成本指标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指标值：按不高于中标价签订合同，总成本不超过预算。</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①经济效益指标（满分10分，实得10分）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指标1：经济效益</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指标值：完成当年非税收入目标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②社会效益指标（满分10分，实得10分）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指标1：社会效益</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指标值：用于提高工作效率，不断提升我中心对特种设备的检验检测能力，满足淮南市特种设备用户检验检测的需求，尽可能保障人民人身财产安全。</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③可持续影响指标（满分10分，实得10分）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指标1：可持续影响</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指标值：建立科学合理的资产配置制度，健全资产购买、使用、维修、处置机制；保障逐年提升的检验任务的按时保质完成，减少安全隐患。</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指标1：满意度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经评价，2023年淮南市市场监督管理局特种检验设备购置经费项目绩效评价综合得分为99.83分，评价结果为“优”。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3" w:firstLineChars="200"/>
        <w:jc w:val="left"/>
        <w:textAlignment w:val="auto"/>
        <w:outlineLvl w:val="9"/>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pPr>
      <w:r>
        <w:rPr>
          <w:rFonts w:hint="eastAsia" w:ascii="楷体_GB2312" w:hAnsi="楷体_GB2312" w:eastAsia="楷体_GB2312" w:cs="楷体_GB2312"/>
          <w:b/>
          <w:bCs/>
          <w:color w:val="000000"/>
          <w:spacing w:val="0"/>
          <w:w w:val="100"/>
          <w:kern w:val="2"/>
          <w:position w:val="0"/>
          <w:sz w:val="32"/>
          <w:szCs w:val="32"/>
          <w:highlight w:val="none"/>
          <w:shd w:val="clear" w:color="auto" w:fill="auto"/>
          <w:lang w:val="en-US" w:eastAsia="zh-CN" w:bidi="ar-SA"/>
        </w:rPr>
        <w:t>（十三）中央及省级食品药品(含医疗器械、化妆品)监管补助及抽检经费项目（满分100分，实得100分）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highlight w:val="none"/>
          <w:shd w:val="clear" w:color="auto" w:fill="auto"/>
          <w:lang w:val="en-US" w:eastAsia="zh-CN" w:bidi="en-US"/>
        </w:rPr>
        <w:t>1.资金执行情况分析（满分10分，实得1</w:t>
      </w:r>
      <w:r>
        <w:rPr>
          <w:rFonts w:hint="eastAsia" w:ascii="仿宋" w:hAnsi="仿宋" w:eastAsia="仿宋" w:cs="仿宋"/>
          <w:b/>
          <w:bCs/>
          <w:color w:val="000000"/>
          <w:spacing w:val="0"/>
          <w:w w:val="100"/>
          <w:kern w:val="0"/>
          <w:position w:val="0"/>
          <w:sz w:val="32"/>
          <w:szCs w:val="32"/>
          <w:shd w:val="clear" w:color="auto" w:fill="auto"/>
          <w:lang w:val="en-US" w:eastAsia="zh-CN" w:bidi="en-US"/>
        </w:rPr>
        <w:t>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2023年中央及省级食品药品(含医疗器械、化妆品)监管补助及抽检经费项目预算总金额为201.7万元，</w:t>
      </w: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实际执行数为201.7万元，预算执行率为100%。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3"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2.绩效目标完成情况分析（满分90分，实得90分）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（1）产出指标完成情况分析。（满分50分，实得50分）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①数量指标（满分30分，实得30分）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指标1：药品安全科技创新项目</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指标值：≥1个</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实际完成值：1个</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指标2：各市核查分中心开展高风险药械企业核查情况</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指标值：≥5家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w:t>
      </w:r>
      <w:r>
        <w:rPr>
          <w:rFonts w:hint="eastAsia" w:ascii="仿宋" w:hAnsi="仿宋" w:eastAsia="仿宋" w:cs="仿宋"/>
          <w:sz w:val="32"/>
          <w:szCs w:val="32"/>
          <w:lang w:val="en-US" w:eastAsia="zh-CN"/>
        </w:rPr>
        <w:t>35家</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w:t>
      </w:r>
      <w:r>
        <w:rPr>
          <w:rFonts w:hint="eastAsia" w:ascii="仿宋" w:hAnsi="仿宋" w:eastAsia="仿宋" w:cs="仿宋"/>
          <w:sz w:val="32"/>
          <w:szCs w:val="32"/>
          <w:lang w:val="en-US" w:eastAsia="zh-CN"/>
        </w:rPr>
        <w:t>3</w:t>
      </w:r>
      <w:r>
        <w:rPr>
          <w:rFonts w:hint="default" w:ascii="仿宋" w:hAnsi="仿宋" w:eastAsia="仿宋" w:cs="仿宋"/>
          <w:sz w:val="32"/>
          <w:szCs w:val="32"/>
          <w:lang w:val="en-US" w:eastAsia="zh-CN"/>
        </w:rPr>
        <w:t>：组织开展技能竞赛</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w:t>
      </w:r>
      <w:r>
        <w:rPr>
          <w:rFonts w:hint="eastAsia" w:ascii="仿宋" w:hAnsi="仿宋" w:eastAsia="仿宋" w:cs="仿宋"/>
          <w:sz w:val="32"/>
          <w:szCs w:val="32"/>
          <w:lang w:val="en-US" w:eastAsia="zh-CN"/>
        </w:rPr>
        <w:t>1次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实际完成值：</w:t>
      </w:r>
      <w:r>
        <w:rPr>
          <w:rFonts w:hint="eastAsia" w:ascii="仿宋" w:hAnsi="仿宋" w:eastAsia="仿宋" w:cs="仿宋"/>
          <w:sz w:val="32"/>
          <w:szCs w:val="32"/>
          <w:lang w:val="en-US" w:eastAsia="zh-CN"/>
        </w:rPr>
        <w:t>1次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指标4：药品不良反应监测百万人口报告数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指标值：≥1175份</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实际完成值：2144份</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指标5：医疗器械不良事件监测百万人口报告数</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指标值：≥300份</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实际完成值：653份</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w:t>
      </w:r>
      <w:r>
        <w:rPr>
          <w:rFonts w:hint="eastAsia" w:ascii="仿宋" w:hAnsi="仿宋" w:eastAsia="仿宋" w:cs="仿宋"/>
          <w:sz w:val="32"/>
          <w:szCs w:val="32"/>
          <w:lang w:val="en-US" w:eastAsia="zh-CN"/>
        </w:rPr>
        <w:t>6</w:t>
      </w:r>
      <w:r>
        <w:rPr>
          <w:rFonts w:hint="default" w:ascii="仿宋" w:hAnsi="仿宋" w:eastAsia="仿宋" w:cs="仿宋"/>
          <w:sz w:val="32"/>
          <w:szCs w:val="32"/>
          <w:lang w:val="en-US" w:eastAsia="zh-CN"/>
        </w:rPr>
        <w:t>：化妆品不良反应报告和监测</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指标值：百万人口数达150份</w:t>
      </w:r>
    </w:p>
    <w:p>
      <w:pPr>
        <w:keepNext w:val="0"/>
        <w:keepLines w:val="0"/>
        <w:pageBreakBefore w:val="0"/>
        <w:kinsoku/>
        <w:wordWrap/>
        <w:overflowPunct/>
        <w:topLinePunct w:val="0"/>
        <w:autoSpaceDE/>
        <w:autoSpaceDN/>
        <w:bidi w:val="0"/>
        <w:adjustRightInd/>
        <w:spacing w:line="600" w:lineRule="exact"/>
        <w:ind w:left="973" w:leftChars="304"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实际完成值339份</w:t>
      </w:r>
    </w:p>
    <w:p>
      <w:pPr>
        <w:keepNext w:val="0"/>
        <w:keepLines w:val="0"/>
        <w:pageBreakBefore w:val="0"/>
        <w:kinsoku/>
        <w:wordWrap/>
        <w:overflowPunct/>
        <w:topLinePunct w:val="0"/>
        <w:autoSpaceDE/>
        <w:autoSpaceDN/>
        <w:bidi w:val="0"/>
        <w:adjustRightInd/>
        <w:spacing w:line="600" w:lineRule="exact"/>
        <w:ind w:left="973" w:leftChars="304" w:firstLine="0" w:firstLineChars="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指标7：省级药品日常监督抽样（批次）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指标值：≥365</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实际完成值：365</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w:t>
      </w:r>
      <w:r>
        <w:rPr>
          <w:rFonts w:hint="eastAsia" w:ascii="仿宋" w:hAnsi="仿宋" w:eastAsia="仿宋" w:cs="仿宋"/>
          <w:sz w:val="32"/>
          <w:szCs w:val="32"/>
          <w:lang w:val="en-US" w:eastAsia="zh-CN"/>
        </w:rPr>
        <w:t>8</w:t>
      </w:r>
      <w:r>
        <w:rPr>
          <w:rFonts w:hint="default" w:ascii="仿宋" w:hAnsi="仿宋" w:eastAsia="仿宋" w:cs="仿宋"/>
          <w:sz w:val="32"/>
          <w:szCs w:val="32"/>
          <w:lang w:val="en-US" w:eastAsia="zh-CN"/>
        </w:rPr>
        <w:t>：省级医疗器械监督抽检（批次）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指标值：≥</w:t>
      </w:r>
      <w:r>
        <w:rPr>
          <w:rFonts w:hint="eastAsia" w:ascii="仿宋" w:hAnsi="仿宋" w:eastAsia="仿宋" w:cs="仿宋"/>
          <w:sz w:val="32"/>
          <w:szCs w:val="32"/>
          <w:lang w:val="en-US" w:eastAsia="zh-CN"/>
        </w:rPr>
        <w:t>20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实际完成值：</w:t>
      </w:r>
      <w:r>
        <w:rPr>
          <w:rFonts w:hint="eastAsia" w:ascii="仿宋" w:hAnsi="仿宋" w:eastAsia="仿宋" w:cs="仿宋"/>
          <w:sz w:val="32"/>
          <w:szCs w:val="32"/>
          <w:lang w:val="en-US" w:eastAsia="zh-CN"/>
        </w:rPr>
        <w:t>20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w:t>
      </w:r>
      <w:r>
        <w:rPr>
          <w:rFonts w:hint="eastAsia" w:ascii="仿宋" w:hAnsi="仿宋" w:eastAsia="仿宋" w:cs="仿宋"/>
          <w:sz w:val="32"/>
          <w:szCs w:val="32"/>
          <w:lang w:val="en-US" w:eastAsia="zh-CN"/>
        </w:rPr>
        <w:t>9</w:t>
      </w:r>
      <w:r>
        <w:rPr>
          <w:rFonts w:hint="default" w:ascii="仿宋" w:hAnsi="仿宋" w:eastAsia="仿宋" w:cs="仿宋"/>
          <w:sz w:val="32"/>
          <w:szCs w:val="32"/>
          <w:lang w:val="en-US" w:eastAsia="zh-CN"/>
        </w:rPr>
        <w:t>：省级化妆品监督抽检（批次）</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default" w:ascii="仿宋" w:hAnsi="仿宋" w:eastAsia="仿宋" w:cs="仿宋"/>
          <w:sz w:val="32"/>
          <w:szCs w:val="32"/>
          <w:lang w:val="en-US" w:eastAsia="zh-CN"/>
        </w:rPr>
        <w:t>指标值：≥1</w:t>
      </w:r>
      <w:r>
        <w:rPr>
          <w:rFonts w:hint="eastAsia" w:ascii="仿宋" w:hAnsi="仿宋" w:eastAsia="仿宋" w:cs="仿宋"/>
          <w:sz w:val="32"/>
          <w:szCs w:val="32"/>
          <w:lang w:val="en-US" w:eastAsia="zh-CN"/>
        </w:rPr>
        <w:t>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w:t>
      </w:r>
      <w:r>
        <w:rPr>
          <w:rFonts w:hint="eastAsia" w:ascii="仿宋" w:hAnsi="仿宋" w:eastAsia="仿宋" w:cs="仿宋"/>
          <w:sz w:val="32"/>
          <w:szCs w:val="32"/>
          <w:lang w:val="en-US" w:eastAsia="zh-CN"/>
        </w:rPr>
        <w:t>10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②质量指标（满分15分，实得15分）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指标1：药品不良反应报告县比例</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指标值：≥85%</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实际完成值：90%</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指标2：抽检工作合规性</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指标值：符合规范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实际完成值：符合规范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指标3：药品不良反应报告质量</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指标值：符合规范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实际完成值：符合规范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指标4：医疗器械不良反应报告质量</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指标值：符合规范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实际完成值：符合规范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指标5：化妆品不良反应报告质量</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指标值：符合规范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实际完成值：符合规范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③时效指标（满分3分，实得3分）</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指标1：完成时限</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指标值：2023年12月31日前</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实际完成值：2023年12月31日前</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④成本指标（满分2分，实得2分）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指标1：项目总成本</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指标值：不超过预算</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实际完成值：达成预期指标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shd w:val="clear" w:color="auto" w:fill="auto"/>
          <w:lang w:val="en-US" w:eastAsia="zh-CN" w:bidi="en-US"/>
        </w:rPr>
      </w:pPr>
      <w:r>
        <w:rPr>
          <w:rFonts w:hint="eastAsia" w:ascii="仿宋" w:hAnsi="仿宋" w:eastAsia="仿宋" w:cs="仿宋"/>
          <w:color w:val="000000"/>
          <w:spacing w:val="0"/>
          <w:w w:val="100"/>
          <w:kern w:val="0"/>
          <w:position w:val="0"/>
          <w:sz w:val="32"/>
          <w:szCs w:val="32"/>
          <w:shd w:val="clear" w:color="auto" w:fill="auto"/>
          <w:lang w:val="en-US" w:eastAsia="zh-CN" w:bidi="en-US"/>
        </w:rPr>
        <w:t>（2）效益指标（满分30分，实得30分）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①社会效益指标（满分15分，实得15分）</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指标1：药品安全水平</w:t>
      </w:r>
    </w:p>
    <w:p>
      <w:pPr>
        <w:keepNext w:val="0"/>
        <w:keepLines w:val="0"/>
        <w:pageBreakBefore w:val="0"/>
        <w:widowControl/>
        <w:kinsoku/>
        <w:wordWrap/>
        <w:overflowPunct/>
        <w:topLinePunct w:val="0"/>
        <w:autoSpaceDE/>
        <w:autoSpaceDN/>
        <w:bidi w:val="0"/>
        <w:adjustRightInd/>
        <w:spacing w:line="600" w:lineRule="exact"/>
        <w:ind w:right="-283"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指标值：逐步提高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实际完成值：逐步提高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w:t>
      </w:r>
      <w:r>
        <w:rPr>
          <w:rFonts w:hint="eastAsia" w:ascii="仿宋" w:hAnsi="仿宋" w:eastAsia="仿宋" w:cs="仿宋"/>
          <w:sz w:val="32"/>
          <w:szCs w:val="32"/>
          <w:lang w:val="en-US" w:eastAsia="zh-CN"/>
        </w:rPr>
        <w:t>2</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医疗器械</w:t>
      </w:r>
      <w:r>
        <w:rPr>
          <w:rFonts w:hint="default" w:ascii="仿宋" w:hAnsi="仿宋" w:eastAsia="仿宋" w:cs="仿宋"/>
          <w:sz w:val="32"/>
          <w:szCs w:val="32"/>
          <w:lang w:val="en-US" w:eastAsia="zh-CN"/>
        </w:rPr>
        <w:t>安全水平</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指标值：逐步提高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实际完成值：逐步提高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w:t>
      </w:r>
      <w:r>
        <w:rPr>
          <w:rFonts w:hint="eastAsia" w:ascii="仿宋" w:hAnsi="仿宋" w:eastAsia="仿宋" w:cs="仿宋"/>
          <w:sz w:val="32"/>
          <w:szCs w:val="32"/>
          <w:lang w:val="en-US" w:eastAsia="zh-CN"/>
        </w:rPr>
        <w:t>3</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化妆品</w:t>
      </w:r>
      <w:r>
        <w:rPr>
          <w:rFonts w:hint="default" w:ascii="仿宋" w:hAnsi="仿宋" w:eastAsia="仿宋" w:cs="仿宋"/>
          <w:sz w:val="32"/>
          <w:szCs w:val="32"/>
          <w:lang w:val="en-US" w:eastAsia="zh-CN"/>
        </w:rPr>
        <w:t>安全水平</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指标值：逐步提高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实际完成值：逐步提高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②</w:t>
      </w:r>
      <w:r>
        <w:rPr>
          <w:rFonts w:hint="eastAsia" w:ascii="仿宋" w:hAnsi="仿宋" w:eastAsia="仿宋" w:cs="仿宋"/>
          <w:sz w:val="32"/>
          <w:szCs w:val="32"/>
          <w:lang w:val="en-US" w:eastAsia="zh-CN"/>
        </w:rPr>
        <w:t>可持续影响指标</w:t>
      </w:r>
      <w:r>
        <w:rPr>
          <w:rFonts w:hint="default" w:ascii="仿宋" w:hAnsi="仿宋" w:eastAsia="仿宋" w:cs="仿宋"/>
          <w:sz w:val="32"/>
          <w:szCs w:val="32"/>
          <w:lang w:val="en-US" w:eastAsia="zh-CN"/>
        </w:rPr>
        <w:t>（满分</w:t>
      </w:r>
      <w:r>
        <w:rPr>
          <w:rFonts w:hint="eastAsia" w:ascii="仿宋" w:hAnsi="仿宋" w:eastAsia="仿宋" w:cs="仿宋"/>
          <w:sz w:val="32"/>
          <w:szCs w:val="32"/>
          <w:lang w:val="en-US" w:eastAsia="zh-CN"/>
        </w:rPr>
        <w:t>15</w:t>
      </w:r>
      <w:r>
        <w:rPr>
          <w:rFonts w:hint="default" w:ascii="仿宋" w:hAnsi="仿宋" w:eastAsia="仿宋" w:cs="仿宋"/>
          <w:sz w:val="32"/>
          <w:szCs w:val="32"/>
          <w:lang w:val="en-US" w:eastAsia="zh-CN"/>
        </w:rPr>
        <w:t>分，实得</w:t>
      </w:r>
      <w:r>
        <w:rPr>
          <w:rFonts w:hint="eastAsia" w:ascii="仿宋" w:hAnsi="仿宋" w:eastAsia="仿宋" w:cs="仿宋"/>
          <w:sz w:val="32"/>
          <w:szCs w:val="32"/>
          <w:lang w:val="en-US" w:eastAsia="zh-CN"/>
        </w:rPr>
        <w:t>15</w:t>
      </w:r>
      <w:r>
        <w:rPr>
          <w:rFonts w:hint="default" w:ascii="仿宋" w:hAnsi="仿宋" w:eastAsia="仿宋" w:cs="仿宋"/>
          <w:sz w:val="32"/>
          <w:szCs w:val="32"/>
          <w:lang w:val="en-US" w:eastAsia="zh-CN"/>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指标1：药品安全监管能力</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w:t>
      </w:r>
      <w:r>
        <w:rPr>
          <w:rFonts w:hint="eastAsia" w:ascii="仿宋" w:hAnsi="仿宋" w:eastAsia="仿宋" w:cs="仿宋"/>
          <w:sz w:val="32"/>
          <w:szCs w:val="32"/>
          <w:lang w:val="en-US" w:eastAsia="zh-CN"/>
        </w:rPr>
        <w:t>不断提升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实际完成值：不断提升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指标2：</w:t>
      </w:r>
      <w:r>
        <w:rPr>
          <w:rFonts w:hint="eastAsia" w:ascii="仿宋" w:hAnsi="仿宋" w:eastAsia="仿宋" w:cs="仿宋"/>
          <w:sz w:val="32"/>
          <w:szCs w:val="32"/>
          <w:lang w:val="en-US" w:eastAsia="zh-CN"/>
        </w:rPr>
        <w:t>医疗器械</w:t>
      </w:r>
      <w:r>
        <w:rPr>
          <w:rFonts w:hint="default" w:ascii="仿宋" w:hAnsi="仿宋" w:eastAsia="仿宋" w:cs="仿宋"/>
          <w:sz w:val="32"/>
          <w:szCs w:val="32"/>
          <w:lang w:val="en-US" w:eastAsia="zh-CN"/>
        </w:rPr>
        <w:t>安全监管能力</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指标值：不断提升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实际完成值：不断提升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指标3：</w:t>
      </w:r>
      <w:r>
        <w:rPr>
          <w:rFonts w:hint="eastAsia" w:ascii="仿宋" w:hAnsi="仿宋" w:eastAsia="仿宋" w:cs="仿宋"/>
          <w:sz w:val="32"/>
          <w:szCs w:val="32"/>
          <w:lang w:val="en-US" w:eastAsia="zh-CN"/>
        </w:rPr>
        <w:t>化妆品</w:t>
      </w:r>
      <w:r>
        <w:rPr>
          <w:rFonts w:hint="default" w:ascii="仿宋" w:hAnsi="仿宋" w:eastAsia="仿宋" w:cs="仿宋"/>
          <w:sz w:val="32"/>
          <w:szCs w:val="32"/>
          <w:lang w:val="en-US" w:eastAsia="zh-CN"/>
        </w:rPr>
        <w:t>安全监管能力</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指标值：不断提升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实际完成值：不断提升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（3）满意度指标（满分10分，实得10分）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①满意度指标（满分10分，实得10分）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94" w:lineRule="exact"/>
        <w:ind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指标1：服务对象对药品安全监管工作满意度</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指标值：≥90%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default"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实际完成值：90%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3" w:firstLineChars="200"/>
        <w:jc w:val="left"/>
        <w:textAlignment w:val="auto"/>
        <w:outlineLvl w:val="9"/>
        <w:rPr>
          <w:rFonts w:hint="eastAsia" w:ascii="仿宋" w:hAnsi="仿宋" w:eastAsia="仿宋" w:cs="仿宋"/>
          <w:b/>
          <w:bCs/>
          <w:color w:val="000000"/>
          <w:spacing w:val="0"/>
          <w:w w:val="100"/>
          <w:kern w:val="0"/>
          <w:position w:val="0"/>
          <w:sz w:val="32"/>
          <w:szCs w:val="32"/>
          <w:shd w:val="clear" w:color="auto" w:fill="auto"/>
          <w:lang w:val="en-US" w:eastAsia="zh-CN" w:bidi="en-US"/>
        </w:rPr>
      </w:pPr>
      <w:r>
        <w:rPr>
          <w:rFonts w:hint="eastAsia" w:ascii="仿宋" w:hAnsi="仿宋" w:eastAsia="仿宋" w:cs="仿宋"/>
          <w:b/>
          <w:bCs/>
          <w:color w:val="000000"/>
          <w:spacing w:val="0"/>
          <w:w w:val="100"/>
          <w:kern w:val="0"/>
          <w:position w:val="0"/>
          <w:sz w:val="32"/>
          <w:szCs w:val="32"/>
          <w:shd w:val="clear" w:color="auto" w:fill="auto"/>
          <w:lang w:val="en-US" w:eastAsia="zh-CN" w:bidi="en-US"/>
        </w:rPr>
        <w:t>3.评价结果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right="0" w:rightChars="0" w:firstLine="640" w:firstLineChars="2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经评价，2023年淮南市市场监督管理局淮南市食品药品检验中心药品检验能力达标建设项目项目绩效评价综合得分为99.89分，评价结果为“优”。</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黑体" w:hAnsi="黑体" w:eastAsia="黑体" w:cs="黑体"/>
          <w:color w:val="000000"/>
          <w:spacing w:val="0"/>
          <w:w w:val="100"/>
          <w:kern w:val="0"/>
          <w:position w:val="0"/>
          <w:sz w:val="32"/>
          <w:szCs w:val="32"/>
          <w:shd w:val="clear" w:color="auto" w:fill="auto"/>
          <w:lang w:val="en-US" w:eastAsia="zh-CN" w:bidi="en-US"/>
        </w:rPr>
      </w:pPr>
      <w:r>
        <w:rPr>
          <w:rFonts w:hint="eastAsia" w:ascii="黑体" w:hAnsi="黑体" w:eastAsia="黑体" w:cs="黑体"/>
          <w:color w:val="000000"/>
          <w:spacing w:val="0"/>
          <w:w w:val="100"/>
          <w:kern w:val="0"/>
          <w:position w:val="0"/>
          <w:sz w:val="32"/>
          <w:szCs w:val="32"/>
          <w:shd w:val="clear" w:color="auto" w:fill="auto"/>
          <w:lang w:val="en-US" w:eastAsia="zh-CN" w:bidi="en-US"/>
        </w:rPr>
        <w:t>三</w:t>
      </w:r>
      <w:r>
        <w:rPr>
          <w:rFonts w:hint="eastAsia" w:ascii="黑体" w:hAnsi="黑体" w:eastAsia="黑体" w:cs="黑体"/>
          <w:color w:val="000000"/>
          <w:spacing w:val="0"/>
          <w:w w:val="100"/>
          <w:kern w:val="0"/>
          <w:position w:val="0"/>
          <w:sz w:val="32"/>
          <w:szCs w:val="32"/>
          <w:shd w:val="clear" w:color="auto" w:fill="auto"/>
          <w:lang w:val="zh-CN" w:eastAsia="zh-CN" w:bidi="en-US"/>
        </w:rPr>
        <w:t>、</w:t>
      </w:r>
      <w:r>
        <w:rPr>
          <w:rFonts w:hint="eastAsia" w:ascii="黑体" w:hAnsi="黑体" w:eastAsia="黑体" w:cs="黑体"/>
          <w:color w:val="000000"/>
          <w:spacing w:val="0"/>
          <w:w w:val="100"/>
          <w:kern w:val="0"/>
          <w:position w:val="0"/>
          <w:sz w:val="32"/>
          <w:szCs w:val="32"/>
          <w:shd w:val="clear" w:color="auto" w:fill="auto"/>
          <w:lang w:val="en-US" w:eastAsia="zh-CN" w:bidi="en-US"/>
        </w:rPr>
        <w:t>自评结果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640" w:firstLineChars="200"/>
        <w:jc w:val="left"/>
        <w:textAlignment w:val="auto"/>
        <w:outlineLvl w:val="9"/>
        <w:rPr>
          <w:rFonts w:hint="eastAsia" w:ascii="仿宋_GB2312" w:hAnsi="仿宋_GB2312" w:eastAsia="仿宋_GB2312" w:cs="仿宋_GB2312"/>
          <w:color w:val="auto"/>
          <w:spacing w:val="0"/>
          <w:w w:val="100"/>
          <w:kern w:val="2"/>
          <w:position w:val="0"/>
          <w:sz w:val="32"/>
          <w:szCs w:val="32"/>
          <w:shd w:val="clear" w:color="auto" w:fill="auto"/>
          <w:lang w:val="en-US" w:eastAsia="zh-CN" w:bidi="ar-SA"/>
        </w:rPr>
      </w:pPr>
      <w:r>
        <w:rPr>
          <w:rFonts w:hint="eastAsia" w:ascii="仿宋_GB2312" w:hAnsi="仿宋_GB2312" w:eastAsia="仿宋_GB2312" w:cs="仿宋_GB2312"/>
          <w:color w:val="auto"/>
          <w:spacing w:val="0"/>
          <w:w w:val="100"/>
          <w:kern w:val="2"/>
          <w:position w:val="0"/>
          <w:sz w:val="32"/>
          <w:szCs w:val="32"/>
          <w:shd w:val="clear" w:color="auto" w:fill="auto"/>
          <w:lang w:val="en-US" w:eastAsia="zh-CN" w:bidi="ar-SA"/>
        </w:rPr>
        <w:t>我部门2023年度各项目绩效目标基本合理，较好完成了目标任务，达到了预期绩效目标。我局将根据此项绩效评价结果，及时总结管理经验，完善管理办法，提高管理水平和资金使用效率。</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黑体" w:hAnsi="黑体" w:eastAsia="黑体" w:cs="黑体"/>
          <w:color w:val="000000"/>
          <w:spacing w:val="0"/>
          <w:w w:val="100"/>
          <w:kern w:val="0"/>
          <w:position w:val="0"/>
          <w:sz w:val="32"/>
          <w:szCs w:val="32"/>
          <w:shd w:val="clear" w:color="auto" w:fill="auto"/>
          <w:lang w:eastAsia="en-US" w:bidi="en-US"/>
        </w:rPr>
      </w:pPr>
      <w:r>
        <w:rPr>
          <w:rFonts w:hint="eastAsia" w:ascii="黑体" w:hAnsi="黑体" w:eastAsia="黑体" w:cs="黑体"/>
          <w:color w:val="000000"/>
          <w:spacing w:val="0"/>
          <w:w w:val="100"/>
          <w:kern w:val="0"/>
          <w:position w:val="0"/>
          <w:sz w:val="32"/>
          <w:szCs w:val="32"/>
          <w:shd w:val="clear" w:color="auto" w:fill="auto"/>
          <w:lang w:eastAsia="en-US" w:bidi="en-US"/>
        </w:rPr>
        <w:t>四、存在问题</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主要表现在：</w:t>
      </w:r>
      <w:r>
        <w:rPr>
          <w:rFonts w:hint="eastAsia" w:ascii="仿宋" w:hAnsi="仿宋" w:eastAsia="仿宋" w:cs="仿宋"/>
          <w:color w:val="000000"/>
          <w:sz w:val="32"/>
          <w:szCs w:val="32"/>
          <w:lang w:val="en-US" w:eastAsia="zh-CN"/>
        </w:rPr>
        <w:t>预算编制水平有待进一步提升，预估的绩效指标和实际完成值存在一定差异，部分任务未按照计划开展，预算执行进度未达预期。</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right="0" w:firstLine="640" w:firstLineChars="200"/>
        <w:jc w:val="left"/>
        <w:textAlignment w:val="auto"/>
        <w:rPr>
          <w:rFonts w:hint="eastAsia" w:ascii="黑体" w:hAnsi="黑体" w:eastAsia="黑体" w:cs="黑体"/>
          <w:color w:val="000000"/>
          <w:spacing w:val="0"/>
          <w:w w:val="100"/>
          <w:kern w:val="0"/>
          <w:position w:val="0"/>
          <w:sz w:val="32"/>
          <w:szCs w:val="32"/>
          <w:shd w:val="clear" w:color="auto" w:fill="auto"/>
          <w:lang w:val="en-US" w:eastAsia="zh-CN" w:bidi="en-US"/>
        </w:rPr>
      </w:pPr>
      <w:r>
        <w:rPr>
          <w:rFonts w:hint="eastAsia" w:ascii="黑体" w:hAnsi="黑体" w:eastAsia="黑体" w:cs="黑体"/>
          <w:color w:val="000000"/>
          <w:spacing w:val="0"/>
          <w:w w:val="100"/>
          <w:kern w:val="0"/>
          <w:position w:val="0"/>
          <w:sz w:val="32"/>
          <w:szCs w:val="32"/>
          <w:shd w:val="clear" w:color="auto" w:fill="auto"/>
          <w:lang w:eastAsia="en-US" w:bidi="en-US"/>
        </w:rPr>
        <w:t>五、</w:t>
      </w:r>
      <w:r>
        <w:rPr>
          <w:rFonts w:hint="eastAsia" w:ascii="黑体" w:hAnsi="黑体" w:eastAsia="黑体" w:cs="黑体"/>
          <w:color w:val="000000"/>
          <w:spacing w:val="0"/>
          <w:w w:val="100"/>
          <w:kern w:val="0"/>
          <w:position w:val="0"/>
          <w:sz w:val="32"/>
          <w:szCs w:val="32"/>
          <w:shd w:val="clear" w:color="auto" w:fill="auto"/>
          <w:lang w:val="en-US" w:eastAsia="zh-CN" w:bidi="en-US"/>
        </w:rPr>
        <w:t>改进措施</w:t>
      </w:r>
    </w:p>
    <w:p>
      <w:pPr>
        <w:keepNext w:val="0"/>
        <w:keepLines w:val="0"/>
        <w:pageBreakBefore w:val="0"/>
        <w:widowControl/>
        <w:kinsoku/>
        <w:wordWrap/>
        <w:overflowPunct/>
        <w:topLinePunct w:val="0"/>
        <w:autoSpaceDE/>
        <w:autoSpaceDN/>
        <w:bidi w:val="0"/>
        <w:adjustRightInd/>
        <w:spacing w:line="600" w:lineRule="exact"/>
        <w:ind w:firstLine="640" w:firstLineChars="200"/>
        <w:jc w:val="left"/>
        <w:textAlignment w:val="auto"/>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下一步我局将对自评中发现的问题及时进行反馈整改，</w:t>
      </w:r>
      <w:r>
        <w:rPr>
          <w:rFonts w:hint="eastAsia" w:ascii="仿宋" w:hAnsi="仿宋" w:eastAsia="仿宋" w:cs="仿宋"/>
          <w:color w:val="000000"/>
          <w:sz w:val="32"/>
          <w:szCs w:val="32"/>
        </w:rPr>
        <w:t>一是提高申报主体绩效意识，改善申报质量，科学合理编制预算；二是强化项目执行监督管理，争取项目按计划执行</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三是加大人员培训力度，提升监管部门财务人员和专业人员相关业务能力及绩效管理水平。</w:t>
      </w:r>
    </w:p>
    <w:p>
      <w:pPr>
        <w:keepNext w:val="0"/>
        <w:keepLines w:val="0"/>
        <w:pageBreakBefore w:val="0"/>
        <w:kinsoku/>
        <w:wordWrap/>
        <w:overflowPunct/>
        <w:topLinePunct w:val="0"/>
        <w:autoSpaceDE/>
        <w:autoSpaceDN/>
        <w:bidi w:val="0"/>
        <w:adjustRightInd/>
        <w:ind w:firstLine="640" w:firstLineChars="200"/>
        <w:jc w:val="left"/>
        <w:textAlignment w:val="auto"/>
        <w:rPr>
          <w:rFonts w:hint="eastAsia" w:ascii="仿宋" w:hAnsi="仿宋" w:eastAsia="仿宋" w:cs="仿宋"/>
        </w:rPr>
      </w:pPr>
    </w:p>
    <w:p>
      <w:pPr>
        <w:keepNext w:val="0"/>
        <w:keepLines w:val="0"/>
        <w:pageBreakBefore w:val="0"/>
        <w:kinsoku/>
        <w:wordWrap/>
        <w:overflowPunct/>
        <w:topLinePunct w:val="0"/>
        <w:autoSpaceDE/>
        <w:autoSpaceDN/>
        <w:bidi w:val="0"/>
        <w:adjustRightInd/>
        <w:ind w:firstLine="640" w:firstLineChars="200"/>
        <w:jc w:val="left"/>
        <w:textAlignment w:val="auto"/>
        <w:rPr>
          <w:rFonts w:hint="eastAsia" w:ascii="仿宋" w:hAnsi="仿宋" w:eastAsia="仿宋" w:cs="仿宋"/>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4800" w:firstLineChars="1500"/>
        <w:jc w:val="left"/>
        <w:textAlignment w:val="auto"/>
        <w:outlineLvl w:val="9"/>
        <w:rPr>
          <w:rFonts w:hint="eastAsia"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淮南市市场监督管理局</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60" w:lineRule="exact"/>
        <w:ind w:left="0" w:leftChars="0" w:right="0" w:rightChars="0" w:firstLine="5120" w:firstLineChars="1600"/>
        <w:jc w:val="left"/>
        <w:textAlignment w:val="auto"/>
        <w:outlineLvl w:val="9"/>
        <w:rPr>
          <w:rFonts w:hint="default" w:ascii="仿宋" w:hAnsi="仿宋" w:eastAsia="仿宋" w:cs="仿宋"/>
          <w:color w:val="000000"/>
          <w:spacing w:val="0"/>
          <w:w w:val="100"/>
          <w:kern w:val="0"/>
          <w:position w:val="0"/>
          <w:sz w:val="32"/>
          <w:szCs w:val="32"/>
          <w:highlight w:val="none"/>
          <w:shd w:val="clear" w:color="auto" w:fill="auto"/>
          <w:lang w:val="en-US" w:eastAsia="zh-CN" w:bidi="en-US"/>
        </w:rPr>
      </w:pPr>
      <w:r>
        <w:rPr>
          <w:rFonts w:hint="eastAsia" w:ascii="仿宋" w:hAnsi="仿宋" w:eastAsia="仿宋" w:cs="仿宋"/>
          <w:color w:val="000000"/>
          <w:spacing w:val="0"/>
          <w:w w:val="100"/>
          <w:kern w:val="0"/>
          <w:position w:val="0"/>
          <w:sz w:val="32"/>
          <w:szCs w:val="32"/>
          <w:highlight w:val="none"/>
          <w:shd w:val="clear" w:color="auto" w:fill="auto"/>
          <w:lang w:val="en-US" w:eastAsia="zh-CN" w:bidi="en-US"/>
        </w:rPr>
        <w:t>2024年5月30日</w:t>
      </w:r>
    </w:p>
    <w:p>
      <w:pPr>
        <w:keepNext w:val="0"/>
        <w:keepLines w:val="0"/>
        <w:pageBreakBefore w:val="0"/>
        <w:kinsoku/>
        <w:wordWrap/>
        <w:overflowPunct/>
        <w:topLinePunct w:val="0"/>
        <w:autoSpaceDE/>
        <w:autoSpaceDN/>
        <w:bidi w:val="0"/>
        <w:adjustRightInd/>
        <w:ind w:firstLine="640" w:firstLineChars="200"/>
        <w:jc w:val="left"/>
        <w:textAlignment w:val="auto"/>
        <w:rPr>
          <w:rFonts w:hint="eastAsia" w:ascii="仿宋" w:hAnsi="仿宋" w:eastAsia="仿宋" w:cs="仿宋"/>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bookmarkStart w:id="0" w:name="_GoBack"/>
      <w:bookmarkEnd w:id="0"/>
      <w:r>
        <w:drawing>
          <wp:anchor distT="0" distB="0" distL="114300" distR="114300" simplePos="0" relativeHeight="251660288" behindDoc="0" locked="0" layoutInCell="1" allowOverlap="1">
            <wp:simplePos x="0" y="0"/>
            <wp:positionH relativeFrom="column">
              <wp:posOffset>57150</wp:posOffset>
            </wp:positionH>
            <wp:positionV relativeFrom="paragraph">
              <wp:posOffset>609600</wp:posOffset>
            </wp:positionV>
            <wp:extent cx="5267960" cy="7966710"/>
            <wp:effectExtent l="0" t="0" r="8890" b="15240"/>
            <wp:wrapSquare wrapText="bothSides"/>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4"/>
                    <a:stretch>
                      <a:fillRect/>
                    </a:stretch>
                  </pic:blipFill>
                  <pic:spPr>
                    <a:xfrm>
                      <a:off x="0" y="0"/>
                      <a:ext cx="5267960" cy="796671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1312" behindDoc="0" locked="0" layoutInCell="1" allowOverlap="1">
            <wp:simplePos x="0" y="0"/>
            <wp:positionH relativeFrom="column">
              <wp:posOffset>209550</wp:posOffset>
            </wp:positionH>
            <wp:positionV relativeFrom="paragraph">
              <wp:posOffset>224155</wp:posOffset>
            </wp:positionV>
            <wp:extent cx="5265420" cy="8272145"/>
            <wp:effectExtent l="0" t="0" r="11430" b="14605"/>
            <wp:wrapSquare wrapText="bothSides"/>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5"/>
                    <a:stretch>
                      <a:fillRect/>
                    </a:stretch>
                  </pic:blipFill>
                  <pic:spPr>
                    <a:xfrm>
                      <a:off x="0" y="0"/>
                      <a:ext cx="5265420" cy="827214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2336" behindDoc="0" locked="0" layoutInCell="1" allowOverlap="1">
            <wp:simplePos x="0" y="0"/>
            <wp:positionH relativeFrom="column">
              <wp:posOffset>9525</wp:posOffset>
            </wp:positionH>
            <wp:positionV relativeFrom="paragraph">
              <wp:posOffset>152400</wp:posOffset>
            </wp:positionV>
            <wp:extent cx="5271770" cy="8129905"/>
            <wp:effectExtent l="0" t="0" r="5080" b="4445"/>
            <wp:wrapSquare wrapText="bothSides"/>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6"/>
                    <a:stretch>
                      <a:fillRect/>
                    </a:stretch>
                  </pic:blipFill>
                  <pic:spPr>
                    <a:xfrm>
                      <a:off x="0" y="0"/>
                      <a:ext cx="5271770" cy="812990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3360" behindDoc="0" locked="0" layoutInCell="1" allowOverlap="1">
            <wp:simplePos x="0" y="0"/>
            <wp:positionH relativeFrom="column">
              <wp:posOffset>-76200</wp:posOffset>
            </wp:positionH>
            <wp:positionV relativeFrom="paragraph">
              <wp:posOffset>353060</wp:posOffset>
            </wp:positionV>
            <wp:extent cx="5272405" cy="8001000"/>
            <wp:effectExtent l="0" t="0" r="4445" b="0"/>
            <wp:wrapSquare wrapText="bothSides"/>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
                    <a:stretch>
                      <a:fillRect/>
                    </a:stretch>
                  </pic:blipFill>
                  <pic:spPr>
                    <a:xfrm>
                      <a:off x="0" y="0"/>
                      <a:ext cx="5272405" cy="800100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4384" behindDoc="0" locked="0" layoutInCell="1" allowOverlap="1">
            <wp:simplePos x="0" y="0"/>
            <wp:positionH relativeFrom="column">
              <wp:posOffset>-66675</wp:posOffset>
            </wp:positionH>
            <wp:positionV relativeFrom="paragraph">
              <wp:posOffset>276225</wp:posOffset>
            </wp:positionV>
            <wp:extent cx="5270500" cy="8114665"/>
            <wp:effectExtent l="0" t="0" r="6350" b="635"/>
            <wp:wrapSquare wrapText="bothSides"/>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8"/>
                    <a:stretch>
                      <a:fillRect/>
                    </a:stretch>
                  </pic:blipFill>
                  <pic:spPr>
                    <a:xfrm>
                      <a:off x="0" y="0"/>
                      <a:ext cx="5270500" cy="811466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314325</wp:posOffset>
            </wp:positionV>
            <wp:extent cx="5271770" cy="7797800"/>
            <wp:effectExtent l="0" t="0" r="5080" b="12700"/>
            <wp:wrapSquare wrapText="bothSides"/>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9"/>
                    <a:stretch>
                      <a:fillRect/>
                    </a:stretch>
                  </pic:blipFill>
                  <pic:spPr>
                    <a:xfrm>
                      <a:off x="0" y="0"/>
                      <a:ext cx="5271770" cy="779780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6432" behindDoc="0" locked="0" layoutInCell="1" allowOverlap="1">
            <wp:simplePos x="0" y="0"/>
            <wp:positionH relativeFrom="column">
              <wp:posOffset>-200025</wp:posOffset>
            </wp:positionH>
            <wp:positionV relativeFrom="paragraph">
              <wp:posOffset>13335</wp:posOffset>
            </wp:positionV>
            <wp:extent cx="5269230" cy="7331075"/>
            <wp:effectExtent l="0" t="0" r="7620" b="3175"/>
            <wp:wrapSquare wrapText="bothSides"/>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0"/>
                    <a:stretch>
                      <a:fillRect/>
                    </a:stretch>
                  </pic:blipFill>
                  <pic:spPr>
                    <a:xfrm>
                      <a:off x="0" y="0"/>
                      <a:ext cx="5269230" cy="733107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6672" behindDoc="0" locked="0" layoutInCell="1" allowOverlap="1">
            <wp:simplePos x="0" y="0"/>
            <wp:positionH relativeFrom="column">
              <wp:posOffset>-19050</wp:posOffset>
            </wp:positionH>
            <wp:positionV relativeFrom="paragraph">
              <wp:posOffset>295275</wp:posOffset>
            </wp:positionV>
            <wp:extent cx="5273040" cy="8073390"/>
            <wp:effectExtent l="0" t="0" r="3810" b="3810"/>
            <wp:wrapSquare wrapText="bothSides"/>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1"/>
                    <a:stretch>
                      <a:fillRect/>
                    </a:stretch>
                  </pic:blipFill>
                  <pic:spPr>
                    <a:xfrm>
                      <a:off x="0" y="0"/>
                      <a:ext cx="5273040" cy="807339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7696" behindDoc="0" locked="0" layoutInCell="1" allowOverlap="1">
            <wp:simplePos x="0" y="0"/>
            <wp:positionH relativeFrom="column">
              <wp:posOffset>95250</wp:posOffset>
            </wp:positionH>
            <wp:positionV relativeFrom="paragraph">
              <wp:posOffset>304800</wp:posOffset>
            </wp:positionV>
            <wp:extent cx="5273040" cy="7778115"/>
            <wp:effectExtent l="0" t="0" r="3810" b="13335"/>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2"/>
                    <a:stretch>
                      <a:fillRect/>
                    </a:stretch>
                  </pic:blipFill>
                  <pic:spPr>
                    <a:xfrm>
                      <a:off x="0" y="0"/>
                      <a:ext cx="5273040" cy="777811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8720" behindDoc="0" locked="0" layoutInCell="1" allowOverlap="1">
            <wp:simplePos x="0" y="0"/>
            <wp:positionH relativeFrom="column">
              <wp:posOffset>85725</wp:posOffset>
            </wp:positionH>
            <wp:positionV relativeFrom="paragraph">
              <wp:posOffset>200660</wp:posOffset>
            </wp:positionV>
            <wp:extent cx="5273040" cy="7797165"/>
            <wp:effectExtent l="0" t="0" r="3810" b="13335"/>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3"/>
                    <a:stretch>
                      <a:fillRect/>
                    </a:stretch>
                  </pic:blipFill>
                  <pic:spPr>
                    <a:xfrm>
                      <a:off x="0" y="0"/>
                      <a:ext cx="5273040" cy="779716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7456" behindDoc="0" locked="0" layoutInCell="1" allowOverlap="1">
            <wp:simplePos x="0" y="0"/>
            <wp:positionH relativeFrom="column">
              <wp:posOffset>9525</wp:posOffset>
            </wp:positionH>
            <wp:positionV relativeFrom="paragraph">
              <wp:posOffset>290830</wp:posOffset>
            </wp:positionV>
            <wp:extent cx="5271135" cy="8194040"/>
            <wp:effectExtent l="0" t="0" r="5715" b="165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819404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8480" behindDoc="0" locked="0" layoutInCell="1" allowOverlap="1">
            <wp:simplePos x="0" y="0"/>
            <wp:positionH relativeFrom="column">
              <wp:posOffset>19050</wp:posOffset>
            </wp:positionH>
            <wp:positionV relativeFrom="paragraph">
              <wp:posOffset>276225</wp:posOffset>
            </wp:positionV>
            <wp:extent cx="5271770" cy="8077200"/>
            <wp:effectExtent l="0" t="0" r="508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1770" cy="807720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69504" behindDoc="0" locked="0" layoutInCell="1" allowOverlap="1">
            <wp:simplePos x="0" y="0"/>
            <wp:positionH relativeFrom="column">
              <wp:posOffset>28575</wp:posOffset>
            </wp:positionH>
            <wp:positionV relativeFrom="paragraph">
              <wp:posOffset>428625</wp:posOffset>
            </wp:positionV>
            <wp:extent cx="5269230" cy="7642225"/>
            <wp:effectExtent l="0" t="0" r="7620" b="15875"/>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5269230" cy="764222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0528" behindDoc="0" locked="0" layoutInCell="1" allowOverlap="1">
            <wp:simplePos x="0" y="0"/>
            <wp:positionH relativeFrom="column">
              <wp:posOffset>-180975</wp:posOffset>
            </wp:positionH>
            <wp:positionV relativeFrom="paragraph">
              <wp:posOffset>238760</wp:posOffset>
            </wp:positionV>
            <wp:extent cx="5273040" cy="8067675"/>
            <wp:effectExtent l="0" t="0" r="3810" b="952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273040" cy="806767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1552" behindDoc="0" locked="0" layoutInCell="1" allowOverlap="1">
            <wp:simplePos x="0" y="0"/>
            <wp:positionH relativeFrom="column">
              <wp:posOffset>-123825</wp:posOffset>
            </wp:positionH>
            <wp:positionV relativeFrom="paragraph">
              <wp:posOffset>-27940</wp:posOffset>
            </wp:positionV>
            <wp:extent cx="5273040" cy="8021955"/>
            <wp:effectExtent l="0" t="0" r="3810" b="1714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8"/>
                    <a:stretch>
                      <a:fillRect/>
                    </a:stretch>
                  </pic:blipFill>
                  <pic:spPr>
                    <a:xfrm>
                      <a:off x="0" y="0"/>
                      <a:ext cx="5273040" cy="802195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2576" behindDoc="0" locked="0" layoutInCell="1" allowOverlap="1">
            <wp:simplePos x="0" y="0"/>
            <wp:positionH relativeFrom="column">
              <wp:posOffset>-38100</wp:posOffset>
            </wp:positionH>
            <wp:positionV relativeFrom="paragraph">
              <wp:posOffset>285750</wp:posOffset>
            </wp:positionV>
            <wp:extent cx="5269230" cy="8920480"/>
            <wp:effectExtent l="0" t="0" r="7620" b="13970"/>
            <wp:wrapSquare wrapText="bothSides"/>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5269230" cy="892048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3600" behindDoc="0" locked="0" layoutInCell="1" allowOverlap="1">
            <wp:simplePos x="0" y="0"/>
            <wp:positionH relativeFrom="column">
              <wp:posOffset>19050</wp:posOffset>
            </wp:positionH>
            <wp:positionV relativeFrom="paragraph">
              <wp:posOffset>-152400</wp:posOffset>
            </wp:positionV>
            <wp:extent cx="5269230" cy="8920480"/>
            <wp:effectExtent l="0" t="0" r="7620" b="1397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5269230" cy="892048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8977630</wp:posOffset>
            </wp:positionH>
            <wp:positionV relativeFrom="paragraph">
              <wp:posOffset>160655</wp:posOffset>
            </wp:positionV>
            <wp:extent cx="5271770" cy="6751955"/>
            <wp:effectExtent l="0" t="0" r="5080" b="1079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5271770" cy="675195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4624" behindDoc="0" locked="0" layoutInCell="1" allowOverlap="1">
            <wp:simplePos x="0" y="0"/>
            <wp:positionH relativeFrom="column">
              <wp:posOffset>-66675</wp:posOffset>
            </wp:positionH>
            <wp:positionV relativeFrom="paragraph">
              <wp:posOffset>114300</wp:posOffset>
            </wp:positionV>
            <wp:extent cx="5269230" cy="8664575"/>
            <wp:effectExtent l="0" t="0" r="7620" b="317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269230" cy="866457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5648" behindDoc="0" locked="0" layoutInCell="1" allowOverlap="1">
            <wp:simplePos x="0" y="0"/>
            <wp:positionH relativeFrom="column">
              <wp:posOffset>95250</wp:posOffset>
            </wp:positionH>
            <wp:positionV relativeFrom="paragraph">
              <wp:posOffset>-85725</wp:posOffset>
            </wp:positionV>
            <wp:extent cx="5269230" cy="8920480"/>
            <wp:effectExtent l="0" t="0" r="7620" b="13970"/>
            <wp:wrapSquare wrapText="bothSides"/>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5269230" cy="892048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79744" behindDoc="0" locked="0" layoutInCell="1" allowOverlap="1">
            <wp:simplePos x="0" y="0"/>
            <wp:positionH relativeFrom="column">
              <wp:posOffset>-38100</wp:posOffset>
            </wp:positionH>
            <wp:positionV relativeFrom="paragraph">
              <wp:posOffset>295910</wp:posOffset>
            </wp:positionV>
            <wp:extent cx="5273040" cy="8061325"/>
            <wp:effectExtent l="0" t="0" r="3810" b="15875"/>
            <wp:wrapSquare wrapText="bothSides"/>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4"/>
                    <a:stretch>
                      <a:fillRect/>
                    </a:stretch>
                  </pic:blipFill>
                  <pic:spPr>
                    <a:xfrm>
                      <a:off x="0" y="0"/>
                      <a:ext cx="5273040" cy="806132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80768" behindDoc="0" locked="0" layoutInCell="1" allowOverlap="1">
            <wp:simplePos x="0" y="0"/>
            <wp:positionH relativeFrom="column">
              <wp:posOffset>-9525</wp:posOffset>
            </wp:positionH>
            <wp:positionV relativeFrom="paragraph">
              <wp:posOffset>419100</wp:posOffset>
            </wp:positionV>
            <wp:extent cx="5271770" cy="7752080"/>
            <wp:effectExtent l="0" t="0" r="5080" b="1270"/>
            <wp:wrapSquare wrapText="bothSides"/>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5"/>
                    <a:stretch>
                      <a:fillRect/>
                    </a:stretch>
                  </pic:blipFill>
                  <pic:spPr>
                    <a:xfrm>
                      <a:off x="0" y="0"/>
                      <a:ext cx="5271770" cy="775208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81792" behindDoc="0" locked="0" layoutInCell="1" allowOverlap="1">
            <wp:simplePos x="0" y="0"/>
            <wp:positionH relativeFrom="column">
              <wp:posOffset>-28575</wp:posOffset>
            </wp:positionH>
            <wp:positionV relativeFrom="paragraph">
              <wp:posOffset>73025</wp:posOffset>
            </wp:positionV>
            <wp:extent cx="5273040" cy="7502525"/>
            <wp:effectExtent l="0" t="0" r="3810" b="3175"/>
            <wp:wrapSquare wrapText="bothSides"/>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a:stretch>
                      <a:fillRect/>
                    </a:stretch>
                  </pic:blipFill>
                  <pic:spPr>
                    <a:xfrm>
                      <a:off x="0" y="0"/>
                      <a:ext cx="5273040" cy="750252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82816" behindDoc="0" locked="0" layoutInCell="1" allowOverlap="1">
            <wp:simplePos x="0" y="0"/>
            <wp:positionH relativeFrom="column">
              <wp:posOffset>104775</wp:posOffset>
            </wp:positionH>
            <wp:positionV relativeFrom="paragraph">
              <wp:posOffset>95250</wp:posOffset>
            </wp:positionV>
            <wp:extent cx="5268595" cy="8284210"/>
            <wp:effectExtent l="0" t="0" r="8255" b="2540"/>
            <wp:wrapSquare wrapText="bothSides"/>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7"/>
                    <a:stretch>
                      <a:fillRect/>
                    </a:stretch>
                  </pic:blipFill>
                  <pic:spPr>
                    <a:xfrm>
                      <a:off x="0" y="0"/>
                      <a:ext cx="5268595" cy="828421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83840" behindDoc="0" locked="0" layoutInCell="1" allowOverlap="1">
            <wp:simplePos x="0" y="0"/>
            <wp:positionH relativeFrom="column">
              <wp:posOffset>38100</wp:posOffset>
            </wp:positionH>
            <wp:positionV relativeFrom="paragraph">
              <wp:posOffset>238760</wp:posOffset>
            </wp:positionV>
            <wp:extent cx="5267960" cy="8226425"/>
            <wp:effectExtent l="0" t="0" r="8890" b="3175"/>
            <wp:wrapSquare wrapText="bothSides"/>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8"/>
                    <a:stretch>
                      <a:fillRect/>
                    </a:stretch>
                  </pic:blipFill>
                  <pic:spPr>
                    <a:xfrm>
                      <a:off x="0" y="0"/>
                      <a:ext cx="5267960" cy="822642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84864" behindDoc="0" locked="0" layoutInCell="1" allowOverlap="1">
            <wp:simplePos x="0" y="0"/>
            <wp:positionH relativeFrom="column">
              <wp:posOffset>9525</wp:posOffset>
            </wp:positionH>
            <wp:positionV relativeFrom="paragraph">
              <wp:posOffset>149225</wp:posOffset>
            </wp:positionV>
            <wp:extent cx="5273040" cy="7705725"/>
            <wp:effectExtent l="0" t="0" r="3810" b="9525"/>
            <wp:wrapSquare wrapText="bothSides"/>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9"/>
                    <a:stretch>
                      <a:fillRect/>
                    </a:stretch>
                  </pic:blipFill>
                  <pic:spPr>
                    <a:xfrm>
                      <a:off x="0" y="0"/>
                      <a:ext cx="5273040" cy="7705725"/>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85888" behindDoc="0" locked="0" layoutInCell="1" allowOverlap="1">
            <wp:simplePos x="0" y="0"/>
            <wp:positionH relativeFrom="column">
              <wp:posOffset>123825</wp:posOffset>
            </wp:positionH>
            <wp:positionV relativeFrom="paragraph">
              <wp:posOffset>215900</wp:posOffset>
            </wp:positionV>
            <wp:extent cx="5270500" cy="7600950"/>
            <wp:effectExtent l="0" t="0" r="6350" b="0"/>
            <wp:wrapSquare wrapText="bothSides"/>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0"/>
                    <a:stretch>
                      <a:fillRect/>
                    </a:stretch>
                  </pic:blipFill>
                  <pic:spPr>
                    <a:xfrm>
                      <a:off x="0" y="0"/>
                      <a:ext cx="5270500" cy="760095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r>
        <w:drawing>
          <wp:anchor distT="0" distB="0" distL="114300" distR="114300" simplePos="0" relativeHeight="251686912" behindDoc="0" locked="0" layoutInCell="1" allowOverlap="1">
            <wp:simplePos x="0" y="0"/>
            <wp:positionH relativeFrom="column">
              <wp:posOffset>66675</wp:posOffset>
            </wp:positionH>
            <wp:positionV relativeFrom="paragraph">
              <wp:posOffset>81280</wp:posOffset>
            </wp:positionV>
            <wp:extent cx="5266690" cy="8787130"/>
            <wp:effectExtent l="0" t="0" r="10160" b="1397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1"/>
                    <a:stretch>
                      <a:fillRect/>
                    </a:stretch>
                  </pic:blipFill>
                  <pic:spPr>
                    <a:xfrm>
                      <a:off x="0" y="0"/>
                      <a:ext cx="5266690" cy="8787130"/>
                    </a:xfrm>
                    <a:prstGeom prst="rect">
                      <a:avLst/>
                    </a:prstGeom>
                    <a:noFill/>
                    <a:ln>
                      <a:noFill/>
                    </a:ln>
                  </pic:spPr>
                </pic:pic>
              </a:graphicData>
            </a:graphic>
          </wp:anchor>
        </w:drawing>
      </w: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rPr>
          <w:rFonts w:hint="default" w:ascii="TimesNewRoman" w:hAnsi="TimesNewRoman" w:eastAsia="黑体" w:cs="TimesNewRoman"/>
          <w:color w:val="000000"/>
          <w:sz w:val="36"/>
          <w:szCs w:val="36"/>
          <w:highlight w:val="none"/>
        </w:rPr>
      </w:pPr>
    </w:p>
    <w:p>
      <w:pPr>
        <w:keepNext w:val="0"/>
        <w:keepLines w:val="0"/>
        <w:pageBreakBefore w:val="0"/>
        <w:tabs>
          <w:tab w:val="left" w:pos="3316"/>
        </w:tabs>
        <w:kinsoku/>
        <w:overflowPunct/>
        <w:topLinePunct w:val="0"/>
        <w:autoSpaceDE/>
        <w:autoSpaceDN/>
        <w:bidi w:val="0"/>
        <w:adjustRightInd w:val="0"/>
        <w:snapToGrid w:val="0"/>
        <w:spacing w:line="560" w:lineRule="exact"/>
        <w:outlineLvl w:val="0"/>
      </w:pPr>
    </w:p>
    <w:p>
      <w:pPr>
        <w:bidi w:val="0"/>
        <w:rPr>
          <w:rFonts w:hint="default" w:ascii="Times New Roman" w:hAnsi="Times New Roman" w:eastAsia="仿宋_GB2312" w:cs="Times New Roman"/>
          <w:kern w:val="2"/>
          <w:sz w:val="32"/>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ind w:firstLine="207" w:firstLineChars="0"/>
        <w:jc w:val="left"/>
        <w:rPr>
          <w:rFonts w:hint="default"/>
          <w:lang w:val="en-US" w:eastAsia="zh-CN"/>
        </w:rPr>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pPr>
    </w:p>
    <w:p>
      <w:pPr>
        <w:bidi w:val="0"/>
        <w:ind w:firstLine="207" w:firstLineChars="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_GBK">
    <w:altName w:val="Arial Unicode MS"/>
    <w:panose1 w:val="02000000000000000000"/>
    <w:charset w:val="86"/>
    <w:family w:val="auto"/>
    <w:pitch w:val="default"/>
    <w:sig w:usb0="00000000" w:usb1="00000000" w:usb2="00000000" w:usb3="00000000" w:csb0="00040000" w:csb1="00000000"/>
  </w:font>
  <w:font w:name="TimesNewRoman">
    <w:altName w:val="Traditional Arabic"/>
    <w:panose1 w:val="02020603050405020304"/>
    <w:charset w:val="00"/>
    <w:family w:val="auto"/>
    <w:pitch w:val="default"/>
    <w:sig w:usb0="00000000" w:usb1="00000000" w:usb2="00000029" w:usb3="00000000" w:csb0="600001FF" w:csb1="FFFF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Traditional Arabic">
    <w:panose1 w:val="02020603050405020304"/>
    <w:charset w:val="00"/>
    <w:family w:val="auto"/>
    <w:pitch w:val="default"/>
    <w:sig w:usb0="00006003" w:usb1="80000000" w:usb2="00000008" w:usb3="00000000" w:csb0="00000041" w:csb1="2008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wODhjYWU5MDBhZTIzYjcwMzk2MDU2NTE1OGQ4M2UifQ=="/>
  </w:docVars>
  <w:rsids>
    <w:rsidRoot w:val="700F685A"/>
    <w:rsid w:val="089C69AE"/>
    <w:rsid w:val="0B3F4339"/>
    <w:rsid w:val="0CF95D93"/>
    <w:rsid w:val="1AC50931"/>
    <w:rsid w:val="1CC42727"/>
    <w:rsid w:val="1DF815F8"/>
    <w:rsid w:val="228D7EB2"/>
    <w:rsid w:val="2E52765A"/>
    <w:rsid w:val="2FD06A07"/>
    <w:rsid w:val="3F691FE5"/>
    <w:rsid w:val="401772F5"/>
    <w:rsid w:val="499600CB"/>
    <w:rsid w:val="5600311B"/>
    <w:rsid w:val="58B77027"/>
    <w:rsid w:val="69E7757D"/>
    <w:rsid w:val="700F685A"/>
    <w:rsid w:val="72900FF0"/>
    <w:rsid w:val="731919CB"/>
    <w:rsid w:val="7C50602D"/>
    <w:rsid w:val="7E3E3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ascii="Times New Roman" w:hAnsi="Times New Roman"/>
      <w:sz w:val="18"/>
      <w:szCs w:val="18"/>
    </w:rPr>
  </w:style>
  <w:style w:type="paragraph" w:styleId="3">
    <w:name w:val="Normal (Web)"/>
    <w:basedOn w:val="1"/>
    <w:qFormat/>
    <w:uiPriority w:val="0"/>
    <w:rPr>
      <w:rFonts w:eastAsia="宋体"/>
      <w:sz w:val="24"/>
      <w:szCs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8.emf"/><Relationship Id="rId30" Type="http://schemas.openxmlformats.org/officeDocument/2006/relationships/image" Target="media/image27.emf"/><Relationship Id="rId3" Type="http://schemas.openxmlformats.org/officeDocument/2006/relationships/theme" Target="theme/theme1.xml"/><Relationship Id="rId29" Type="http://schemas.openxmlformats.org/officeDocument/2006/relationships/image" Target="media/image26.emf"/><Relationship Id="rId28" Type="http://schemas.openxmlformats.org/officeDocument/2006/relationships/image" Target="media/image25.emf"/><Relationship Id="rId27" Type="http://schemas.openxmlformats.org/officeDocument/2006/relationships/image" Target="media/image24.emf"/><Relationship Id="rId26" Type="http://schemas.openxmlformats.org/officeDocument/2006/relationships/image" Target="media/image23.emf"/><Relationship Id="rId25" Type="http://schemas.openxmlformats.org/officeDocument/2006/relationships/image" Target="media/image22.emf"/><Relationship Id="rId24" Type="http://schemas.openxmlformats.org/officeDocument/2006/relationships/image" Target="media/image21.emf"/><Relationship Id="rId23" Type="http://schemas.openxmlformats.org/officeDocument/2006/relationships/image" Target="media/image20.emf"/><Relationship Id="rId22" Type="http://schemas.openxmlformats.org/officeDocument/2006/relationships/image" Target="media/image19.emf"/><Relationship Id="rId21" Type="http://schemas.openxmlformats.org/officeDocument/2006/relationships/image" Target="media/image18.png"/><Relationship Id="rId20" Type="http://schemas.openxmlformats.org/officeDocument/2006/relationships/image" Target="media/image17.emf"/><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emf"/><Relationship Id="rId17" Type="http://schemas.openxmlformats.org/officeDocument/2006/relationships/image" Target="media/image14.emf"/><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emf"/><Relationship Id="rId13" Type="http://schemas.openxmlformats.org/officeDocument/2006/relationships/image" Target="media/image10.emf"/><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2024-02-08T00:41:00Z</dcterms:created>
  <dc:creator>   白日梦 </dc:creator>
  <cp:lastModifiedBy>DAI</cp:lastModifiedBy>
  <cp:lastPrinted>2024-02-22T02:46:00Z</cp:lastPrinted>
  <dcterms:modified xsi:type="dcterms:W3CDTF">2024-08-05T02:11:34Z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ED0DE30285A34B5EB277B429C3557080_11</vt:lpwstr>
  </property>
</Properties>
</file>