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379EA">
      <w:pPr>
        <w:spacing w:line="560" w:lineRule="exact"/>
        <w:jc w:val="center"/>
        <w:outlineLvl w:val="0"/>
        <w:rPr>
          <w:rFonts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rPr>
        <w:t>淮南市市场监督管理局</w:t>
      </w:r>
      <w:bookmarkEnd w:id="0"/>
      <w:bookmarkEnd w:id="1"/>
    </w:p>
    <w:p w14:paraId="46396703">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1BF45642">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392</w:t>
      </w:r>
      <w:r>
        <w:rPr>
          <w:rFonts w:hint="eastAsia" w:ascii="仿宋" w:hAnsi="仿宋" w:eastAsia="仿宋" w:cs="仿宋"/>
          <w:bCs/>
          <w:color w:val="000000"/>
          <w:sz w:val="32"/>
          <w:szCs w:val="32"/>
        </w:rPr>
        <w:t>号</w:t>
      </w:r>
    </w:p>
    <w:p w14:paraId="62293FD9">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14:paraId="47B4960F">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当事人：汝</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 xml:space="preserve">   </w:t>
      </w:r>
      <w:bookmarkStart w:id="3" w:name="_GoBack"/>
      <w:bookmarkEnd w:id="3"/>
    </w:p>
    <w:p w14:paraId="4C77BAE6">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w:t>
      </w:r>
    </w:p>
    <w:p w14:paraId="4AB00B69">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p>
    <w:p w14:paraId="06005F7D">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2023年8月24日，本局收到淮南市公安局《传销线索移送函》（淮公函[2023]23号)，称你是淮南市公安局办理的《325组织领导传销案》涉案人员，从事传销活动，经依法核查，你介绍他人参加传销的行为未达到刑事立案标准，移交本局处理。根据淮南市公安局移送的刑事调查卷宗和相关证据材料，你涉嫌介绍他人参加传销。本局于2023年10月10日予以立案，2024年6月22日对当事人进行了调查。 </w:t>
      </w:r>
    </w:p>
    <w:p w14:paraId="2B5F05FE">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经查，2018年11月当事人经彭岩介绍参加“壹汇环球”传销项目，并介绍他人参加传销，介绍发展的下线有唐许良、李龙、王勇等 33人，公安机关已核查下线人员6人，剩余27人放弃报警或拒绝配合取证。</w:t>
      </w:r>
    </w:p>
    <w:p w14:paraId="73C177FB">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 w:eastAsia="zh-CN" w:bidi="ar-SA"/>
        </w:rPr>
        <w:t>当事人参与“</w:t>
      </w:r>
      <w:r>
        <w:rPr>
          <w:rFonts w:hint="eastAsia" w:ascii="仿宋" w:hAnsi="仿宋" w:eastAsia="仿宋" w:cs="仿宋_GB2312"/>
          <w:kern w:val="2"/>
          <w:sz w:val="32"/>
          <w:szCs w:val="32"/>
          <w:lang w:val="en-US" w:eastAsia="zh-CN" w:bidi="ar-SA"/>
        </w:rPr>
        <w:t xml:space="preserve">壹汇环球”传销项目涉案资金主要通过中国建设银行62170016600000910962账户进行交易，交易流水包括当事人及其下线的投入资金和获得收益。上述银行卡的资金流水中包含当事人的家庭生活收支以及传销资金交易，无法进行区分，当事人违法所得无法计算。   </w:t>
      </w:r>
    </w:p>
    <w:p w14:paraId="308DC20C">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14:paraId="32F2A14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Times New Roman" w:eastAsia="仿宋_GB2312" w:cs="仿宋_GB2312"/>
          <w:bCs/>
          <w:sz w:val="32"/>
          <w:szCs w:val="32"/>
          <w:u w:val="none"/>
          <w:lang w:val="en-US" w:eastAsia="zh-CN"/>
        </w:rPr>
      </w:pPr>
      <w:r>
        <w:rPr>
          <w:rFonts w:hint="eastAsia" w:ascii="仿宋_GB2312" w:hAnsi="sinsum" w:eastAsia="仿宋_GB2312" w:cs="仿宋_GB2312"/>
          <w:i w:val="0"/>
          <w:caps w:val="0"/>
          <w:color w:val="000000"/>
          <w:spacing w:val="0"/>
          <w:sz w:val="32"/>
          <w:szCs w:val="32"/>
          <w:u w:val="none"/>
          <w:shd w:val="clear" w:color="auto" w:fill="FFFFFF"/>
          <w:lang w:val="en-US" w:eastAsia="zh-CN"/>
        </w:rPr>
        <w:t xml:space="preserve">1、淮南市公安局《传销线索移送函》1份，证明案件线索来源；  </w:t>
      </w:r>
      <w:r>
        <w:rPr>
          <w:rFonts w:hint="eastAsia" w:ascii="仿宋_GB2312" w:hAnsi="Times New Roman" w:eastAsia="仿宋_GB2312" w:cs="仿宋_GB2312"/>
          <w:bCs/>
          <w:sz w:val="32"/>
          <w:szCs w:val="32"/>
          <w:u w:val="none"/>
          <w:lang w:val="en-US" w:eastAsia="zh-CN"/>
        </w:rPr>
        <w:t xml:space="preserve">                                               </w:t>
      </w:r>
    </w:p>
    <w:p w14:paraId="036B13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仿宋_GB2312" w:hAnsi="Times New Roman"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 xml:space="preserve">2、江西锦苑司法鉴定中心《司法鉴定意见书》（赣锦苑鉴[2023]电子鉴字第1号）1份,证明当事人参加并介绍他人参加传销的事实;                                              </w:t>
      </w:r>
    </w:p>
    <w:p w14:paraId="7BBD0E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3</w:t>
      </w:r>
      <w:r>
        <w:rPr>
          <w:rFonts w:hint="eastAsia" w:ascii="仿宋_GB2312" w:hAnsi="sinsum" w:eastAsia="仿宋_GB2312" w:cs="仿宋_GB2312"/>
          <w:i w:val="0"/>
          <w:caps w:val="0"/>
          <w:color w:val="000000"/>
          <w:spacing w:val="0"/>
          <w:sz w:val="32"/>
          <w:szCs w:val="32"/>
          <w:u w:val="none"/>
          <w:shd w:val="clear" w:color="auto" w:fill="FFFFFF"/>
          <w:lang w:val="en-US" w:eastAsia="zh-CN"/>
        </w:rPr>
        <w:t>、淮南市公安局田家庵分局刑事侦查卷宗（</w:t>
      </w:r>
      <w:r>
        <w:rPr>
          <w:rFonts w:hint="eastAsia" w:ascii="仿宋_GB2312" w:hAnsi="仿宋_GB2312" w:eastAsia="仿宋_GB2312" w:cs="仿宋_GB2312"/>
          <w:sz w:val="30"/>
          <w:szCs w:val="30"/>
          <w:u w:val="none"/>
          <w:lang w:eastAsia="zh-CN"/>
        </w:rPr>
        <w:t>汝刚</w:t>
      </w:r>
      <w:r>
        <w:rPr>
          <w:rFonts w:hint="eastAsia" w:ascii="仿宋_GB2312" w:hAnsi="sinsum" w:eastAsia="仿宋_GB2312" w:cs="仿宋_GB2312"/>
          <w:i w:val="0"/>
          <w:caps w:val="0"/>
          <w:color w:val="000000"/>
          <w:spacing w:val="0"/>
          <w:sz w:val="32"/>
          <w:szCs w:val="32"/>
          <w:u w:val="none"/>
          <w:shd w:val="clear" w:color="auto" w:fill="FFFFFF"/>
          <w:lang w:val="en-US" w:eastAsia="zh-CN"/>
        </w:rPr>
        <w:t>）1份，</w:t>
      </w:r>
      <w:r>
        <w:rPr>
          <w:rFonts w:hint="eastAsia" w:ascii="仿宋_GB2312" w:hAnsi="仿宋_GB2312" w:eastAsia="仿宋_GB2312" w:cs="仿宋_GB2312"/>
          <w:bCs/>
          <w:sz w:val="32"/>
          <w:szCs w:val="32"/>
          <w:u w:val="none"/>
          <w:lang w:val="en-US" w:eastAsia="zh-CN"/>
        </w:rPr>
        <w:t>证明当事人介绍他人参加传销的事实以及</w:t>
      </w:r>
      <w:r>
        <w:rPr>
          <w:rFonts w:hint="eastAsia" w:ascii="仿宋_GB2312" w:hAnsi="仿宋_GB2312" w:eastAsia="仿宋_GB2312" w:cs="仿宋_GB2312"/>
          <w:bCs/>
          <w:sz w:val="32"/>
          <w:szCs w:val="32"/>
          <w:highlight w:val="none"/>
          <w:u w:val="none"/>
          <w:lang w:val="en-US" w:eastAsia="zh-CN"/>
        </w:rPr>
        <w:t>当事人与袁晓君、</w:t>
      </w:r>
      <w:r>
        <w:rPr>
          <w:rFonts w:hint="eastAsia" w:ascii="仿宋" w:hAnsi="仿宋" w:eastAsia="仿宋" w:cs="仿宋"/>
          <w:color w:val="auto"/>
          <w:spacing w:val="-1"/>
          <w:sz w:val="32"/>
          <w:szCs w:val="32"/>
          <w:u w:val="none"/>
          <w:lang w:val="en-US" w:eastAsia="zh-CN"/>
        </w:rPr>
        <w:t>殷巍、仇涛、张静关于</w:t>
      </w:r>
      <w:r>
        <w:rPr>
          <w:rFonts w:hint="eastAsia" w:ascii="仿宋_GB2312" w:hAnsi="仿宋_GB2312" w:eastAsia="仿宋_GB2312" w:cs="仿宋_GB2312"/>
          <w:bCs/>
          <w:sz w:val="32"/>
          <w:szCs w:val="32"/>
          <w:highlight w:val="none"/>
          <w:u w:val="none"/>
          <w:lang w:val="en" w:eastAsia="zh-CN"/>
        </w:rPr>
        <w:t>“</w:t>
      </w:r>
      <w:r>
        <w:rPr>
          <w:rFonts w:hint="eastAsia" w:ascii="仿宋_GB2312" w:hAnsi="仿宋_GB2312" w:eastAsia="仿宋_GB2312" w:cs="仿宋_GB2312"/>
          <w:bCs/>
          <w:sz w:val="32"/>
          <w:szCs w:val="32"/>
          <w:highlight w:val="none"/>
          <w:u w:val="none"/>
          <w:lang w:val="en-US" w:eastAsia="zh-CN"/>
        </w:rPr>
        <w:t>壹汇环球”传销资金</w:t>
      </w:r>
      <w:r>
        <w:rPr>
          <w:rFonts w:hint="eastAsia" w:ascii="仿宋" w:hAnsi="仿宋" w:eastAsia="仿宋" w:cs="仿宋"/>
          <w:color w:val="auto"/>
          <w:spacing w:val="-1"/>
          <w:sz w:val="32"/>
          <w:szCs w:val="32"/>
          <w:u w:val="none"/>
          <w:lang w:val="en-US" w:eastAsia="zh-CN"/>
        </w:rPr>
        <w:t>转账的具体</w:t>
      </w:r>
      <w:r>
        <w:rPr>
          <w:rFonts w:hint="eastAsia" w:ascii="仿宋_GB2312" w:hAnsi="仿宋_GB2312" w:eastAsia="仿宋_GB2312" w:cs="仿宋_GB2312"/>
          <w:bCs/>
          <w:sz w:val="32"/>
          <w:szCs w:val="32"/>
          <w:highlight w:val="none"/>
          <w:u w:val="none"/>
          <w:lang w:val="en-US" w:eastAsia="zh-CN"/>
        </w:rPr>
        <w:t>情况</w:t>
      </w:r>
      <w:r>
        <w:rPr>
          <w:rFonts w:hint="eastAsia" w:ascii="仿宋_GB2312" w:hAnsi="仿宋_GB2312" w:eastAsia="仿宋_GB2312" w:cs="仿宋_GB2312"/>
          <w:bCs/>
          <w:sz w:val="32"/>
          <w:szCs w:val="32"/>
          <w:u w:val="none"/>
          <w:lang w:val="en-US" w:eastAsia="zh-CN"/>
        </w:rPr>
        <w:t xml:space="preserve">；                                                 </w:t>
      </w:r>
    </w:p>
    <w:p w14:paraId="15D5084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 w:hAnsi="仿宋" w:eastAsia="仿宋" w:cs="仿宋"/>
          <w:color w:val="auto"/>
          <w:spacing w:val="-1"/>
          <w:sz w:val="32"/>
          <w:szCs w:val="32"/>
          <w:u w:val="none"/>
          <w:lang w:val="en-US" w:eastAsia="zh-CN"/>
        </w:rPr>
      </w:pPr>
      <w:r>
        <w:rPr>
          <w:rFonts w:hint="eastAsia" w:ascii="仿宋_GB2312" w:hAnsi="Times New Roman" w:eastAsia="仿宋_GB2312" w:cs="仿宋_GB2312"/>
          <w:bCs/>
          <w:sz w:val="32"/>
          <w:szCs w:val="32"/>
          <w:u w:val="none"/>
          <w:lang w:val="en-US" w:eastAsia="zh-CN"/>
        </w:rPr>
        <w:t>4、</w:t>
      </w:r>
      <w:r>
        <w:rPr>
          <w:rFonts w:hint="eastAsia" w:ascii="仿宋_GB2312" w:hAnsi="sinsum" w:eastAsia="仿宋_GB2312" w:cs="仿宋_GB2312"/>
          <w:i w:val="0"/>
          <w:caps w:val="0"/>
          <w:color w:val="000000"/>
          <w:spacing w:val="0"/>
          <w:sz w:val="32"/>
          <w:szCs w:val="32"/>
          <w:u w:val="none"/>
          <w:shd w:val="clear" w:color="auto" w:fill="FFFFFF"/>
          <w:lang w:val="en-US" w:eastAsia="zh-CN"/>
        </w:rPr>
        <w:t>本局</w:t>
      </w:r>
      <w:r>
        <w:rPr>
          <w:rFonts w:hint="eastAsia" w:ascii="仿宋_GB2312" w:hAnsi="Times New Roman" w:eastAsia="仿宋_GB2312" w:cs="仿宋_GB2312"/>
          <w:bCs/>
          <w:sz w:val="32"/>
          <w:szCs w:val="32"/>
          <w:u w:val="none"/>
          <w:lang w:val="en-US" w:eastAsia="zh-CN"/>
        </w:rPr>
        <w:t>对当事人询问笔录1份、</w:t>
      </w:r>
      <w:r>
        <w:rPr>
          <w:rFonts w:hint="eastAsia" w:ascii="仿宋_GB2312" w:hAnsi="仿宋_GB2312" w:eastAsia="仿宋_GB2312" w:cs="仿宋_GB2312"/>
          <w:spacing w:val="-1"/>
          <w:sz w:val="32"/>
          <w:szCs w:val="32"/>
          <w:u w:val="none"/>
          <w:lang w:val="en-US" w:eastAsia="zh-CN"/>
        </w:rPr>
        <w:t>卡号：</w:t>
      </w:r>
      <w:r>
        <w:rPr>
          <w:rFonts w:hint="eastAsia" w:ascii="仿宋" w:hAnsi="仿宋" w:eastAsia="仿宋" w:cs="仿宋"/>
          <w:color w:val="auto"/>
          <w:spacing w:val="-1"/>
          <w:sz w:val="32"/>
          <w:szCs w:val="32"/>
          <w:u w:val="none"/>
          <w:lang w:val="en-US" w:eastAsia="zh-CN"/>
        </w:rPr>
        <w:t>62170016600000</w:t>
      </w:r>
    </w:p>
    <w:p w14:paraId="5E38D74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both"/>
        <w:textAlignment w:val="auto"/>
        <w:rPr>
          <w:rFonts w:hint="default" w:ascii="仿宋_GB2312" w:hAnsi="仿宋_GB2312" w:eastAsia="仿宋_GB2312" w:cs="仿宋_GB2312"/>
          <w:bCs/>
          <w:sz w:val="32"/>
          <w:szCs w:val="32"/>
          <w:u w:val="none"/>
          <w:lang w:val="en-US" w:eastAsia="zh-CN"/>
        </w:rPr>
      </w:pPr>
      <w:r>
        <w:rPr>
          <w:rFonts w:hint="eastAsia" w:ascii="仿宋" w:hAnsi="仿宋" w:eastAsia="仿宋" w:cs="仿宋"/>
          <w:color w:val="auto"/>
          <w:spacing w:val="-1"/>
          <w:sz w:val="32"/>
          <w:szCs w:val="32"/>
          <w:u w:val="none"/>
          <w:lang w:val="en-US" w:eastAsia="zh-CN"/>
        </w:rPr>
        <w:t>910962</w:t>
      </w:r>
      <w:r>
        <w:rPr>
          <w:rFonts w:hint="eastAsia" w:ascii="仿宋_GB2312" w:hAnsi="仿宋_GB2312" w:eastAsia="仿宋_GB2312" w:cs="仿宋_GB2312"/>
          <w:spacing w:val="-1"/>
          <w:sz w:val="32"/>
          <w:szCs w:val="32"/>
          <w:u w:val="none"/>
          <w:lang w:val="en-US" w:eastAsia="zh-CN"/>
        </w:rPr>
        <w:t>中国建设银行个人活期账户全部交易明细1份</w:t>
      </w:r>
      <w:r>
        <w:rPr>
          <w:rFonts w:hint="eastAsia" w:ascii="仿宋_GB2312" w:hAnsi="Times New Roman" w:eastAsia="仿宋_GB2312" w:cs="仿宋_GB2312"/>
          <w:bCs/>
          <w:sz w:val="32"/>
          <w:szCs w:val="32"/>
          <w:u w:val="none"/>
          <w:lang w:val="en-US" w:eastAsia="zh-CN"/>
        </w:rPr>
        <w:t>，</w:t>
      </w:r>
      <w:r>
        <w:rPr>
          <w:rFonts w:hint="eastAsia" w:ascii="仿宋_GB2312" w:hAnsi="仿宋_GB2312" w:eastAsia="仿宋_GB2312" w:cs="仿宋_GB2312"/>
          <w:bCs/>
          <w:sz w:val="32"/>
          <w:szCs w:val="32"/>
          <w:u w:val="none"/>
          <w:lang w:val="en-US" w:eastAsia="zh-CN"/>
        </w:rPr>
        <w:t xml:space="preserve">证明当事人介绍他人参加传销的事实和用于传销的资金详细情况；                                                    </w:t>
      </w:r>
    </w:p>
    <w:p w14:paraId="66604E4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u w:val="none"/>
          <w:lang w:val="en-US" w:eastAsia="zh-CN"/>
        </w:rPr>
        <w:t>5、</w:t>
      </w:r>
      <w:r>
        <w:rPr>
          <w:rFonts w:hint="eastAsia" w:ascii="仿宋_GB2312" w:hAnsi="Times New Roman" w:eastAsia="仿宋_GB2312" w:cs="仿宋_GB2312"/>
          <w:bCs/>
          <w:sz w:val="32"/>
          <w:szCs w:val="32"/>
          <w:u w:val="none"/>
          <w:lang w:val="en-US" w:eastAsia="zh-CN"/>
        </w:rPr>
        <w:t xml:space="preserve">当事人身份证复印件1份，证明当事人承担法律行为能力的主体资格。                                       </w:t>
      </w:r>
      <w:r>
        <w:rPr>
          <w:rFonts w:hint="eastAsia" w:ascii="仿宋_GB2312" w:hAnsi="Times New Roman" w:eastAsia="仿宋_GB2312" w:cs="仿宋_GB2312"/>
          <w:bCs/>
          <w:sz w:val="32"/>
          <w:szCs w:val="32"/>
          <w:u w:val="single"/>
          <w:lang w:val="en-US" w:eastAsia="zh-CN"/>
        </w:rPr>
        <w:t xml:space="preserve"> </w:t>
      </w:r>
    </w:p>
    <w:p w14:paraId="6DDF99F6">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当事人于2024年9月20日签收本局行政处罚告知书，未提出陈述申辩和听证。       </w:t>
      </w:r>
    </w:p>
    <w:p w14:paraId="402D6440">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本局认为，当事人上述行为违反《禁止传销条例》第七</w:t>
      </w:r>
    </w:p>
    <w:p w14:paraId="29DFDE14">
      <w:pPr>
        <w:keepNext w:val="0"/>
        <w:keepLines w:val="0"/>
        <w:pageBreakBefore w:val="0"/>
        <w:kinsoku/>
        <w:wordWrap/>
        <w:topLinePunct w:val="0"/>
        <w:bidi w:val="0"/>
        <w:spacing w:line="520" w:lineRule="exact"/>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w:t>
      </w:r>
    </w:p>
    <w:p w14:paraId="0F084551">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依据《禁止传销条例》第二十四条第二款“有本条例第七条规定的行为，介绍、诱骗、胁迫他人参加传销的，由工商行政管理部门责令停止违法行为，没收非法财物，没收违法所得，处10万元以上50万元以下的罚款;构成犯罪的，依法追究刑事责任”的规定，参照《安徽省市场监督管理行政处罚裁量权基准》（2023年版）第【65】条第二款第一项“1.介绍他人参加传销的，处十万元以上二十万元以下的罚款”的规定，决定处当事人从轻行政处罚：100000元。</w:t>
      </w:r>
    </w:p>
    <w:p w14:paraId="6C6E05EC">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14:paraId="7D2358A8">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14:paraId="4D9F057F">
      <w:pPr>
        <w:keepNext w:val="0"/>
        <w:keepLines w:val="0"/>
        <w:pageBreakBefore w:val="0"/>
        <w:kinsoku/>
        <w:wordWrap/>
        <w:topLinePunct w:val="0"/>
        <w:bidi w:val="0"/>
        <w:spacing w:line="520" w:lineRule="exact"/>
        <w:ind w:right="640" w:firstLine="601"/>
        <w:jc w:val="righ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02F15ED4">
      <w:pPr>
        <w:keepNext w:val="0"/>
        <w:keepLines w:val="0"/>
        <w:pageBreakBefore w:val="0"/>
        <w:kinsoku/>
        <w:wordWrap/>
        <w:topLinePunct w:val="0"/>
        <w:bidi w:val="0"/>
        <w:spacing w:line="520" w:lineRule="exact"/>
        <w:ind w:right="640" w:firstLine="601"/>
        <w:jc w:val="right"/>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14:paraId="4CD8B318">
      <w:pPr>
        <w:keepNext w:val="0"/>
        <w:keepLines w:val="0"/>
        <w:pageBreakBefore w:val="0"/>
        <w:kinsoku/>
        <w:wordWrap/>
        <w:topLinePunct w:val="0"/>
        <w:bidi w:val="0"/>
        <w:spacing w:line="520" w:lineRule="exact"/>
        <w:ind w:right="640" w:firstLine="601"/>
        <w:jc w:val="right"/>
        <w:rPr>
          <w:rFonts w:hint="eastAsia" w:ascii="Times New Roman" w:hAnsi="Times New Roman" w:eastAsia="仿宋_GB2312" w:cs="仿宋"/>
          <w:color w:val="000000"/>
          <w:sz w:val="32"/>
          <w:szCs w:val="32"/>
        </w:rPr>
      </w:pPr>
    </w:p>
    <w:p w14:paraId="6BDEB0CF">
      <w:pPr>
        <w:keepNext w:val="0"/>
        <w:keepLines w:val="0"/>
        <w:pageBreakBefore w:val="0"/>
        <w:kinsoku/>
        <w:wordWrap/>
        <w:topLinePunct w:val="0"/>
        <w:bidi w:val="0"/>
        <w:spacing w:line="520" w:lineRule="exact"/>
        <w:ind w:right="1280" w:firstLine="600"/>
        <w:jc w:val="righ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w:t>
      </w:r>
    </w:p>
    <w:p w14:paraId="6ECF25ED">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3251D13">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sinsum">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E3AD">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14:paraId="7C64579B">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E7E1835"/>
    <w:rsid w:val="0FF5B04E"/>
    <w:rsid w:val="10B36ECA"/>
    <w:rsid w:val="15791A87"/>
    <w:rsid w:val="157A3D44"/>
    <w:rsid w:val="19EF14EA"/>
    <w:rsid w:val="1F7BB458"/>
    <w:rsid w:val="1FBF0C1A"/>
    <w:rsid w:val="1FEF796D"/>
    <w:rsid w:val="1FFFD8C2"/>
    <w:rsid w:val="208B2A2D"/>
    <w:rsid w:val="21AA5373"/>
    <w:rsid w:val="22286CCA"/>
    <w:rsid w:val="25EB42DB"/>
    <w:rsid w:val="293C44C2"/>
    <w:rsid w:val="29E5160F"/>
    <w:rsid w:val="2CFDB7D2"/>
    <w:rsid w:val="2E952FB2"/>
    <w:rsid w:val="2EFF01D2"/>
    <w:rsid w:val="318B377B"/>
    <w:rsid w:val="34ED162B"/>
    <w:rsid w:val="35925435"/>
    <w:rsid w:val="36BF290B"/>
    <w:rsid w:val="36FBA1AE"/>
    <w:rsid w:val="37BF948A"/>
    <w:rsid w:val="39F556E5"/>
    <w:rsid w:val="3ACBED0F"/>
    <w:rsid w:val="3C6238A8"/>
    <w:rsid w:val="3E353212"/>
    <w:rsid w:val="3EFE7164"/>
    <w:rsid w:val="3F43235B"/>
    <w:rsid w:val="3F8F657B"/>
    <w:rsid w:val="3FF7C52F"/>
    <w:rsid w:val="3FFF81AA"/>
    <w:rsid w:val="43DF62B7"/>
    <w:rsid w:val="468A4124"/>
    <w:rsid w:val="46DDDB32"/>
    <w:rsid w:val="4B99D382"/>
    <w:rsid w:val="4DFF47DE"/>
    <w:rsid w:val="4EAD8A51"/>
    <w:rsid w:val="52A34003"/>
    <w:rsid w:val="58BC81EF"/>
    <w:rsid w:val="5C6EB2E6"/>
    <w:rsid w:val="5DF1163B"/>
    <w:rsid w:val="5EEF1B42"/>
    <w:rsid w:val="5F69F1E0"/>
    <w:rsid w:val="5F9E1961"/>
    <w:rsid w:val="5FB271BB"/>
    <w:rsid w:val="62E55ADD"/>
    <w:rsid w:val="65B73CC5"/>
    <w:rsid w:val="65D7D67A"/>
    <w:rsid w:val="65F5328D"/>
    <w:rsid w:val="66584881"/>
    <w:rsid w:val="67DDEFD8"/>
    <w:rsid w:val="68F7277A"/>
    <w:rsid w:val="693FB342"/>
    <w:rsid w:val="6AA77FB9"/>
    <w:rsid w:val="6AF89D6B"/>
    <w:rsid w:val="6B146ABA"/>
    <w:rsid w:val="6BEFC53E"/>
    <w:rsid w:val="6BFABF96"/>
    <w:rsid w:val="6CA73891"/>
    <w:rsid w:val="6CFBBCD6"/>
    <w:rsid w:val="6D7D8831"/>
    <w:rsid w:val="6DBF9E51"/>
    <w:rsid w:val="6DF75117"/>
    <w:rsid w:val="6E2D6001"/>
    <w:rsid w:val="6ED7CB95"/>
    <w:rsid w:val="6F77F74E"/>
    <w:rsid w:val="6F9E9506"/>
    <w:rsid w:val="6F9F4CCF"/>
    <w:rsid w:val="6FE6E685"/>
    <w:rsid w:val="6FEEB261"/>
    <w:rsid w:val="6FFFB8C7"/>
    <w:rsid w:val="712A40FB"/>
    <w:rsid w:val="72EB4614"/>
    <w:rsid w:val="73B31C54"/>
    <w:rsid w:val="74FF5F35"/>
    <w:rsid w:val="75EF8718"/>
    <w:rsid w:val="75FFE398"/>
    <w:rsid w:val="766FE241"/>
    <w:rsid w:val="76F9C673"/>
    <w:rsid w:val="773ED453"/>
    <w:rsid w:val="777F864F"/>
    <w:rsid w:val="779D8999"/>
    <w:rsid w:val="77E15590"/>
    <w:rsid w:val="77EF1A73"/>
    <w:rsid w:val="77FE5599"/>
    <w:rsid w:val="77FF461B"/>
    <w:rsid w:val="79DBE570"/>
    <w:rsid w:val="79FECB39"/>
    <w:rsid w:val="7AF738D0"/>
    <w:rsid w:val="7B73F3B9"/>
    <w:rsid w:val="7B9EAAA9"/>
    <w:rsid w:val="7BAF5836"/>
    <w:rsid w:val="7BFF3492"/>
    <w:rsid w:val="7BFF60E3"/>
    <w:rsid w:val="7CFCF9AF"/>
    <w:rsid w:val="7D3DD8E0"/>
    <w:rsid w:val="7D570909"/>
    <w:rsid w:val="7D5CF56A"/>
    <w:rsid w:val="7DC7D132"/>
    <w:rsid w:val="7DDE871C"/>
    <w:rsid w:val="7DF89CC8"/>
    <w:rsid w:val="7EAA216A"/>
    <w:rsid w:val="7EEFE395"/>
    <w:rsid w:val="7EFFCD6A"/>
    <w:rsid w:val="7F2A8DBE"/>
    <w:rsid w:val="7F3D752B"/>
    <w:rsid w:val="7F5FD5E8"/>
    <w:rsid w:val="7F67A2A9"/>
    <w:rsid w:val="7F6F493F"/>
    <w:rsid w:val="7F7D1A11"/>
    <w:rsid w:val="7F7EDE98"/>
    <w:rsid w:val="7FA9AD4E"/>
    <w:rsid w:val="7FC745D0"/>
    <w:rsid w:val="7FC7E01F"/>
    <w:rsid w:val="7FEB60F9"/>
    <w:rsid w:val="7FEE4087"/>
    <w:rsid w:val="7FF7A5CF"/>
    <w:rsid w:val="7FFB3C79"/>
    <w:rsid w:val="7FFD58E8"/>
    <w:rsid w:val="7FFF236D"/>
    <w:rsid w:val="7FFFFFB6"/>
    <w:rsid w:val="8AE6D61B"/>
    <w:rsid w:val="8BABB8AB"/>
    <w:rsid w:val="8DFE16FB"/>
    <w:rsid w:val="8FF91FAA"/>
    <w:rsid w:val="97F58F88"/>
    <w:rsid w:val="9F7DA5CF"/>
    <w:rsid w:val="9FC73F23"/>
    <w:rsid w:val="9FEFC8E7"/>
    <w:rsid w:val="ADBF4E35"/>
    <w:rsid w:val="AEFFA6DE"/>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F7E73"/>
    <w:rsid w:val="C75FDBC6"/>
    <w:rsid w:val="C9BF6BCC"/>
    <w:rsid w:val="CBEBB463"/>
    <w:rsid w:val="CFF6EFF2"/>
    <w:rsid w:val="D3A3E7BC"/>
    <w:rsid w:val="D7FEEF1D"/>
    <w:rsid w:val="D9F78B60"/>
    <w:rsid w:val="DC775566"/>
    <w:rsid w:val="DDCFB42C"/>
    <w:rsid w:val="DDDB92AA"/>
    <w:rsid w:val="DEE591ED"/>
    <w:rsid w:val="DEF1AC92"/>
    <w:rsid w:val="DF2E579D"/>
    <w:rsid w:val="DF7E362D"/>
    <w:rsid w:val="DF8F9F01"/>
    <w:rsid w:val="DFCFC2E8"/>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F1FD2DBC"/>
    <w:rsid w:val="F375F3D5"/>
    <w:rsid w:val="F3F24985"/>
    <w:rsid w:val="F3FF7C5D"/>
    <w:rsid w:val="F5F61D1C"/>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F8BE0"/>
    <w:rsid w:val="FD37722E"/>
    <w:rsid w:val="FDE7959D"/>
    <w:rsid w:val="FE257C0F"/>
    <w:rsid w:val="FEF67391"/>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1502</Words>
  <Characters>1600</Characters>
  <Lines>5</Lines>
  <Paragraphs>9</Paragraphs>
  <TotalTime>0</TotalTime>
  <ScaleCrop>false</ScaleCrop>
  <LinksUpToDate>false</LinksUpToDate>
  <CharactersWithSpaces>1867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2021-08-16T13:03:00Z</dcterms:created>
  <dc:creator>lenovo</dc:creator>
  <cp:lastModifiedBy>张志勇</cp:lastModifiedBy>
  <cp:lastPrinted>2024-09-30T08:17:00Z</cp:lastPrinted>
  <dcterms:modified xsi:type="dcterms:W3CDTF">2024-09-30T06:57:49Z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CE2528350D7344269652397547EE4C12_12</vt:lpwstr>
  </property>
</Properties>
</file>