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hint="eastAsia"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395</w:t>
      </w:r>
      <w:r>
        <w:rPr>
          <w:rFonts w:hint="eastAsia" w:ascii="仿宋" w:hAnsi="仿宋" w:eastAsia="仿宋" w:cs="仿宋"/>
          <w:bCs/>
          <w:color w:val="000000"/>
          <w:sz w:val="32"/>
          <w:szCs w:val="32"/>
        </w:rPr>
        <w:t>号</w:t>
      </w:r>
    </w:p>
    <w:p>
      <w:pPr>
        <w:widowControl/>
        <w:snapToGrid w:val="0"/>
        <w:spacing w:line="520" w:lineRule="exact"/>
        <w:ind w:right="55"/>
        <w:jc w:val="center"/>
        <w:rPr>
          <w:rFonts w:hint="eastAsia" w:ascii="仿宋" w:hAnsi="仿宋" w:eastAsia="仿宋" w:cs="仿宋"/>
          <w:bCs/>
          <w:color w:val="000000"/>
          <w:sz w:val="32"/>
          <w:szCs w:val="32"/>
        </w:rPr>
      </w:pP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eastAsia="zh-CN"/>
        </w:rPr>
        <w:t>杨</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 xml:space="preserve">   </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2023年8月24日，本局收到淮南市公安局《传销线索移送函》（淮公函[2023]23号)，称你是淮南市公安局办理的《325组织领导传销案》涉案人员，从事传销活动，经依法核查，你介绍他人参加传销的行为未达到刑事立案标准，移交本局处理。根据淮南市公安局移送的刑事调查卷宗和相关证据材料，你涉嫌介绍他人参加传销。本局于2023年10月10日予以立案，2024年6月18日对当事人进行了调查。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经查，2017年11月当事人经黄</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介绍，参加“壹汇环球”传销项目，并介绍他人参加传销，介绍发展的下线有董</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、周</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、郭</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 xml:space="preserve">等 39人，公安机关已核查下线人员18人，剩余21人放弃报警或拒绝配合取证。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 w:eastAsia="zh-CN" w:bidi="ar-SA"/>
        </w:rPr>
        <w:t>当事人参与“</w:t>
      </w:r>
      <w:r>
        <w:rPr>
          <w:rFonts w:hint="eastAsia" w:ascii="仿宋" w:hAnsi="仿宋" w:eastAsia="仿宋" w:cs="仿宋_GB2312"/>
          <w:kern w:val="2"/>
          <w:sz w:val="32"/>
          <w:szCs w:val="32"/>
          <w:lang w:val="en-US" w:eastAsia="zh-CN" w:bidi="ar-SA"/>
        </w:rPr>
        <w:t xml:space="preserve">壹汇环球”传销项目涉案资金主要通过中国农业银行62****75账户和工商银行62****05账户进行转账，交易流水包括当事人及其下线的投入资金和获得收益。上述银行卡的资金流水包含当事人的家庭生活收支以及传销资金交易，无法进行区分，当事人违法所得无法计算。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Times New Roman" w:eastAsia="仿宋_GB2312" w:cs="仿宋_GB2312"/>
          <w:bCs/>
          <w:sz w:val="32"/>
          <w:szCs w:val="32"/>
          <w:u w:val="none"/>
          <w:lang w:val="en-US" w:eastAsia="zh-CN"/>
        </w:rPr>
      </w:pPr>
      <w:r>
        <w:rPr>
          <w:rFonts w:hint="eastAsia" w:ascii="仿宋_GB2312" w:hAnsi="sinsum" w:eastAsia="仿宋_GB2312" w:cs="仿宋_GB2312"/>
          <w:i w:val="0"/>
          <w:caps w:val="0"/>
          <w:color w:val="000000"/>
          <w:spacing w:val="0"/>
          <w:sz w:val="32"/>
          <w:szCs w:val="32"/>
          <w:u w:val="none"/>
          <w:shd w:val="clear" w:color="auto" w:fill="FFFFFF"/>
          <w:lang w:val="en-US" w:eastAsia="zh-CN"/>
        </w:rPr>
        <w:t xml:space="preserve">1、淮南市公安局《传销线索移送函》1份，证明案件线索来源；  </w:t>
      </w:r>
      <w:r>
        <w:rPr>
          <w:rFonts w:hint="eastAsia" w:ascii="仿宋_GB2312" w:hAnsi="Times New Roman" w:eastAsia="仿宋_GB2312" w:cs="仿宋_GB2312"/>
          <w:bCs/>
          <w:sz w:val="32"/>
          <w:szCs w:val="32"/>
          <w:u w:val="no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default" w:ascii="仿宋_GB2312" w:hAnsi="Times New Roman"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 xml:space="preserve">2、江西锦苑司法鉴定中心《司法鉴定意见书》（赣锦苑鉴[2023]电子鉴字第1号）1份,证明当事人参加并介绍他人参加传销的事实;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3</w:t>
      </w:r>
      <w:r>
        <w:rPr>
          <w:rFonts w:hint="eastAsia" w:ascii="仿宋_GB2312" w:hAnsi="sinsum" w:eastAsia="仿宋_GB2312" w:cs="仿宋_GB2312"/>
          <w:i w:val="0"/>
          <w:caps w:val="0"/>
          <w:color w:val="000000"/>
          <w:spacing w:val="0"/>
          <w:sz w:val="32"/>
          <w:szCs w:val="32"/>
          <w:u w:val="none"/>
          <w:shd w:val="clear" w:color="auto" w:fill="FFFFFF"/>
          <w:lang w:val="en-US" w:eastAsia="zh-CN"/>
        </w:rPr>
        <w:t>、淮南市公安局山南新区分局在侦刑事案件卷宗（</w:t>
      </w:r>
      <w:r>
        <w:rPr>
          <w:rFonts w:hint="eastAsia" w:ascii="仿宋_GB2312" w:hAnsi="仿宋_GB2312" w:eastAsia="仿宋_GB2312" w:cs="仿宋_GB2312"/>
          <w:sz w:val="30"/>
          <w:szCs w:val="30"/>
          <w:u w:val="none"/>
          <w:lang w:eastAsia="zh-CN"/>
        </w:rPr>
        <w:t>杨</w:t>
      </w:r>
      <w:r>
        <w:rPr>
          <w:rFonts w:hint="eastAsia" w:ascii="仿宋" w:hAnsi="仿宋" w:eastAsia="仿宋" w:cs="仿宋"/>
          <w:bCs/>
          <w:color w:val="000000"/>
          <w:sz w:val="32"/>
          <w:szCs w:val="32"/>
          <w:lang w:val="en-US" w:eastAsia="zh-CN"/>
        </w:rPr>
        <w:t>*</w:t>
      </w:r>
      <w:r>
        <w:rPr>
          <w:rFonts w:hint="eastAsia" w:ascii="仿宋_GB2312" w:hAnsi="sinsum" w:eastAsia="仿宋_GB2312" w:cs="仿宋_GB2312"/>
          <w:i w:val="0"/>
          <w:caps w:val="0"/>
          <w:color w:val="000000"/>
          <w:spacing w:val="0"/>
          <w:sz w:val="32"/>
          <w:szCs w:val="32"/>
          <w:u w:val="none"/>
          <w:shd w:val="clear" w:color="auto" w:fill="FFFFFF"/>
          <w:lang w:val="en-US" w:eastAsia="zh-CN"/>
        </w:rPr>
        <w:t>）1份，</w:t>
      </w:r>
      <w:r>
        <w:rPr>
          <w:rFonts w:hint="eastAsia" w:ascii="仿宋_GB2312" w:hAnsi="仿宋_GB2312" w:eastAsia="仿宋_GB2312" w:cs="仿宋_GB2312"/>
          <w:bCs/>
          <w:sz w:val="32"/>
          <w:szCs w:val="32"/>
          <w:u w:val="none"/>
          <w:lang w:val="en-US" w:eastAsia="zh-CN"/>
        </w:rPr>
        <w:t xml:space="preserve">证明当事人介绍他人参加传销的事实；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default" w:ascii="仿宋_GB2312" w:hAnsi="仿宋_GB2312" w:eastAsia="仿宋_GB2312" w:cs="仿宋_GB2312"/>
          <w:bCs/>
          <w:sz w:val="32"/>
          <w:szCs w:val="32"/>
          <w:u w:val="none"/>
          <w:lang w:val="en-US" w:eastAsia="zh-CN"/>
        </w:rPr>
      </w:pPr>
      <w:bookmarkStart w:id="3" w:name="_GoBack"/>
      <w:bookmarkEnd w:id="3"/>
      <w:r>
        <w:rPr>
          <w:rFonts w:hint="eastAsia" w:ascii="仿宋_GB2312" w:hAnsi="Times New Roman" w:eastAsia="仿宋_GB2312" w:cs="仿宋_GB2312"/>
          <w:bCs/>
          <w:sz w:val="32"/>
          <w:szCs w:val="32"/>
          <w:u w:val="none"/>
          <w:lang w:val="en-US" w:eastAsia="zh-CN"/>
        </w:rPr>
        <w:t>4、</w:t>
      </w:r>
      <w:r>
        <w:rPr>
          <w:rFonts w:hint="eastAsia" w:ascii="仿宋_GB2312" w:hAnsi="sinsum" w:eastAsia="仿宋_GB2312" w:cs="仿宋_GB2312"/>
          <w:i w:val="0"/>
          <w:caps w:val="0"/>
          <w:color w:val="000000"/>
          <w:spacing w:val="0"/>
          <w:sz w:val="32"/>
          <w:szCs w:val="32"/>
          <w:u w:val="none"/>
          <w:shd w:val="clear" w:color="auto" w:fill="FFFFFF"/>
          <w:lang w:val="en-US" w:eastAsia="zh-CN"/>
        </w:rPr>
        <w:t>本局</w:t>
      </w:r>
      <w:r>
        <w:rPr>
          <w:rFonts w:hint="eastAsia" w:ascii="仿宋_GB2312" w:hAnsi="Times New Roman" w:eastAsia="仿宋_GB2312" w:cs="仿宋_GB2312"/>
          <w:bCs/>
          <w:sz w:val="32"/>
          <w:szCs w:val="32"/>
          <w:u w:val="none"/>
          <w:lang w:val="en-US" w:eastAsia="zh-CN"/>
        </w:rPr>
        <w:t>对当事人询问笔录1份、中国</w:t>
      </w:r>
      <w:r>
        <w:rPr>
          <w:rFonts w:hint="eastAsia" w:ascii="仿宋" w:hAnsi="仿宋" w:eastAsia="仿宋" w:cs="仿宋"/>
          <w:color w:val="auto"/>
          <w:spacing w:val="-1"/>
          <w:sz w:val="32"/>
          <w:szCs w:val="32"/>
          <w:u w:val="none"/>
          <w:lang w:val="en-US" w:eastAsia="zh-CN"/>
        </w:rPr>
        <w:t>农业银行（卡号：62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75）和工商银行的（卡号：62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05）</w:t>
      </w:r>
      <w:r>
        <w:rPr>
          <w:rFonts w:hint="eastAsia" w:ascii="仿宋_GB2312" w:hAnsi="仿宋_GB2312" w:eastAsia="仿宋_GB2312" w:cs="仿宋_GB2312"/>
          <w:spacing w:val="-1"/>
          <w:sz w:val="32"/>
          <w:szCs w:val="32"/>
          <w:u w:val="none"/>
          <w:lang w:val="en-US" w:eastAsia="zh-CN"/>
        </w:rPr>
        <w:t>交易明细1份</w:t>
      </w:r>
      <w:r>
        <w:rPr>
          <w:rFonts w:hint="eastAsia" w:ascii="仿宋_GB2312" w:hAnsi="Times New Roman" w:eastAsia="仿宋_GB2312" w:cs="仿宋_GB2312"/>
          <w:bCs/>
          <w:sz w:val="32"/>
          <w:szCs w:val="32"/>
          <w:u w:val="none"/>
          <w:lang w:val="en-US" w:eastAsia="zh-CN"/>
        </w:rPr>
        <w:t>，</w:t>
      </w:r>
      <w:r>
        <w:rPr>
          <w:rFonts w:hint="eastAsia" w:ascii="仿宋_GB2312" w:hAnsi="仿宋_GB2312" w:eastAsia="仿宋_GB2312" w:cs="仿宋_GB2312"/>
          <w:bCs/>
          <w:sz w:val="32"/>
          <w:szCs w:val="32"/>
          <w:u w:val="none"/>
          <w:lang w:val="en-US" w:eastAsia="zh-CN"/>
        </w:rPr>
        <w:t xml:space="preserve">证明当事人介绍他人参加传销的事实及传销资金交易情况；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5、安徽省淮南市大通区人民法院刑事判决书打印件1份，证明</w:t>
      </w:r>
      <w:r>
        <w:rPr>
          <w:rFonts w:hint="eastAsia" w:ascii="仿宋_GB2312" w:hAnsi="sinsum" w:eastAsia="仿宋_GB2312" w:cs="仿宋_GB2312"/>
          <w:i w:val="0"/>
          <w:caps w:val="0"/>
          <w:color w:val="000000"/>
          <w:spacing w:val="0"/>
          <w:sz w:val="32"/>
          <w:szCs w:val="32"/>
          <w:u w:val="none"/>
          <w:shd w:val="clear" w:color="auto" w:fill="FFFFFF"/>
          <w:lang w:val="en-US" w:eastAsia="zh-CN"/>
        </w:rPr>
        <w:t>当事人上线另案处理情况及当事人</w:t>
      </w:r>
      <w:r>
        <w:rPr>
          <w:rFonts w:hint="eastAsia" w:ascii="仿宋_GB2312" w:hAnsi="仿宋_GB2312" w:eastAsia="仿宋_GB2312" w:cs="仿宋_GB2312"/>
          <w:bCs/>
          <w:sz w:val="32"/>
          <w:szCs w:val="32"/>
          <w:u w:val="none"/>
          <w:lang w:val="en-US" w:eastAsia="zh-CN"/>
        </w:rPr>
        <w:t xml:space="preserve">介绍他人参加的“壹汇环球”项目属传销活动的事实；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lang w:val="en-US" w:eastAsia="zh-CN" w:bidi="ar-SA"/>
        </w:rPr>
      </w:pPr>
      <w:r>
        <w:rPr>
          <w:rFonts w:hint="eastAsia" w:ascii="仿宋_GB2312" w:hAnsi="仿宋_GB2312" w:eastAsia="仿宋_GB2312" w:cs="仿宋_GB2312"/>
          <w:bCs/>
          <w:sz w:val="32"/>
          <w:szCs w:val="32"/>
          <w:u w:val="none"/>
          <w:lang w:val="en-US" w:eastAsia="zh-CN"/>
        </w:rPr>
        <w:t>6、</w:t>
      </w:r>
      <w:r>
        <w:rPr>
          <w:rFonts w:hint="eastAsia" w:ascii="仿宋_GB2312" w:hAnsi="Times New Roman" w:eastAsia="仿宋_GB2312" w:cs="仿宋_GB2312"/>
          <w:bCs/>
          <w:sz w:val="32"/>
          <w:szCs w:val="32"/>
          <w:u w:val="none"/>
          <w:lang w:val="en-US" w:eastAsia="zh-CN"/>
        </w:rPr>
        <w:t xml:space="preserve">当事人身份证复印件1份，证明当事人承担法律行为能力的主体资格。           </w:t>
      </w:r>
      <w:r>
        <w:rPr>
          <w:rFonts w:hint="eastAsia" w:ascii="仿宋" w:hAnsi="仿宋" w:eastAsia="仿宋" w:cs="仿宋_GB2312"/>
          <w:kern w:val="2"/>
          <w:sz w:val="32"/>
          <w:szCs w:val="32"/>
          <w:u w:val="none"/>
          <w:lang w:val="en-US" w:eastAsia="zh-CN" w:bidi="ar-SA"/>
        </w:rPr>
        <w:t xml:space="preserve">   </w:t>
      </w:r>
      <w:r>
        <w:rPr>
          <w:rFonts w:hint="eastAsia" w:ascii="仿宋" w:hAnsi="仿宋" w:eastAsia="仿宋" w:cs="仿宋_GB2312"/>
          <w:kern w:val="2"/>
          <w:sz w:val="32"/>
          <w:szCs w:val="32"/>
          <w:lang w:val="en-US" w:eastAsia="zh-CN" w:bidi="ar-SA"/>
        </w:rPr>
        <w:t xml:space="preserve"> </w:t>
      </w:r>
    </w:p>
    <w:p>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当事人于2024年9月20日签收本局行政处罚告知书，未提出陈述申辩和听证。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本局认为，当事人上述行为违反《禁止传销条例》第七条“下列行为，属于传销行为:(一)组织者或者经营者通过发展人员，要求被发展人员发展其他人员加入，对发展的人</w:t>
      </w:r>
    </w:p>
    <w:p>
      <w:pPr>
        <w:keepNext w:val="0"/>
        <w:keepLines w:val="0"/>
        <w:pageBreakBefore w:val="0"/>
        <w:kinsoku/>
        <w:wordWrap/>
        <w:topLinePunct w:val="0"/>
        <w:bidi w:val="0"/>
        <w:spacing w:line="520" w:lineRule="exact"/>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依据《禁止传销条例》第二十四条第二款“有本条例第七条规定的行为，介绍、诱骗、胁迫他人参加传销的，由工商行政管理部门责令停止违法行为，没收非法财物，没收违法所得，处10万元以上50万元以下的罚款;构成犯罪的，依法追究刑事责任”的规定，参照《安徽省市场监督管理行政处罚裁量权基准》（2023年版）第【65】条第二款第一项“1.介绍他人参加传销的，处十万元以上二十万元以下的罚款”的规定，决定处当事人从轻行政处罚：100000元。</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w:t>
      </w:r>
    </w:p>
    <w:p>
      <w:pPr>
        <w:pStyle w:val="3"/>
        <w:keepNext w:val="0"/>
        <w:keepLines w:val="0"/>
        <w:pageBreakBefore w:val="0"/>
        <w:tabs>
          <w:tab w:val="left" w:pos="9060"/>
        </w:tabs>
        <w:kinsoku/>
        <w:wordWrap/>
        <w:topLinePunct w:val="0"/>
        <w:bidi w:val="0"/>
        <w:spacing w:line="520" w:lineRule="exact"/>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行政复议或者提起行政诉讼期间，行政处罚不停止执行。</w:t>
      </w:r>
    </w:p>
    <w:p>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keepNext w:val="0"/>
        <w:keepLines w:val="0"/>
        <w:pageBreakBefore w:val="0"/>
        <w:kinsoku/>
        <w:wordWrap/>
        <w:topLinePunct w:val="0"/>
        <w:bidi w:val="0"/>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keepNext w:val="0"/>
        <w:keepLines w:val="0"/>
        <w:pageBreakBefore w:val="0"/>
        <w:kinsoku/>
        <w:wordWrap/>
        <w:topLinePunct w:val="0"/>
        <w:bidi w:val="0"/>
        <w:spacing w:line="520" w:lineRule="exact"/>
        <w:ind w:right="1280" w:firstLine="600"/>
        <w:jc w:val="righ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日</w:t>
      </w:r>
    </w:p>
    <w:p>
      <w:pPr>
        <w:rPr>
          <w:rFonts w:hint="eastAsia"/>
        </w:rPr>
      </w:pPr>
    </w:p>
    <w:p>
      <w:pPr>
        <w:rPr>
          <w:rFonts w:hint="eastAsia"/>
        </w:rPr>
      </w:pPr>
    </w:p>
    <w:p>
      <w:pPr>
        <w:rPr>
          <w:rFonts w:hint="eastAsia"/>
        </w:rPr>
      </w:pPr>
    </w:p>
    <w:p>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sinsum">
    <w:altName w:val="仿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E7E1835"/>
    <w:rsid w:val="0FF5B04E"/>
    <w:rsid w:val="10B36ECA"/>
    <w:rsid w:val="15791A87"/>
    <w:rsid w:val="157A3D44"/>
    <w:rsid w:val="16B672DA"/>
    <w:rsid w:val="19EF14EA"/>
    <w:rsid w:val="1F7BB458"/>
    <w:rsid w:val="1FBF0C1A"/>
    <w:rsid w:val="1FEF796D"/>
    <w:rsid w:val="1FFFD8C2"/>
    <w:rsid w:val="208B2A2D"/>
    <w:rsid w:val="21AA5373"/>
    <w:rsid w:val="22286CCA"/>
    <w:rsid w:val="25EB42DB"/>
    <w:rsid w:val="293C44C2"/>
    <w:rsid w:val="2CFDB7D2"/>
    <w:rsid w:val="2E952FB2"/>
    <w:rsid w:val="2EFF01D2"/>
    <w:rsid w:val="318B377B"/>
    <w:rsid w:val="34ED162B"/>
    <w:rsid w:val="35925435"/>
    <w:rsid w:val="36BF290B"/>
    <w:rsid w:val="36FBA1AE"/>
    <w:rsid w:val="37BF948A"/>
    <w:rsid w:val="39F556E5"/>
    <w:rsid w:val="3ACBED0F"/>
    <w:rsid w:val="3BFB8317"/>
    <w:rsid w:val="3EFE7164"/>
    <w:rsid w:val="3F43235B"/>
    <w:rsid w:val="3F8F657B"/>
    <w:rsid w:val="3FF7C52F"/>
    <w:rsid w:val="3FFF81AA"/>
    <w:rsid w:val="43DF62B7"/>
    <w:rsid w:val="468A4124"/>
    <w:rsid w:val="46DDDB32"/>
    <w:rsid w:val="4B99D382"/>
    <w:rsid w:val="4DFF47DE"/>
    <w:rsid w:val="4EAD8A51"/>
    <w:rsid w:val="52A34003"/>
    <w:rsid w:val="58BC81EF"/>
    <w:rsid w:val="5C6EB2E6"/>
    <w:rsid w:val="5DF1163B"/>
    <w:rsid w:val="5EEF1B42"/>
    <w:rsid w:val="5F69F1E0"/>
    <w:rsid w:val="5F9E1961"/>
    <w:rsid w:val="5FB271BB"/>
    <w:rsid w:val="5FBB7F2F"/>
    <w:rsid w:val="6157228A"/>
    <w:rsid w:val="62E55ADD"/>
    <w:rsid w:val="65B73CC5"/>
    <w:rsid w:val="65D7D67A"/>
    <w:rsid w:val="65F5328D"/>
    <w:rsid w:val="66584881"/>
    <w:rsid w:val="67DDEFD8"/>
    <w:rsid w:val="68F7277A"/>
    <w:rsid w:val="693FB342"/>
    <w:rsid w:val="6AA77FB9"/>
    <w:rsid w:val="6AF89D6B"/>
    <w:rsid w:val="6B146ABA"/>
    <w:rsid w:val="6BEFC53E"/>
    <w:rsid w:val="6BFABF96"/>
    <w:rsid w:val="6CA73891"/>
    <w:rsid w:val="6CFBBCD6"/>
    <w:rsid w:val="6D7D8831"/>
    <w:rsid w:val="6DBF9E51"/>
    <w:rsid w:val="6DF75117"/>
    <w:rsid w:val="6E2D6001"/>
    <w:rsid w:val="6ED7CB95"/>
    <w:rsid w:val="6F77F74E"/>
    <w:rsid w:val="6F9E9506"/>
    <w:rsid w:val="6F9F4CCF"/>
    <w:rsid w:val="6FE6E685"/>
    <w:rsid w:val="6FEEB261"/>
    <w:rsid w:val="6FFFB8C7"/>
    <w:rsid w:val="712A40FB"/>
    <w:rsid w:val="72E35B64"/>
    <w:rsid w:val="72EB4614"/>
    <w:rsid w:val="73B31C54"/>
    <w:rsid w:val="74FF5F35"/>
    <w:rsid w:val="75EF8718"/>
    <w:rsid w:val="75FFE398"/>
    <w:rsid w:val="766FE241"/>
    <w:rsid w:val="76F9C673"/>
    <w:rsid w:val="773ED453"/>
    <w:rsid w:val="777F864F"/>
    <w:rsid w:val="779D8999"/>
    <w:rsid w:val="77E15590"/>
    <w:rsid w:val="77EF1A73"/>
    <w:rsid w:val="77FE5599"/>
    <w:rsid w:val="77FF461B"/>
    <w:rsid w:val="79DBE570"/>
    <w:rsid w:val="79FECB39"/>
    <w:rsid w:val="7AF738D0"/>
    <w:rsid w:val="7B6B1A20"/>
    <w:rsid w:val="7B73F3B9"/>
    <w:rsid w:val="7B8FFDE6"/>
    <w:rsid w:val="7B9EAAA9"/>
    <w:rsid w:val="7BAF5836"/>
    <w:rsid w:val="7BFF3492"/>
    <w:rsid w:val="7BFF60E3"/>
    <w:rsid w:val="7CFCF9AF"/>
    <w:rsid w:val="7D3DD8E0"/>
    <w:rsid w:val="7D570909"/>
    <w:rsid w:val="7D5CF56A"/>
    <w:rsid w:val="7DA2740E"/>
    <w:rsid w:val="7DC7D132"/>
    <w:rsid w:val="7DDE871C"/>
    <w:rsid w:val="7DF89CC8"/>
    <w:rsid w:val="7EAA216A"/>
    <w:rsid w:val="7EEFE395"/>
    <w:rsid w:val="7EFFCD6A"/>
    <w:rsid w:val="7F2A8DBE"/>
    <w:rsid w:val="7F3D752B"/>
    <w:rsid w:val="7F5FD5E8"/>
    <w:rsid w:val="7F67A2A9"/>
    <w:rsid w:val="7F6F493F"/>
    <w:rsid w:val="7F7D1A11"/>
    <w:rsid w:val="7F7EDE98"/>
    <w:rsid w:val="7FA9AD4E"/>
    <w:rsid w:val="7FC745D0"/>
    <w:rsid w:val="7FC7E01F"/>
    <w:rsid w:val="7FEB60F9"/>
    <w:rsid w:val="7FEE4087"/>
    <w:rsid w:val="7FF7A5CF"/>
    <w:rsid w:val="7FFB3C79"/>
    <w:rsid w:val="7FFD58E8"/>
    <w:rsid w:val="7FFF236D"/>
    <w:rsid w:val="7FFFFFB6"/>
    <w:rsid w:val="8AE6D61B"/>
    <w:rsid w:val="8AFF5C9D"/>
    <w:rsid w:val="8BABB8AB"/>
    <w:rsid w:val="8DFE16FB"/>
    <w:rsid w:val="8FF91FAA"/>
    <w:rsid w:val="97F58F88"/>
    <w:rsid w:val="9F7DA5CF"/>
    <w:rsid w:val="9FC73F23"/>
    <w:rsid w:val="9FEFC8E7"/>
    <w:rsid w:val="ADBF4E35"/>
    <w:rsid w:val="AEFFA6DE"/>
    <w:rsid w:val="AFFFEF46"/>
    <w:rsid w:val="B55A04C6"/>
    <w:rsid w:val="BAFB3611"/>
    <w:rsid w:val="BBE7D2D3"/>
    <w:rsid w:val="BBEFDB84"/>
    <w:rsid w:val="BBFF3BDE"/>
    <w:rsid w:val="BDF70E53"/>
    <w:rsid w:val="BDFBDBBE"/>
    <w:rsid w:val="BE3F7857"/>
    <w:rsid w:val="BE9321C4"/>
    <w:rsid w:val="BEFDD16D"/>
    <w:rsid w:val="BFD748A1"/>
    <w:rsid w:val="BFEB3785"/>
    <w:rsid w:val="BFEDD2F0"/>
    <w:rsid w:val="BFFF7E73"/>
    <w:rsid w:val="C75FDBC6"/>
    <w:rsid w:val="C9BF6BCC"/>
    <w:rsid w:val="CBEBB463"/>
    <w:rsid w:val="CFF6EFF2"/>
    <w:rsid w:val="D3A3E7BC"/>
    <w:rsid w:val="D67FB385"/>
    <w:rsid w:val="D7FEEF1D"/>
    <w:rsid w:val="D9F78B60"/>
    <w:rsid w:val="DC775566"/>
    <w:rsid w:val="DDCFB42C"/>
    <w:rsid w:val="DDDB92AA"/>
    <w:rsid w:val="DEE591ED"/>
    <w:rsid w:val="DEF1AC92"/>
    <w:rsid w:val="DF2E579D"/>
    <w:rsid w:val="DF7E362D"/>
    <w:rsid w:val="DF8F9F01"/>
    <w:rsid w:val="DFCFC2E8"/>
    <w:rsid w:val="DFFEBCC8"/>
    <w:rsid w:val="E515A46B"/>
    <w:rsid w:val="E6FDA704"/>
    <w:rsid w:val="E75043E4"/>
    <w:rsid w:val="E75DF301"/>
    <w:rsid w:val="E7FC3521"/>
    <w:rsid w:val="E9DD56A1"/>
    <w:rsid w:val="EB6FBDEE"/>
    <w:rsid w:val="ECFF940D"/>
    <w:rsid w:val="ED99B25E"/>
    <w:rsid w:val="EE2E8413"/>
    <w:rsid w:val="EE3887D6"/>
    <w:rsid w:val="EECFA910"/>
    <w:rsid w:val="EEEF7829"/>
    <w:rsid w:val="EF3523A5"/>
    <w:rsid w:val="EF3E0168"/>
    <w:rsid w:val="EF9F5FA9"/>
    <w:rsid w:val="EFBD6EC0"/>
    <w:rsid w:val="EFCDF236"/>
    <w:rsid w:val="EFCE9BF9"/>
    <w:rsid w:val="F1FD2DBC"/>
    <w:rsid w:val="F3F24985"/>
    <w:rsid w:val="F3FF7C5D"/>
    <w:rsid w:val="F5F61D1C"/>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CFF8BE0"/>
    <w:rsid w:val="FD37722E"/>
    <w:rsid w:val="FDE7959D"/>
    <w:rsid w:val="FE257C0F"/>
    <w:rsid w:val="FEF67391"/>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1565</Words>
  <Characters>1720</Characters>
  <Lines>5</Lines>
  <Paragraphs>9</Paragraphs>
  <TotalTime>0</TotalTime>
  <ScaleCrop>false</ScaleCrop>
  <LinksUpToDate>false</LinksUpToDate>
  <CharactersWithSpaces>2028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2021-08-17T13:03:00Z</dcterms:created>
  <dc:creator>lenovo</dc:creator>
  <cp:lastModifiedBy>uos</cp:lastModifiedBy>
  <cp:lastPrinted>2024-10-01T00:29:00Z</cp:lastPrinted>
  <dcterms:modified xsi:type="dcterms:W3CDTF">2024-10-17T14:51:47Z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CE2528350D7344269652397547EE4C12_12</vt:lpwstr>
  </property>
</Properties>
</file>