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ascii="方正小标宋简体" w:hAnsi="方正小标宋简体" w:eastAsia="方正小标宋简体" w:cs="方正小标宋简体"/>
          <w:bCs/>
          <w:sz w:val="44"/>
          <w:szCs w:val="44"/>
        </w:rPr>
      </w:pPr>
      <w:bookmarkStart w:id="0" w:name="_Toc27865"/>
      <w:bookmarkStart w:id="1" w:name="_Toc76683363"/>
    </w:p>
    <w:p>
      <w:pPr>
        <w:spacing w:line="56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淮南市市场监督管理局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pPr>
        <w:widowControl/>
        <w:snapToGrid w:val="0"/>
        <w:spacing w:line="520" w:lineRule="exact"/>
        <w:ind w:right="55"/>
        <w:jc w:val="center"/>
        <w:rPr>
          <w:rFonts w:ascii="仿宋" w:hAnsi="仿宋" w:eastAsia="仿宋" w:cs="仿宋"/>
          <w:bCs/>
          <w:color w:val="000000"/>
          <w:sz w:val="32"/>
          <w:szCs w:val="32"/>
        </w:rPr>
      </w:pPr>
      <w:r>
        <w:rPr>
          <w:rFonts w:hint="eastAsia" w:ascii="仿宋" w:hAnsi="仿宋" w:eastAsia="仿宋" w:cs="仿宋"/>
          <w:bCs/>
          <w:color w:val="000000"/>
          <w:sz w:val="32"/>
          <w:szCs w:val="32"/>
        </w:rPr>
        <w:t>淮市监处罚〔202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val="en-US" w:eastAsia="zh-CN"/>
        </w:rPr>
        <w:t>394</w:t>
      </w:r>
      <w:r>
        <w:rPr>
          <w:rFonts w:hint="eastAsia" w:ascii="仿宋" w:hAnsi="仿宋" w:eastAsia="仿宋" w:cs="仿宋"/>
          <w:bCs/>
          <w:color w:val="000000"/>
          <w:sz w:val="32"/>
          <w:szCs w:val="32"/>
        </w:rPr>
        <w:t>号</w:t>
      </w:r>
    </w:p>
    <w:p>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rPr>
      </w:pPr>
      <w:r>
        <w:rPr>
          <w:rFonts w:ascii="Times New Roman" w:hAnsi="Times New Roman" w:eastAsia="仿宋_GB2312" w:cs="Mongolian Baiti"/>
          <w:color w:val="000000"/>
          <w:sz w:val="32"/>
          <w:szCs w:val="32"/>
        </w:rPr>
        <w:pict>
          <v:shape id="_x0000_s1026" o:spid="_x0000_s1026" o:spt="32" type="#_x0000_t32" style="position:absolute;left:0pt;margin-left:-3pt;margin-top:1638pt;height:0pt;width:453.7pt;z-index:251660288;mso-width-relative:page;mso-height-relative:page;" filled="f"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Cstb/WAAAADAEAAA8AAAAAAAAAAQAgAAAAOAAAAGRycy9kb3ducmV2&#10;LnhtbFBLAQIUABQAAAAIAIdO4kDvIdRk6AEAAKoDAAAOAAAAAAAAAAEAIAAAADsBAABkcnMvZTJv&#10;RG9jLnhtbFBLBQYAAAAABgAGAFkBAACVBQAAAAA=&#10;">
            <v:path arrowok="t"/>
            <v:fill on="f" focussize="0,0"/>
            <v:stroke weight="1.5pt"/>
            <v:imagedata o:title=""/>
            <o:lock v:ext="edit"/>
            <v:textbox>
              <w:txbxContent>
                <w:p>
                  <w:pPr>
                    <w:wordWrap w:val="0"/>
                    <w:rPr>
                      <w:rFonts w:ascii="宋体" w:hAnsi="宋体"/>
                      <w:sz w:val="20"/>
                      <w:szCs w:val="20"/>
                    </w:rPr>
                  </w:pPr>
                </w:p>
              </w:txbxContent>
            </v:textbox>
          </v:shape>
        </w:pict>
      </w:r>
      <w:r>
        <w:rPr>
          <w:rFonts w:hint="eastAsia" w:ascii="仿宋" w:hAnsi="仿宋" w:eastAsia="仿宋" w:cs="仿宋"/>
          <w:bCs/>
          <w:color w:val="000000"/>
          <w:sz w:val="32"/>
          <w:szCs w:val="32"/>
        </w:rPr>
        <w:t>当事人：肖</w:t>
      </w:r>
      <w:r>
        <w:rPr>
          <w:rFonts w:hint="eastAsia" w:ascii="仿宋" w:hAnsi="仿宋" w:eastAsia="仿宋" w:cs="仿宋"/>
          <w:bCs/>
          <w:color w:val="000000"/>
          <w:sz w:val="32"/>
          <w:szCs w:val="32"/>
          <w:lang w:val="en-US" w:eastAsia="zh-CN"/>
        </w:rPr>
        <w:t>*</w:t>
      </w:r>
      <w:r>
        <w:rPr>
          <w:rFonts w:hint="eastAsia" w:ascii="仿宋" w:hAnsi="仿宋" w:eastAsia="仿宋" w:cs="仿宋"/>
          <w:bCs/>
          <w:color w:val="000000"/>
          <w:sz w:val="32"/>
          <w:szCs w:val="32"/>
        </w:rPr>
        <w:t xml:space="preserve">玮   </w:t>
      </w:r>
    </w:p>
    <w:p>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rPr>
      </w:pPr>
      <w:r>
        <w:rPr>
          <w:rFonts w:hint="eastAsia" w:ascii="仿宋" w:hAnsi="仿宋" w:eastAsia="仿宋" w:cs="仿宋"/>
          <w:bCs/>
          <w:color w:val="000000"/>
          <w:sz w:val="32"/>
          <w:szCs w:val="32"/>
        </w:rPr>
        <w:t>住所（住址）：</w:t>
      </w:r>
      <w:r>
        <w:rPr>
          <w:rFonts w:hint="eastAsia" w:ascii="仿宋" w:hAnsi="仿宋" w:eastAsia="仿宋" w:cs="仿宋"/>
          <w:bCs/>
          <w:color w:val="000000"/>
          <w:sz w:val="32"/>
          <w:szCs w:val="32"/>
          <w:lang w:val="en-US" w:eastAsia="zh-CN"/>
        </w:rPr>
        <w:t>\</w:t>
      </w:r>
    </w:p>
    <w:p>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rPr>
      </w:pPr>
      <w:r>
        <w:rPr>
          <w:rFonts w:hint="eastAsia" w:ascii="仿宋" w:hAnsi="仿宋" w:eastAsia="仿宋" w:cs="仿宋"/>
          <w:bCs/>
          <w:color w:val="000000"/>
          <w:sz w:val="32"/>
          <w:szCs w:val="32"/>
        </w:rPr>
        <w:t>身份证件号码：</w:t>
      </w:r>
      <w:r>
        <w:rPr>
          <w:rFonts w:hint="eastAsia" w:ascii="仿宋" w:hAnsi="仿宋" w:eastAsia="仿宋" w:cs="仿宋"/>
          <w:bCs/>
          <w:color w:val="000000"/>
          <w:sz w:val="32"/>
          <w:szCs w:val="32"/>
          <w:lang w:val="en-US" w:eastAsia="zh-CN"/>
        </w:rPr>
        <w:t>\</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2023年8月24日，本局收到淮南市公安局《传销线索移送函》（淮公函[2023]23号)，称你是淮南市公安局办理的《325组织领导传销案》涉案人员，从事传销活动，经依法核查，你介绍他人参加传销的行为未达到刑事立案标准，移交本局处理。根据淮南市公安局移送的刑事调查卷宗和相关证据材料，你涉嫌介绍他人参加传销。本局于2023年10月10日予以立案，2024年6月21日对当事人进行了调查。</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经查，2017年6月当事人经程</w:t>
      </w:r>
      <w:r>
        <w:rPr>
          <w:rFonts w:hint="eastAsia" w:ascii="仿宋" w:hAnsi="仿宋" w:eastAsia="仿宋" w:cs="仿宋"/>
          <w:bCs/>
          <w:color w:val="000000"/>
          <w:sz w:val="32"/>
          <w:szCs w:val="32"/>
          <w:lang w:val="en-US" w:eastAsia="zh-CN"/>
        </w:rPr>
        <w:t>*</w:t>
      </w:r>
      <w:r>
        <w:rPr>
          <w:rFonts w:hint="eastAsia" w:ascii="仿宋" w:hAnsi="仿宋" w:eastAsia="仿宋" w:cs="仿宋_GB2312"/>
          <w:kern w:val="2"/>
          <w:sz w:val="32"/>
          <w:szCs w:val="32"/>
          <w:lang w:val="en-US" w:eastAsia="zh-CN" w:bidi="ar-SA"/>
        </w:rPr>
        <w:t>介绍参加“壹汇环球”传销项目，成为高</w:t>
      </w:r>
      <w:r>
        <w:rPr>
          <w:rFonts w:hint="eastAsia" w:ascii="仿宋" w:hAnsi="仿宋" w:eastAsia="仿宋" w:cs="仿宋"/>
          <w:bCs/>
          <w:color w:val="000000"/>
          <w:sz w:val="32"/>
          <w:szCs w:val="32"/>
          <w:lang w:val="en-US" w:eastAsia="zh-CN"/>
        </w:rPr>
        <w:t>*</w:t>
      </w:r>
      <w:r>
        <w:rPr>
          <w:rFonts w:hint="eastAsia" w:ascii="仿宋" w:hAnsi="仿宋" w:eastAsia="仿宋" w:cs="仿宋_GB2312"/>
          <w:kern w:val="2"/>
          <w:sz w:val="32"/>
          <w:szCs w:val="32"/>
          <w:lang w:val="en-US" w:eastAsia="zh-CN" w:bidi="ar-SA"/>
        </w:rPr>
        <w:t>下线，并介绍他人参加传销。公安机关报来当事人介绍发展下线有刘</w:t>
      </w:r>
      <w:r>
        <w:rPr>
          <w:rFonts w:hint="eastAsia" w:ascii="仿宋" w:hAnsi="仿宋" w:eastAsia="仿宋" w:cs="仿宋"/>
          <w:bCs/>
          <w:color w:val="000000"/>
          <w:sz w:val="32"/>
          <w:szCs w:val="32"/>
          <w:lang w:val="en-US" w:eastAsia="zh-CN"/>
        </w:rPr>
        <w:t>*</w:t>
      </w:r>
      <w:r>
        <w:rPr>
          <w:rFonts w:hint="eastAsia" w:ascii="仿宋" w:hAnsi="仿宋" w:eastAsia="仿宋" w:cs="仿宋_GB2312"/>
          <w:kern w:val="2"/>
          <w:sz w:val="32"/>
          <w:szCs w:val="32"/>
          <w:lang w:val="en-US" w:eastAsia="zh-CN" w:bidi="ar-SA"/>
        </w:rPr>
        <w:t>、宋</w:t>
      </w:r>
      <w:r>
        <w:rPr>
          <w:rFonts w:hint="eastAsia" w:ascii="仿宋" w:hAnsi="仿宋" w:eastAsia="仿宋" w:cs="仿宋"/>
          <w:bCs/>
          <w:color w:val="000000"/>
          <w:sz w:val="32"/>
          <w:szCs w:val="32"/>
          <w:lang w:val="en-US" w:eastAsia="zh-CN"/>
        </w:rPr>
        <w:t>*</w:t>
      </w:r>
      <w:r>
        <w:rPr>
          <w:rFonts w:hint="eastAsia" w:ascii="仿宋" w:hAnsi="仿宋" w:eastAsia="仿宋" w:cs="仿宋_GB2312"/>
          <w:kern w:val="2"/>
          <w:sz w:val="32"/>
          <w:szCs w:val="32"/>
          <w:lang w:val="en-US" w:eastAsia="zh-CN" w:bidi="ar-SA"/>
        </w:rPr>
        <w:t>、胡</w:t>
      </w:r>
      <w:r>
        <w:rPr>
          <w:rFonts w:hint="eastAsia" w:ascii="仿宋" w:hAnsi="仿宋" w:eastAsia="仿宋" w:cs="仿宋"/>
          <w:bCs/>
          <w:color w:val="000000"/>
          <w:sz w:val="32"/>
          <w:szCs w:val="32"/>
          <w:lang w:val="en-US" w:eastAsia="zh-CN"/>
        </w:rPr>
        <w:t>*</w:t>
      </w:r>
      <w:r>
        <w:rPr>
          <w:rFonts w:hint="eastAsia" w:ascii="仿宋" w:hAnsi="仿宋" w:eastAsia="仿宋" w:cs="仿宋_GB2312"/>
          <w:kern w:val="2"/>
          <w:sz w:val="32"/>
          <w:szCs w:val="32"/>
          <w:lang w:val="en-US" w:eastAsia="zh-CN" w:bidi="ar-SA"/>
        </w:rPr>
        <w:t>、董</w:t>
      </w:r>
      <w:r>
        <w:rPr>
          <w:rFonts w:hint="eastAsia" w:ascii="仿宋" w:hAnsi="仿宋" w:eastAsia="仿宋" w:cs="仿宋"/>
          <w:bCs/>
          <w:color w:val="000000"/>
          <w:sz w:val="32"/>
          <w:szCs w:val="32"/>
          <w:lang w:val="en-US" w:eastAsia="zh-CN"/>
        </w:rPr>
        <w:t>*</w:t>
      </w:r>
      <w:r>
        <w:rPr>
          <w:rFonts w:hint="eastAsia" w:ascii="仿宋" w:hAnsi="仿宋" w:eastAsia="仿宋" w:cs="仿宋_GB2312"/>
          <w:kern w:val="2"/>
          <w:sz w:val="32"/>
          <w:szCs w:val="32"/>
          <w:lang w:val="en-US" w:eastAsia="zh-CN" w:bidi="ar-SA"/>
        </w:rPr>
        <w:t>等 31人，其中当事人使用他人身份证开户的有4人，公安机关已核查下线人员17人，剩余14人放弃报警或拒绝配合取证，认定当事人实际发展下线27人。</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当事人参与“壹汇环球”传销项目涉案资金主要通过中国建设银行62****25账户，中国邮政储蓄银行62****28账户，徽商银行18****67账户，中国工商银行62****37账户，淮南通商农村商业银行62****24账户，以及当事人丈夫刘鑫的中国工商银行62****05/62****72/62****13账户，和建设银行62****96账户进行交易，交易流水包括当事人及其下线的投入资金和获得收益。上述银行卡的资金流水中包含当事人的家庭生活收支以及传销资金交易，无法进行区分，当事人违法所得无法计算。   </w:t>
      </w:r>
    </w:p>
    <w:p>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上述事实，主要有以下证据证明：</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rPr>
          <w:rFonts w:hint="eastAsia" w:ascii="仿宋_GB2312" w:hAnsi="Times New Roman" w:eastAsia="仿宋_GB2312" w:cs="仿宋_GB2312"/>
          <w:bCs/>
          <w:sz w:val="32"/>
          <w:szCs w:val="32"/>
          <w:u w:val="none"/>
          <w:lang w:val="en-US" w:eastAsia="zh-CN"/>
        </w:rPr>
      </w:pPr>
      <w:r>
        <w:rPr>
          <w:rFonts w:hint="eastAsia" w:ascii="仿宋_GB2312" w:hAnsi="sinsum" w:eastAsia="仿宋_GB2312" w:cs="仿宋_GB2312"/>
          <w:i w:val="0"/>
          <w:caps w:val="0"/>
          <w:color w:val="000000"/>
          <w:spacing w:val="0"/>
          <w:sz w:val="32"/>
          <w:szCs w:val="32"/>
          <w:u w:val="none"/>
          <w:shd w:val="clear" w:color="auto" w:fill="FFFFFF"/>
          <w:lang w:val="en-US" w:eastAsia="zh-CN"/>
        </w:rPr>
        <w:t>1、</w:t>
      </w:r>
      <w:r>
        <w:rPr>
          <w:rFonts w:hint="eastAsia" w:ascii="仿宋_GB2312" w:hAnsi="sinsum" w:eastAsia="仿宋_GB2312" w:cs="仿宋_GB2312"/>
          <w:i w:val="0"/>
          <w:caps w:val="0"/>
          <w:color w:val="000000"/>
          <w:spacing w:val="0"/>
          <w:sz w:val="32"/>
          <w:szCs w:val="32"/>
          <w:u w:val="none"/>
          <w:shd w:val="clear" w:color="auto" w:fill="FFFFFF"/>
          <w:lang w:eastAsia="zh-CN"/>
        </w:rPr>
        <w:t>淮南市公安局《传销线索移送函》</w:t>
      </w:r>
      <w:r>
        <w:rPr>
          <w:rFonts w:hint="eastAsia" w:ascii="仿宋_GB2312" w:hAnsi="Times New Roman" w:eastAsia="仿宋_GB2312" w:cs="仿宋_GB2312"/>
          <w:bCs/>
          <w:sz w:val="32"/>
          <w:szCs w:val="32"/>
          <w:u w:val="none"/>
          <w:lang w:val="en-US" w:eastAsia="zh-CN"/>
        </w:rPr>
        <w:t>1份</w:t>
      </w:r>
      <w:r>
        <w:rPr>
          <w:rFonts w:hint="eastAsia" w:ascii="仿宋_GB2312" w:hAnsi="sinsum" w:eastAsia="仿宋_GB2312" w:cs="仿宋_GB2312"/>
          <w:i w:val="0"/>
          <w:caps w:val="0"/>
          <w:color w:val="000000"/>
          <w:spacing w:val="0"/>
          <w:sz w:val="32"/>
          <w:szCs w:val="32"/>
          <w:u w:val="none"/>
          <w:shd w:val="clear" w:color="auto" w:fill="FFFFFF"/>
          <w:lang w:val="en-US" w:eastAsia="zh-CN"/>
        </w:rPr>
        <w:t>，证明案件线索来源</w:t>
      </w:r>
      <w:r>
        <w:rPr>
          <w:rFonts w:hint="eastAsia" w:ascii="仿宋_GB2312" w:hAnsi="Times New Roman" w:eastAsia="仿宋_GB2312" w:cs="仿宋_GB2312"/>
          <w:bCs/>
          <w:sz w:val="32"/>
          <w:szCs w:val="32"/>
          <w:u w:val="none"/>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bCs/>
          <w:sz w:val="32"/>
          <w:szCs w:val="32"/>
          <w:u w:val="none"/>
          <w:lang w:val="en-US" w:eastAsia="zh-CN"/>
        </w:rPr>
      </w:pPr>
      <w:r>
        <w:rPr>
          <w:rFonts w:hint="eastAsia" w:ascii="仿宋_GB2312" w:hAnsi="Times New Roman" w:eastAsia="仿宋_GB2312" w:cs="仿宋_GB2312"/>
          <w:bCs/>
          <w:sz w:val="32"/>
          <w:szCs w:val="32"/>
          <w:u w:val="none"/>
          <w:lang w:val="en-US" w:eastAsia="zh-CN"/>
        </w:rPr>
        <w:t>2</w:t>
      </w:r>
      <w:r>
        <w:rPr>
          <w:rFonts w:hint="eastAsia" w:ascii="仿宋_GB2312" w:hAnsi="sinsum" w:eastAsia="仿宋_GB2312" w:cs="仿宋_GB2312"/>
          <w:i w:val="0"/>
          <w:caps w:val="0"/>
          <w:color w:val="000000"/>
          <w:spacing w:val="0"/>
          <w:sz w:val="32"/>
          <w:szCs w:val="32"/>
          <w:u w:val="none"/>
          <w:shd w:val="clear" w:color="auto" w:fill="FFFFFF"/>
          <w:lang w:val="en-US" w:eastAsia="zh-CN"/>
        </w:rPr>
        <w:t>、淮南市公安局潘集分局刑事侦查卷宗（肖</w:t>
      </w:r>
      <w:r>
        <w:rPr>
          <w:rFonts w:hint="eastAsia" w:ascii="仿宋" w:hAnsi="仿宋" w:eastAsia="仿宋" w:cs="仿宋"/>
          <w:bCs/>
          <w:color w:val="000000"/>
          <w:sz w:val="32"/>
          <w:szCs w:val="32"/>
          <w:lang w:val="en-US" w:eastAsia="zh-CN"/>
        </w:rPr>
        <w:t>*</w:t>
      </w:r>
      <w:r>
        <w:rPr>
          <w:rFonts w:hint="eastAsia" w:ascii="仿宋_GB2312" w:hAnsi="sinsum" w:eastAsia="仿宋_GB2312" w:cs="仿宋_GB2312"/>
          <w:i w:val="0"/>
          <w:caps w:val="0"/>
          <w:color w:val="000000"/>
          <w:spacing w:val="0"/>
          <w:sz w:val="32"/>
          <w:szCs w:val="32"/>
          <w:u w:val="none"/>
          <w:shd w:val="clear" w:color="auto" w:fill="FFFFFF"/>
          <w:lang w:val="en-US" w:eastAsia="zh-CN"/>
        </w:rPr>
        <w:t>）1份，</w:t>
      </w:r>
      <w:r>
        <w:rPr>
          <w:rFonts w:hint="eastAsia" w:ascii="仿宋_GB2312" w:hAnsi="仿宋_GB2312" w:eastAsia="仿宋_GB2312" w:cs="仿宋_GB2312"/>
          <w:bCs/>
          <w:sz w:val="32"/>
          <w:szCs w:val="32"/>
          <w:u w:val="none"/>
          <w:lang w:val="en-US" w:eastAsia="zh-CN"/>
        </w:rPr>
        <w:t xml:space="preserve">证明当事人介绍他人参加传销的事实；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default" w:ascii="仿宋_GB2312" w:hAnsi="仿宋_GB2312" w:eastAsia="仿宋_GB2312" w:cs="仿宋_GB2312"/>
          <w:bCs/>
          <w:sz w:val="32"/>
          <w:szCs w:val="32"/>
          <w:u w:val="none"/>
          <w:lang w:val="en-US" w:eastAsia="zh-CN"/>
        </w:rPr>
      </w:pPr>
      <w:r>
        <w:rPr>
          <w:rFonts w:hint="eastAsia" w:ascii="仿宋_GB2312" w:hAnsi="Times New Roman" w:eastAsia="仿宋_GB2312" w:cs="仿宋_GB2312"/>
          <w:bCs/>
          <w:sz w:val="32"/>
          <w:szCs w:val="32"/>
          <w:u w:val="none"/>
          <w:lang w:val="en-US" w:eastAsia="zh-CN"/>
        </w:rPr>
        <w:t>3、</w:t>
      </w:r>
      <w:r>
        <w:rPr>
          <w:rFonts w:hint="eastAsia" w:ascii="仿宋_GB2312" w:hAnsi="sinsum" w:eastAsia="仿宋_GB2312" w:cs="仿宋_GB2312"/>
          <w:i w:val="0"/>
          <w:caps w:val="0"/>
          <w:color w:val="000000"/>
          <w:spacing w:val="0"/>
          <w:sz w:val="32"/>
          <w:szCs w:val="32"/>
          <w:u w:val="none"/>
          <w:shd w:val="clear" w:color="auto" w:fill="FFFFFF"/>
          <w:lang w:val="en-US" w:eastAsia="zh-CN"/>
        </w:rPr>
        <w:t>本局</w:t>
      </w:r>
      <w:r>
        <w:rPr>
          <w:rFonts w:hint="eastAsia" w:ascii="仿宋_GB2312" w:hAnsi="Times New Roman" w:eastAsia="仿宋_GB2312" w:cs="仿宋_GB2312"/>
          <w:bCs/>
          <w:sz w:val="32"/>
          <w:szCs w:val="32"/>
          <w:u w:val="none"/>
          <w:lang w:val="en-US" w:eastAsia="zh-CN"/>
        </w:rPr>
        <w:t>对当事人询问笔录1份、</w:t>
      </w:r>
      <w:r>
        <w:rPr>
          <w:rFonts w:hint="eastAsia" w:ascii="仿宋" w:hAnsi="仿宋" w:eastAsia="仿宋" w:cs="仿宋"/>
          <w:color w:val="auto"/>
          <w:spacing w:val="-1"/>
          <w:sz w:val="32"/>
          <w:szCs w:val="32"/>
          <w:u w:val="none"/>
          <w:lang w:val="en-US" w:eastAsia="zh-CN"/>
        </w:rPr>
        <w:t>中国建设银行（账号：62</w:t>
      </w:r>
      <w:r>
        <w:rPr>
          <w:rFonts w:hint="eastAsia" w:ascii="仿宋" w:hAnsi="仿宋" w:eastAsia="仿宋" w:cs="仿宋_GB2312"/>
          <w:kern w:val="2"/>
          <w:sz w:val="32"/>
          <w:szCs w:val="32"/>
          <w:lang w:val="en-US" w:eastAsia="zh-CN" w:bidi="ar-SA"/>
        </w:rPr>
        <w:t>****</w:t>
      </w:r>
      <w:r>
        <w:rPr>
          <w:rFonts w:hint="eastAsia" w:ascii="仿宋" w:hAnsi="仿宋" w:eastAsia="仿宋" w:cs="仿宋"/>
          <w:color w:val="auto"/>
          <w:spacing w:val="-1"/>
          <w:sz w:val="32"/>
          <w:szCs w:val="32"/>
          <w:u w:val="none"/>
          <w:lang w:val="en-US" w:eastAsia="zh-CN"/>
        </w:rPr>
        <w:t>25)账户</w:t>
      </w:r>
      <w:r>
        <w:rPr>
          <w:rFonts w:hint="eastAsia" w:ascii="仿宋_GB2312" w:hAnsi="仿宋_GB2312" w:eastAsia="仿宋_GB2312" w:cs="仿宋_GB2312"/>
          <w:spacing w:val="-1"/>
          <w:sz w:val="32"/>
          <w:szCs w:val="32"/>
          <w:u w:val="none"/>
          <w:lang w:val="en-US" w:eastAsia="zh-CN"/>
        </w:rPr>
        <w:t>交易明细1份、</w:t>
      </w:r>
      <w:r>
        <w:rPr>
          <w:rFonts w:hint="eastAsia" w:ascii="仿宋" w:hAnsi="仿宋" w:eastAsia="仿宋" w:cs="仿宋"/>
          <w:color w:val="auto"/>
          <w:spacing w:val="-1"/>
          <w:sz w:val="32"/>
          <w:szCs w:val="32"/>
          <w:u w:val="none"/>
          <w:lang w:val="en-US" w:eastAsia="zh-CN"/>
        </w:rPr>
        <w:t>中国邮政储蓄银行（账号：62</w:t>
      </w:r>
      <w:r>
        <w:rPr>
          <w:rFonts w:hint="eastAsia" w:ascii="仿宋" w:hAnsi="仿宋" w:eastAsia="仿宋" w:cs="仿宋_GB2312"/>
          <w:kern w:val="2"/>
          <w:sz w:val="32"/>
          <w:szCs w:val="32"/>
          <w:lang w:val="en-US" w:eastAsia="zh-CN" w:bidi="ar-SA"/>
        </w:rPr>
        <w:t>****</w:t>
      </w:r>
      <w:r>
        <w:rPr>
          <w:rFonts w:hint="eastAsia" w:ascii="仿宋" w:hAnsi="仿宋" w:eastAsia="仿宋" w:cs="仿宋"/>
          <w:color w:val="auto"/>
          <w:spacing w:val="-1"/>
          <w:sz w:val="32"/>
          <w:szCs w:val="32"/>
          <w:u w:val="none"/>
          <w:lang w:val="en-US" w:eastAsia="zh-CN"/>
        </w:rPr>
        <w:t>28)账户</w:t>
      </w:r>
      <w:r>
        <w:rPr>
          <w:rFonts w:hint="eastAsia" w:ascii="仿宋_GB2312" w:hAnsi="仿宋_GB2312" w:eastAsia="仿宋_GB2312" w:cs="仿宋_GB2312"/>
          <w:spacing w:val="-1"/>
          <w:sz w:val="32"/>
          <w:szCs w:val="32"/>
          <w:u w:val="none"/>
          <w:lang w:val="en-US" w:eastAsia="zh-CN"/>
        </w:rPr>
        <w:t>交易明细1份、</w:t>
      </w:r>
      <w:r>
        <w:rPr>
          <w:rFonts w:hint="eastAsia" w:ascii="仿宋" w:hAnsi="仿宋" w:eastAsia="仿宋" w:cs="仿宋"/>
          <w:color w:val="auto"/>
          <w:spacing w:val="-1"/>
          <w:sz w:val="32"/>
          <w:szCs w:val="32"/>
          <w:u w:val="none"/>
          <w:lang w:val="en-US" w:eastAsia="zh-CN"/>
        </w:rPr>
        <w:t>徽商银行（账号：18</w:t>
      </w:r>
      <w:r>
        <w:rPr>
          <w:rFonts w:hint="eastAsia" w:ascii="仿宋" w:hAnsi="仿宋" w:eastAsia="仿宋" w:cs="仿宋_GB2312"/>
          <w:kern w:val="2"/>
          <w:sz w:val="32"/>
          <w:szCs w:val="32"/>
          <w:lang w:val="en-US" w:eastAsia="zh-CN" w:bidi="ar-SA"/>
        </w:rPr>
        <w:t>****</w:t>
      </w:r>
      <w:r>
        <w:rPr>
          <w:rFonts w:hint="eastAsia" w:ascii="仿宋" w:hAnsi="仿宋" w:eastAsia="仿宋" w:cs="仿宋"/>
          <w:color w:val="auto"/>
          <w:spacing w:val="-1"/>
          <w:sz w:val="32"/>
          <w:szCs w:val="32"/>
          <w:u w:val="none"/>
          <w:lang w:val="en-US" w:eastAsia="zh-CN"/>
        </w:rPr>
        <w:t>67)账户</w:t>
      </w:r>
      <w:r>
        <w:rPr>
          <w:rFonts w:hint="eastAsia" w:ascii="仿宋_GB2312" w:hAnsi="仿宋_GB2312" w:eastAsia="仿宋_GB2312" w:cs="仿宋_GB2312"/>
          <w:spacing w:val="-1"/>
          <w:sz w:val="32"/>
          <w:szCs w:val="32"/>
          <w:u w:val="none"/>
          <w:lang w:val="en-US" w:eastAsia="zh-CN"/>
        </w:rPr>
        <w:t>交易明细1份、</w:t>
      </w:r>
      <w:r>
        <w:rPr>
          <w:rFonts w:hint="eastAsia" w:ascii="仿宋" w:hAnsi="仿宋" w:eastAsia="仿宋" w:cs="仿宋"/>
          <w:color w:val="auto"/>
          <w:spacing w:val="-1"/>
          <w:sz w:val="32"/>
          <w:szCs w:val="32"/>
          <w:u w:val="none"/>
          <w:lang w:val="en-US" w:eastAsia="zh-CN"/>
        </w:rPr>
        <w:t>中国工商银行（账号：62</w:t>
      </w:r>
      <w:r>
        <w:rPr>
          <w:rFonts w:hint="eastAsia" w:ascii="仿宋" w:hAnsi="仿宋" w:eastAsia="仿宋" w:cs="仿宋_GB2312"/>
          <w:kern w:val="2"/>
          <w:sz w:val="32"/>
          <w:szCs w:val="32"/>
          <w:lang w:val="en-US" w:eastAsia="zh-CN" w:bidi="ar-SA"/>
        </w:rPr>
        <w:t>****</w:t>
      </w:r>
      <w:r>
        <w:rPr>
          <w:rFonts w:hint="eastAsia" w:ascii="仿宋" w:hAnsi="仿宋" w:eastAsia="仿宋" w:cs="仿宋"/>
          <w:color w:val="auto"/>
          <w:spacing w:val="-1"/>
          <w:sz w:val="32"/>
          <w:szCs w:val="32"/>
          <w:u w:val="none"/>
          <w:lang w:val="en-US" w:eastAsia="zh-CN"/>
        </w:rPr>
        <w:t>37)账户</w:t>
      </w:r>
      <w:r>
        <w:rPr>
          <w:rFonts w:hint="eastAsia" w:ascii="仿宋_GB2312" w:hAnsi="仿宋_GB2312" w:eastAsia="仿宋_GB2312" w:cs="仿宋_GB2312"/>
          <w:spacing w:val="-1"/>
          <w:sz w:val="32"/>
          <w:szCs w:val="32"/>
          <w:u w:val="none"/>
          <w:lang w:val="en-US" w:eastAsia="zh-CN"/>
        </w:rPr>
        <w:t>交易明细1份、</w:t>
      </w:r>
      <w:r>
        <w:rPr>
          <w:rFonts w:hint="eastAsia" w:ascii="仿宋" w:hAnsi="仿宋" w:eastAsia="仿宋" w:cs="仿宋"/>
          <w:color w:val="auto"/>
          <w:spacing w:val="-1"/>
          <w:sz w:val="32"/>
          <w:szCs w:val="32"/>
          <w:u w:val="none"/>
          <w:lang w:val="en-US" w:eastAsia="zh-CN"/>
        </w:rPr>
        <w:t>淮南通商农村商业银行（账号：62</w:t>
      </w:r>
      <w:r>
        <w:rPr>
          <w:rFonts w:hint="eastAsia" w:ascii="仿宋" w:hAnsi="仿宋" w:eastAsia="仿宋" w:cs="仿宋_GB2312"/>
          <w:kern w:val="2"/>
          <w:sz w:val="32"/>
          <w:szCs w:val="32"/>
          <w:lang w:val="en-US" w:eastAsia="zh-CN" w:bidi="ar-SA"/>
        </w:rPr>
        <w:t>****</w:t>
      </w:r>
      <w:r>
        <w:rPr>
          <w:rFonts w:hint="eastAsia" w:ascii="仿宋" w:hAnsi="仿宋" w:eastAsia="仿宋" w:cs="仿宋"/>
          <w:color w:val="auto"/>
          <w:spacing w:val="-1"/>
          <w:sz w:val="32"/>
          <w:szCs w:val="32"/>
          <w:u w:val="none"/>
          <w:lang w:val="en-US" w:eastAsia="zh-CN"/>
        </w:rPr>
        <w:t>24)账户</w:t>
      </w:r>
      <w:r>
        <w:rPr>
          <w:rFonts w:hint="eastAsia" w:ascii="仿宋_GB2312" w:hAnsi="仿宋_GB2312" w:eastAsia="仿宋_GB2312" w:cs="仿宋_GB2312"/>
          <w:spacing w:val="-1"/>
          <w:sz w:val="32"/>
          <w:szCs w:val="32"/>
          <w:u w:val="none"/>
          <w:lang w:val="en-US" w:eastAsia="zh-CN"/>
        </w:rPr>
        <w:t>交易明细1份、</w:t>
      </w:r>
      <w:r>
        <w:rPr>
          <w:rFonts w:hint="eastAsia" w:ascii="仿宋" w:hAnsi="仿宋" w:eastAsia="仿宋" w:cs="仿宋"/>
          <w:color w:val="auto"/>
          <w:spacing w:val="-1"/>
          <w:sz w:val="32"/>
          <w:szCs w:val="32"/>
          <w:u w:val="none"/>
          <w:lang w:val="en-US" w:eastAsia="zh-CN"/>
        </w:rPr>
        <w:t>以及当事人丈夫刘</w:t>
      </w:r>
      <w:r>
        <w:rPr>
          <w:rFonts w:hint="eastAsia" w:ascii="仿宋" w:hAnsi="仿宋" w:eastAsia="仿宋" w:cs="仿宋"/>
          <w:bCs/>
          <w:color w:val="000000"/>
          <w:sz w:val="32"/>
          <w:szCs w:val="32"/>
          <w:lang w:val="en-US" w:eastAsia="zh-CN"/>
        </w:rPr>
        <w:t>*</w:t>
      </w:r>
      <w:bookmarkStart w:id="3" w:name="_GoBack"/>
      <w:bookmarkEnd w:id="3"/>
      <w:r>
        <w:rPr>
          <w:rFonts w:hint="eastAsia" w:ascii="仿宋" w:hAnsi="仿宋" w:eastAsia="仿宋" w:cs="仿宋"/>
          <w:color w:val="auto"/>
          <w:spacing w:val="-1"/>
          <w:sz w:val="32"/>
          <w:szCs w:val="32"/>
          <w:u w:val="none"/>
          <w:lang w:val="en-US" w:eastAsia="zh-CN"/>
        </w:rPr>
        <w:t>的中国工商银行账户：（账号：62</w:t>
      </w:r>
      <w:r>
        <w:rPr>
          <w:rFonts w:hint="eastAsia" w:ascii="仿宋" w:hAnsi="仿宋" w:eastAsia="仿宋" w:cs="仿宋_GB2312"/>
          <w:kern w:val="2"/>
          <w:sz w:val="32"/>
          <w:szCs w:val="32"/>
          <w:lang w:val="en-US" w:eastAsia="zh-CN" w:bidi="ar-SA"/>
        </w:rPr>
        <w:t>****</w:t>
      </w:r>
      <w:r>
        <w:rPr>
          <w:rFonts w:hint="eastAsia" w:ascii="仿宋" w:hAnsi="仿宋" w:eastAsia="仿宋" w:cs="仿宋"/>
          <w:color w:val="auto"/>
          <w:spacing w:val="-1"/>
          <w:sz w:val="32"/>
          <w:szCs w:val="32"/>
          <w:u w:val="none"/>
          <w:lang w:val="en-US" w:eastAsia="zh-CN"/>
        </w:rPr>
        <w:t>05)账户</w:t>
      </w:r>
      <w:r>
        <w:rPr>
          <w:rFonts w:hint="eastAsia" w:ascii="仿宋_GB2312" w:hAnsi="仿宋_GB2312" w:eastAsia="仿宋_GB2312" w:cs="仿宋_GB2312"/>
          <w:spacing w:val="-1"/>
          <w:sz w:val="32"/>
          <w:szCs w:val="32"/>
          <w:u w:val="none"/>
          <w:lang w:val="en-US" w:eastAsia="zh-CN"/>
        </w:rPr>
        <w:t>交易明细1份、</w:t>
      </w:r>
      <w:r>
        <w:rPr>
          <w:rFonts w:hint="eastAsia" w:ascii="仿宋" w:hAnsi="仿宋" w:eastAsia="仿宋" w:cs="仿宋"/>
          <w:color w:val="auto"/>
          <w:spacing w:val="-1"/>
          <w:sz w:val="32"/>
          <w:szCs w:val="32"/>
          <w:u w:val="none"/>
          <w:lang w:val="en-US" w:eastAsia="zh-CN"/>
        </w:rPr>
        <w:t>(账号：62</w:t>
      </w:r>
      <w:r>
        <w:rPr>
          <w:rFonts w:hint="eastAsia" w:ascii="仿宋" w:hAnsi="仿宋" w:eastAsia="仿宋" w:cs="仿宋_GB2312"/>
          <w:kern w:val="2"/>
          <w:sz w:val="32"/>
          <w:szCs w:val="32"/>
          <w:lang w:val="en-US" w:eastAsia="zh-CN" w:bidi="ar-SA"/>
        </w:rPr>
        <w:t>****</w:t>
      </w:r>
      <w:r>
        <w:rPr>
          <w:rFonts w:hint="eastAsia" w:ascii="仿宋" w:hAnsi="仿宋" w:eastAsia="仿宋" w:cs="仿宋"/>
          <w:color w:val="auto"/>
          <w:spacing w:val="-1"/>
          <w:sz w:val="32"/>
          <w:szCs w:val="32"/>
          <w:u w:val="none"/>
          <w:lang w:val="en-US" w:eastAsia="zh-CN"/>
        </w:rPr>
        <w:t>72)账户</w:t>
      </w:r>
      <w:r>
        <w:rPr>
          <w:rFonts w:hint="eastAsia" w:ascii="仿宋_GB2312" w:hAnsi="仿宋_GB2312" w:eastAsia="仿宋_GB2312" w:cs="仿宋_GB2312"/>
          <w:spacing w:val="-1"/>
          <w:sz w:val="32"/>
          <w:szCs w:val="32"/>
          <w:u w:val="none"/>
          <w:lang w:val="en-US" w:eastAsia="zh-CN"/>
        </w:rPr>
        <w:t>交易明细1份、</w:t>
      </w:r>
      <w:r>
        <w:rPr>
          <w:rFonts w:hint="eastAsia" w:ascii="仿宋" w:hAnsi="仿宋" w:eastAsia="仿宋" w:cs="仿宋"/>
          <w:color w:val="auto"/>
          <w:spacing w:val="-1"/>
          <w:sz w:val="32"/>
          <w:szCs w:val="32"/>
          <w:u w:val="none"/>
          <w:lang w:val="en-US" w:eastAsia="zh-CN"/>
        </w:rPr>
        <w:t>(账号：62</w:t>
      </w:r>
      <w:r>
        <w:rPr>
          <w:rFonts w:hint="eastAsia" w:ascii="仿宋" w:hAnsi="仿宋" w:eastAsia="仿宋" w:cs="仿宋_GB2312"/>
          <w:kern w:val="2"/>
          <w:sz w:val="32"/>
          <w:szCs w:val="32"/>
          <w:lang w:val="en-US" w:eastAsia="zh-CN" w:bidi="ar-SA"/>
        </w:rPr>
        <w:t>****</w:t>
      </w:r>
      <w:r>
        <w:rPr>
          <w:rFonts w:hint="eastAsia" w:ascii="仿宋" w:hAnsi="仿宋" w:eastAsia="仿宋" w:cs="仿宋"/>
          <w:color w:val="auto"/>
          <w:spacing w:val="-1"/>
          <w:sz w:val="32"/>
          <w:szCs w:val="32"/>
          <w:u w:val="none"/>
          <w:lang w:val="en-US" w:eastAsia="zh-CN"/>
        </w:rPr>
        <w:t>13)账户</w:t>
      </w:r>
      <w:r>
        <w:rPr>
          <w:rFonts w:hint="eastAsia" w:ascii="仿宋_GB2312" w:hAnsi="仿宋_GB2312" w:eastAsia="仿宋_GB2312" w:cs="仿宋_GB2312"/>
          <w:spacing w:val="-1"/>
          <w:sz w:val="32"/>
          <w:szCs w:val="32"/>
          <w:u w:val="none"/>
          <w:lang w:val="en-US" w:eastAsia="zh-CN"/>
        </w:rPr>
        <w:t>交易明细1份、</w:t>
      </w:r>
      <w:r>
        <w:rPr>
          <w:rFonts w:hint="eastAsia" w:ascii="仿宋" w:hAnsi="仿宋" w:eastAsia="仿宋" w:cs="仿宋"/>
          <w:color w:val="auto"/>
          <w:spacing w:val="-1"/>
          <w:sz w:val="32"/>
          <w:szCs w:val="32"/>
          <w:u w:val="none"/>
          <w:lang w:val="en-US" w:eastAsia="zh-CN"/>
        </w:rPr>
        <w:t>和建设银行账户（账号：62</w:t>
      </w:r>
      <w:r>
        <w:rPr>
          <w:rFonts w:hint="eastAsia" w:ascii="仿宋" w:hAnsi="仿宋" w:eastAsia="仿宋" w:cs="仿宋_GB2312"/>
          <w:kern w:val="2"/>
          <w:sz w:val="32"/>
          <w:szCs w:val="32"/>
          <w:lang w:val="en-US" w:eastAsia="zh-CN" w:bidi="ar-SA"/>
        </w:rPr>
        <w:t>****</w:t>
      </w:r>
      <w:r>
        <w:rPr>
          <w:rFonts w:hint="eastAsia" w:ascii="仿宋" w:hAnsi="仿宋" w:eastAsia="仿宋" w:cs="仿宋"/>
          <w:color w:val="auto"/>
          <w:spacing w:val="-1"/>
          <w:sz w:val="32"/>
          <w:szCs w:val="32"/>
          <w:u w:val="none"/>
          <w:lang w:val="en-US" w:eastAsia="zh-CN"/>
        </w:rPr>
        <w:t>96)账户</w:t>
      </w:r>
      <w:r>
        <w:rPr>
          <w:rFonts w:hint="eastAsia" w:ascii="仿宋_GB2312" w:hAnsi="仿宋_GB2312" w:eastAsia="仿宋_GB2312" w:cs="仿宋_GB2312"/>
          <w:spacing w:val="-1"/>
          <w:sz w:val="32"/>
          <w:szCs w:val="32"/>
          <w:u w:val="none"/>
          <w:lang w:val="en-US" w:eastAsia="zh-CN"/>
        </w:rPr>
        <w:t>交易明细1份、当事人微信交易记录1份、支付宝交易记录1份、</w:t>
      </w:r>
      <w:r>
        <w:rPr>
          <w:rFonts w:hint="eastAsia" w:ascii="仿宋_GB2312" w:hAnsi="仿宋_GB2312" w:eastAsia="仿宋_GB2312" w:cs="仿宋_GB2312"/>
          <w:bCs/>
          <w:sz w:val="32"/>
          <w:szCs w:val="32"/>
          <w:u w:val="none"/>
          <w:lang w:val="en-US" w:eastAsia="zh-CN"/>
        </w:rPr>
        <w:t xml:space="preserve">证明当事人介绍他人参加传销的事实及传销资金交易情况；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rPr>
          <w:rFonts w:hint="eastAsia" w:ascii="仿宋_GB2312" w:hAnsi="仿宋_GB2312" w:eastAsia="仿宋_GB2312" w:cs="仿宋_GB2312"/>
          <w:bCs/>
          <w:sz w:val="32"/>
          <w:szCs w:val="32"/>
          <w:u w:val="none"/>
          <w:lang w:val="en-US" w:eastAsia="zh-CN"/>
        </w:rPr>
      </w:pPr>
      <w:r>
        <w:rPr>
          <w:rFonts w:hint="eastAsia" w:ascii="仿宋_GB2312" w:hAnsi="Times New Roman" w:eastAsia="仿宋_GB2312" w:cs="仿宋_GB2312"/>
          <w:bCs/>
          <w:sz w:val="32"/>
          <w:szCs w:val="32"/>
          <w:u w:val="none"/>
          <w:lang w:val="en-US" w:eastAsia="zh-CN"/>
        </w:rPr>
        <w:t xml:space="preserve">4、江西锦苑司法鉴定中心《司法鉴定意见书》（赣锦苑鉴[2023]电子鉴字第1号）1份,证明当事人参加并介绍他人参加传销的事实;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_GB2312"/>
          <w:kern w:val="2"/>
          <w:sz w:val="32"/>
          <w:szCs w:val="32"/>
          <w:u w:val="none"/>
          <w:lang w:val="en-US" w:eastAsia="zh-CN" w:bidi="ar-SA"/>
        </w:rPr>
      </w:pPr>
      <w:r>
        <w:rPr>
          <w:rFonts w:hint="eastAsia" w:ascii="仿宋_GB2312" w:hAnsi="仿宋_GB2312" w:eastAsia="仿宋_GB2312" w:cs="仿宋_GB2312"/>
          <w:bCs/>
          <w:sz w:val="32"/>
          <w:szCs w:val="32"/>
          <w:u w:val="none"/>
          <w:lang w:val="en-US" w:eastAsia="zh-CN"/>
        </w:rPr>
        <w:t>5、</w:t>
      </w:r>
      <w:r>
        <w:rPr>
          <w:rFonts w:hint="eastAsia" w:ascii="仿宋_GB2312" w:hAnsi="Times New Roman" w:eastAsia="仿宋_GB2312" w:cs="仿宋_GB2312"/>
          <w:bCs/>
          <w:sz w:val="32"/>
          <w:szCs w:val="32"/>
          <w:u w:val="none"/>
          <w:lang w:val="en-US" w:eastAsia="zh-CN"/>
        </w:rPr>
        <w:t xml:space="preserve">当事人身份证复印件1份，证明当事人承担法律行为能力的主体资格。 </w:t>
      </w:r>
      <w:r>
        <w:rPr>
          <w:rFonts w:hint="eastAsia" w:ascii="仿宋" w:hAnsi="仿宋" w:eastAsia="仿宋" w:cs="仿宋_GB2312"/>
          <w:kern w:val="2"/>
          <w:sz w:val="32"/>
          <w:szCs w:val="32"/>
          <w:u w:val="none"/>
          <w:lang w:val="en-US" w:eastAsia="zh-CN" w:bidi="ar-SA"/>
        </w:rPr>
        <w:t xml:space="preserve">   </w:t>
      </w:r>
    </w:p>
    <w:p>
      <w:pPr>
        <w:keepNext w:val="0"/>
        <w:keepLines w:val="0"/>
        <w:pageBreakBefore w:val="0"/>
        <w:kinsoku/>
        <w:wordWrap/>
        <w:topLinePunct w:val="0"/>
        <w:bidi w:val="0"/>
        <w:spacing w:line="520" w:lineRule="exact"/>
        <w:ind w:firstLine="640" w:firstLineChars="200"/>
        <w:rPr>
          <w:rFonts w:hint="default"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当事人于2024年9月20日签收本局行政处罚告知书，未提出陈述申辩和听证。       </w:t>
      </w:r>
    </w:p>
    <w:p>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本局认为，当事人上述行为违反《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的规定。</w:t>
      </w:r>
    </w:p>
    <w:p>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依据《禁止传销条例》第二十四条第二款“有本条例第七条规定的行为，介绍、诱骗、胁迫他人参加传销的，由工商行政管理部门责令停止违法行为，没收非法财物，没收违法所得，处10万元以上50万元以下的罚款;构成犯罪的，依法追究刑事责任”的规定，参照《安徽省市场监督管理行政处罚裁量权基准》（2023年版）第【65】条第二款第一项“1.介绍他人参加传销的，处十万元以上二十万元以下的罚款”的规定，决定处当事人从轻行政处罚：100000元。</w:t>
      </w:r>
    </w:p>
    <w:p>
      <w:pPr>
        <w:pStyle w:val="3"/>
        <w:keepNext w:val="0"/>
        <w:keepLines w:val="0"/>
        <w:pageBreakBefore w:val="0"/>
        <w:tabs>
          <w:tab w:val="left" w:pos="9060"/>
        </w:tabs>
        <w:kinsoku/>
        <w:wordWrap/>
        <w:topLinePunct w:val="0"/>
        <w:bidi w:val="0"/>
        <w:spacing w:line="520" w:lineRule="exact"/>
        <w:ind w:firstLine="640" w:firstLineChars="200"/>
        <w:jc w:val="both"/>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当事人应当自收到本行政处罚决定书之日起十五日内，依照《安徽省统一公共支付平台缴款通知单》要求，及时缴纳罚没款。到期不缴纳罚没款的，将依据《中华人民共和国行政处罚法》第七十二条之规定，本局将每日按罚款数额的百分之三加处罚款，并将依法申请人民法院强制执行。</w:t>
      </w:r>
    </w:p>
    <w:p>
      <w:pPr>
        <w:pStyle w:val="3"/>
        <w:keepNext w:val="0"/>
        <w:keepLines w:val="0"/>
        <w:pageBreakBefore w:val="0"/>
        <w:tabs>
          <w:tab w:val="left" w:pos="9060"/>
        </w:tabs>
        <w:kinsoku/>
        <w:wordWrap/>
        <w:topLinePunct w:val="0"/>
        <w:bidi w:val="0"/>
        <w:spacing w:line="520" w:lineRule="exact"/>
        <w:ind w:firstLine="640" w:firstLineChars="200"/>
        <w:jc w:val="both"/>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如你（单位）不服本处罚决定，可在收到本处罚决定书之日起六十日内向淮南市人民政府申请行政复议，也可于六个月内依法向淮南市田家庵区人民法院提起行政诉讼。申请行政复议或者提起行政诉讼期间，行政处罚不停止执行。</w:t>
      </w:r>
    </w:p>
    <w:p>
      <w:pPr>
        <w:pStyle w:val="3"/>
        <w:keepNext w:val="0"/>
        <w:keepLines w:val="0"/>
        <w:pageBreakBefore w:val="0"/>
        <w:tabs>
          <w:tab w:val="left" w:pos="9060"/>
        </w:tabs>
        <w:kinsoku/>
        <w:wordWrap/>
        <w:topLinePunct w:val="0"/>
        <w:bidi w:val="0"/>
        <w:spacing w:line="520" w:lineRule="exact"/>
        <w:jc w:val="both"/>
        <w:rPr>
          <w:rFonts w:hint="eastAsia" w:ascii="仿宋" w:hAnsi="仿宋" w:eastAsia="仿宋" w:cs="仿宋_GB2312"/>
          <w:kern w:val="2"/>
          <w:sz w:val="32"/>
          <w:szCs w:val="32"/>
          <w:lang w:val="en-US" w:eastAsia="zh-CN" w:bidi="ar-SA"/>
        </w:rPr>
      </w:pPr>
    </w:p>
    <w:p>
      <w:pPr>
        <w:pStyle w:val="3"/>
        <w:keepNext w:val="0"/>
        <w:keepLines w:val="0"/>
        <w:pageBreakBefore w:val="0"/>
        <w:tabs>
          <w:tab w:val="left" w:pos="9060"/>
        </w:tabs>
        <w:kinsoku/>
        <w:wordWrap/>
        <w:topLinePunct w:val="0"/>
        <w:bidi w:val="0"/>
        <w:spacing w:line="520" w:lineRule="exact"/>
        <w:jc w:val="both"/>
        <w:rPr>
          <w:rFonts w:hint="eastAsia" w:ascii="仿宋" w:hAnsi="仿宋" w:eastAsia="仿宋" w:cs="仿宋_GB2312"/>
          <w:kern w:val="2"/>
          <w:sz w:val="32"/>
          <w:szCs w:val="32"/>
          <w:lang w:val="en-US" w:eastAsia="zh-CN" w:bidi="ar-SA"/>
        </w:rPr>
      </w:pPr>
    </w:p>
    <w:p>
      <w:pPr>
        <w:keepNext w:val="0"/>
        <w:keepLines w:val="0"/>
        <w:pageBreakBefore w:val="0"/>
        <w:kinsoku/>
        <w:wordWrap/>
        <w:topLinePunct w:val="0"/>
        <w:bidi w:val="0"/>
        <w:spacing w:line="520" w:lineRule="exact"/>
        <w:ind w:right="640" w:firstLine="601"/>
        <w:jc w:val="right"/>
        <w:rPr>
          <w:rFonts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
          <w:color w:val="000000"/>
          <w:sz w:val="32"/>
          <w:szCs w:val="32"/>
        </w:rPr>
        <w:t xml:space="preserve">淮南市市场监督管理局    </w:t>
      </w:r>
    </w:p>
    <w:p>
      <w:pPr>
        <w:keepNext w:val="0"/>
        <w:keepLines w:val="0"/>
        <w:pageBreakBefore w:val="0"/>
        <w:kinsoku/>
        <w:wordWrap/>
        <w:topLinePunct w:val="0"/>
        <w:bidi w:val="0"/>
        <w:spacing w:line="520" w:lineRule="exact"/>
        <w:ind w:right="640" w:firstLine="601"/>
        <w:jc w:val="center"/>
        <w:outlineLvl w:val="1"/>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p>
    <w:p>
      <w:pPr>
        <w:keepNext w:val="0"/>
        <w:keepLines w:val="0"/>
        <w:pageBreakBefore w:val="0"/>
        <w:kinsoku/>
        <w:wordWrap/>
        <w:topLinePunct w:val="0"/>
        <w:bidi w:val="0"/>
        <w:spacing w:line="520" w:lineRule="exact"/>
        <w:ind w:right="1280" w:firstLine="600"/>
        <w:jc w:val="righ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29</w:t>
      </w:r>
      <w:r>
        <w:rPr>
          <w:rFonts w:hint="eastAsia" w:ascii="仿宋" w:hAnsi="仿宋" w:eastAsia="仿宋" w:cs="仿宋"/>
          <w:kern w:val="0"/>
          <w:sz w:val="32"/>
          <w:szCs w:val="32"/>
        </w:rPr>
        <w:t>日</w:t>
      </w:r>
    </w:p>
    <w:p>
      <w:pPr>
        <w:pStyle w:val="2"/>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keepNext w:val="0"/>
        <w:keepLines w:val="0"/>
        <w:pageBreakBefore w:val="0"/>
        <w:kinsoku/>
        <w:wordWrap/>
        <w:topLinePunct w:val="0"/>
        <w:bidi w:val="0"/>
        <w:spacing w:line="520" w:lineRule="exact"/>
        <w:ind w:left="163"/>
        <w:rPr>
          <w:rFonts w:asci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pPr>
        <w:keepNext w:val="0"/>
        <w:keepLines w:val="0"/>
        <w:pageBreakBefore w:val="0"/>
        <w:kinsoku/>
        <w:wordWrap/>
        <w:topLinePunct w:val="0"/>
        <w:bidi w:val="0"/>
        <w:spacing w:line="520" w:lineRule="exact"/>
      </w:pPr>
      <w:r>
        <w:rPr>
          <w:rFonts w:ascii="Times New Roman" w:hAnsi="Times New Roman" w:eastAsia="仿宋_GB2312"/>
          <w:sz w:val="32"/>
        </w:rPr>
        <w:pict>
          <v:line id="_x0000_s2051" o:spid="_x0000_s2051" o:spt="20" style="position:absolute;left:0pt;margin-top:-0.2pt;height:0.05pt;width:437.05pt;mso-position-horizontal:center;z-index:251662336;mso-width-relative:page;mso-height-relative:page;" coordsize="21600,21600" o:gfxdata="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q&#10;dBoa1AAAAAQBAAAPAAAAAAAAAAEAIAAAADgAAABkcnMvZG93bnJldi54bWxQSwECFAAUAAAACACH&#10;TuJAnawxfdkBAACZAwAADgAAAAAAAAABACAAAAA5AQAAZHJzL2Uyb0RvYy54bWxQSwUGAAAAAAYA&#10;BgBZAQAAhAUAAAAA&#10;">
            <v:path arrowok="t"/>
            <v:fill focussize="0,0"/>
            <v:stroke weight="1.25pt"/>
            <v:imagedata o:title=""/>
            <o:lock v:ext="edit"/>
          </v:line>
        </w:pict>
      </w:r>
      <w:r>
        <w:rPr>
          <w:rFonts w:ascii="Times New Roman" w:hAnsi="Times New Roman" w:eastAsia="仿宋_GB2312" w:cs="仿宋"/>
          <w:bCs/>
          <w:color w:val="000000"/>
          <w:sz w:val="32"/>
          <w:szCs w:val="32"/>
        </w:rPr>
        <w:pict>
          <v:line id="_x0000_s2050" o:spid="_x0000_s2050" o:spt="20" style="position:absolute;left:0pt;margin-left:0pt;margin-top:1638.35pt;height:0.1pt;width:453.75pt;z-index:251661312;mso-width-relative:page;mso-height-relative:page;"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L7/OR1wAAAAoBAAAPAAAAAAAAAAEAIAAAADgAAABkcnMvZG93bnJldi54bWxQSwEC&#10;FAAUAAAACACHTuJAzUS6e98BAACXAwAADgAAAAAAAAABACAAAAA8AQAAZHJzL2Uyb0RvYy54bWxQ&#10;SwUGAAAAAAYABgBZAQAAjQUAAAAA&#1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二</w:t>
      </w:r>
      <w:r>
        <w:rPr>
          <w:rFonts w:hint="eastAsia" w:ascii="Times New Roman" w:hAnsi="Times New Roman" w:eastAsia="仿宋_GB2312" w:cs="仿宋"/>
          <w:color w:val="000000"/>
          <w:sz w:val="32"/>
          <w:szCs w:val="32"/>
        </w:rPr>
        <w:t>份，一份送达，一份归档。</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宋体"/>
    <w:panose1 w:val="020B0604020202020204"/>
    <w:charset w:val="86"/>
    <w:family w:val="decorative"/>
    <w:pitch w:val="default"/>
    <w:sig w:usb0="00000000" w:usb1="00000000" w:usb2="0000003F" w:usb3="00000000" w:csb0="003F01FF" w:csb1="0000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sinsum">
    <w:altName w:val="仿宋"/>
    <w:panose1 w:val="00000000000000000000"/>
    <w:charset w:val="00"/>
    <w:family w:val="auto"/>
    <w:pitch w:val="default"/>
    <w:sig w:usb0="00000000" w:usb1="00000000" w:usb2="00000000" w:usb3="00000000" w:csb0="00040001"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b0gwvFQIAABMEAAAOAAAAAAAAAAEAIAAAADUBAABkcnMvZTJvRG9jLnhtbFBLBQYAAAAABgAG&#10;AFkBAAC8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YyOWJhMjIyNGMzOGM2YTNlY2UxMGE3YmNlY2Q3ZWYifQ=="/>
  </w:docVars>
  <w:rsids>
    <w:rsidRoot w:val="00360758"/>
    <w:rsid w:val="00161F05"/>
    <w:rsid w:val="001B744A"/>
    <w:rsid w:val="00250395"/>
    <w:rsid w:val="0027182D"/>
    <w:rsid w:val="002B3CC5"/>
    <w:rsid w:val="002C64EA"/>
    <w:rsid w:val="0030796A"/>
    <w:rsid w:val="00360758"/>
    <w:rsid w:val="003F4C4D"/>
    <w:rsid w:val="00426DC7"/>
    <w:rsid w:val="00606EC2"/>
    <w:rsid w:val="0065072D"/>
    <w:rsid w:val="006554DA"/>
    <w:rsid w:val="006A242D"/>
    <w:rsid w:val="006C79B3"/>
    <w:rsid w:val="007414FE"/>
    <w:rsid w:val="007B2F9B"/>
    <w:rsid w:val="007F62F6"/>
    <w:rsid w:val="008A7559"/>
    <w:rsid w:val="00991CF5"/>
    <w:rsid w:val="00994EC2"/>
    <w:rsid w:val="009D7166"/>
    <w:rsid w:val="009D7ABB"/>
    <w:rsid w:val="00A50C13"/>
    <w:rsid w:val="00B43A6B"/>
    <w:rsid w:val="00B86F92"/>
    <w:rsid w:val="00B91132"/>
    <w:rsid w:val="00BC2983"/>
    <w:rsid w:val="00C120BF"/>
    <w:rsid w:val="00CD5984"/>
    <w:rsid w:val="00D50EAC"/>
    <w:rsid w:val="00F55734"/>
    <w:rsid w:val="00FA6FE5"/>
    <w:rsid w:val="01F0439C"/>
    <w:rsid w:val="090A2167"/>
    <w:rsid w:val="0E7E1835"/>
    <w:rsid w:val="0FF5B04E"/>
    <w:rsid w:val="10B36ECA"/>
    <w:rsid w:val="15791A87"/>
    <w:rsid w:val="157A3D44"/>
    <w:rsid w:val="19EF14EA"/>
    <w:rsid w:val="1F7BB458"/>
    <w:rsid w:val="1FBF0C1A"/>
    <w:rsid w:val="1FEF796D"/>
    <w:rsid w:val="1FFFD8C2"/>
    <w:rsid w:val="208B2A2D"/>
    <w:rsid w:val="21AA5373"/>
    <w:rsid w:val="22286CCA"/>
    <w:rsid w:val="25EB42DB"/>
    <w:rsid w:val="293C44C2"/>
    <w:rsid w:val="2CFDB7D2"/>
    <w:rsid w:val="2E952FB2"/>
    <w:rsid w:val="2EFF01D2"/>
    <w:rsid w:val="318B377B"/>
    <w:rsid w:val="34ED162B"/>
    <w:rsid w:val="35925435"/>
    <w:rsid w:val="36BF290B"/>
    <w:rsid w:val="36FBA1AE"/>
    <w:rsid w:val="37BF948A"/>
    <w:rsid w:val="39F556E5"/>
    <w:rsid w:val="3ACBED0F"/>
    <w:rsid w:val="3EFE7164"/>
    <w:rsid w:val="3F43235B"/>
    <w:rsid w:val="3F8F657B"/>
    <w:rsid w:val="3FF7C52F"/>
    <w:rsid w:val="3FFF81AA"/>
    <w:rsid w:val="43DF62B7"/>
    <w:rsid w:val="468A4124"/>
    <w:rsid w:val="46DDDB32"/>
    <w:rsid w:val="4B99D382"/>
    <w:rsid w:val="4DFF47DE"/>
    <w:rsid w:val="4EAD8A51"/>
    <w:rsid w:val="52A34003"/>
    <w:rsid w:val="58BC81EF"/>
    <w:rsid w:val="5C6EB2E6"/>
    <w:rsid w:val="5DF1163B"/>
    <w:rsid w:val="5EEF1B42"/>
    <w:rsid w:val="5F69F1E0"/>
    <w:rsid w:val="5F9E1961"/>
    <w:rsid w:val="5FB271BB"/>
    <w:rsid w:val="6157228A"/>
    <w:rsid w:val="62E55ADD"/>
    <w:rsid w:val="65B73CC5"/>
    <w:rsid w:val="65D7D67A"/>
    <w:rsid w:val="65F5328D"/>
    <w:rsid w:val="66584881"/>
    <w:rsid w:val="67DDEFD8"/>
    <w:rsid w:val="68F7277A"/>
    <w:rsid w:val="693FB342"/>
    <w:rsid w:val="6AA77FB9"/>
    <w:rsid w:val="6AF89D6B"/>
    <w:rsid w:val="6B146ABA"/>
    <w:rsid w:val="6BEFC53E"/>
    <w:rsid w:val="6BFABF96"/>
    <w:rsid w:val="6CA73891"/>
    <w:rsid w:val="6CFBBCD6"/>
    <w:rsid w:val="6D7D8831"/>
    <w:rsid w:val="6DBF9E51"/>
    <w:rsid w:val="6DF75117"/>
    <w:rsid w:val="6E2D6001"/>
    <w:rsid w:val="6ED7CB95"/>
    <w:rsid w:val="6F77F74E"/>
    <w:rsid w:val="6F9E9506"/>
    <w:rsid w:val="6F9F4CCF"/>
    <w:rsid w:val="6FE6E685"/>
    <w:rsid w:val="6FEEB261"/>
    <w:rsid w:val="6FFFB8C7"/>
    <w:rsid w:val="712A40FB"/>
    <w:rsid w:val="72E35B64"/>
    <w:rsid w:val="72EB4614"/>
    <w:rsid w:val="73B31C54"/>
    <w:rsid w:val="74FF5F35"/>
    <w:rsid w:val="75EF8718"/>
    <w:rsid w:val="75FFE398"/>
    <w:rsid w:val="7631196D"/>
    <w:rsid w:val="766FE241"/>
    <w:rsid w:val="76F9C673"/>
    <w:rsid w:val="773ED453"/>
    <w:rsid w:val="777F864F"/>
    <w:rsid w:val="779D8999"/>
    <w:rsid w:val="77A3DD87"/>
    <w:rsid w:val="77E15590"/>
    <w:rsid w:val="77EF1A73"/>
    <w:rsid w:val="77FE5599"/>
    <w:rsid w:val="77FF461B"/>
    <w:rsid w:val="79DBE570"/>
    <w:rsid w:val="79FECB39"/>
    <w:rsid w:val="7AF738D0"/>
    <w:rsid w:val="7B73F3B9"/>
    <w:rsid w:val="7B9EAAA9"/>
    <w:rsid w:val="7BAF5836"/>
    <w:rsid w:val="7BFF3492"/>
    <w:rsid w:val="7BFF60E3"/>
    <w:rsid w:val="7CFCF9AF"/>
    <w:rsid w:val="7D3DD8E0"/>
    <w:rsid w:val="7D570909"/>
    <w:rsid w:val="7D5CF56A"/>
    <w:rsid w:val="7DC7D132"/>
    <w:rsid w:val="7DDE871C"/>
    <w:rsid w:val="7DF89CC8"/>
    <w:rsid w:val="7EAA216A"/>
    <w:rsid w:val="7EEFE395"/>
    <w:rsid w:val="7EFFCD6A"/>
    <w:rsid w:val="7F2A8DBE"/>
    <w:rsid w:val="7F3D752B"/>
    <w:rsid w:val="7F5FD5E8"/>
    <w:rsid w:val="7F67A2A9"/>
    <w:rsid w:val="7F6F493F"/>
    <w:rsid w:val="7F7D1A11"/>
    <w:rsid w:val="7F7EDE98"/>
    <w:rsid w:val="7FA9AD4E"/>
    <w:rsid w:val="7FC745D0"/>
    <w:rsid w:val="7FC7E01F"/>
    <w:rsid w:val="7FEB60F9"/>
    <w:rsid w:val="7FEE4087"/>
    <w:rsid w:val="7FF7A5CF"/>
    <w:rsid w:val="7FFB3C79"/>
    <w:rsid w:val="7FFD58E8"/>
    <w:rsid w:val="7FFF236D"/>
    <w:rsid w:val="7FFFFFB6"/>
    <w:rsid w:val="8AE6D61B"/>
    <w:rsid w:val="8BABB8AB"/>
    <w:rsid w:val="8DFE16FB"/>
    <w:rsid w:val="8FF91FAA"/>
    <w:rsid w:val="97F58F88"/>
    <w:rsid w:val="9F7DA5CF"/>
    <w:rsid w:val="9FC73F23"/>
    <w:rsid w:val="9FDDCBEA"/>
    <w:rsid w:val="9FEFC8E7"/>
    <w:rsid w:val="ADBF4E35"/>
    <w:rsid w:val="AEFFA6DE"/>
    <w:rsid w:val="AFFFEF46"/>
    <w:rsid w:val="B55A04C6"/>
    <w:rsid w:val="BAFB3611"/>
    <w:rsid w:val="BBE7D2D3"/>
    <w:rsid w:val="BBEFDB84"/>
    <w:rsid w:val="BBFF3BDE"/>
    <w:rsid w:val="BDF70E53"/>
    <w:rsid w:val="BDFBDBBE"/>
    <w:rsid w:val="BE3F7857"/>
    <w:rsid w:val="BE9321C4"/>
    <w:rsid w:val="BEFDD16D"/>
    <w:rsid w:val="BFD748A1"/>
    <w:rsid w:val="BFEB3785"/>
    <w:rsid w:val="BFEDD2F0"/>
    <w:rsid w:val="BFFF7E73"/>
    <w:rsid w:val="C75FDBC6"/>
    <w:rsid w:val="C9BF6BCC"/>
    <w:rsid w:val="CBEBB463"/>
    <w:rsid w:val="CFE5281C"/>
    <w:rsid w:val="CFF6EFF2"/>
    <w:rsid w:val="D3A3E7BC"/>
    <w:rsid w:val="D7FEEF1D"/>
    <w:rsid w:val="D9F78B60"/>
    <w:rsid w:val="DC775566"/>
    <w:rsid w:val="DDCFB42C"/>
    <w:rsid w:val="DDDB92AA"/>
    <w:rsid w:val="DEE591ED"/>
    <w:rsid w:val="DEF1AC92"/>
    <w:rsid w:val="DF2E579D"/>
    <w:rsid w:val="DF7E362D"/>
    <w:rsid w:val="DF8F9F01"/>
    <w:rsid w:val="DFCFC2E8"/>
    <w:rsid w:val="DFEEBDAA"/>
    <w:rsid w:val="DFFEBCC8"/>
    <w:rsid w:val="E515A46B"/>
    <w:rsid w:val="E6FDA704"/>
    <w:rsid w:val="E75043E4"/>
    <w:rsid w:val="E75DF301"/>
    <w:rsid w:val="E7FC3521"/>
    <w:rsid w:val="E9DD56A1"/>
    <w:rsid w:val="EB6FBDEE"/>
    <w:rsid w:val="ECFF940D"/>
    <w:rsid w:val="ED99B25E"/>
    <w:rsid w:val="EE2E8413"/>
    <w:rsid w:val="EE3887D6"/>
    <w:rsid w:val="EECFA910"/>
    <w:rsid w:val="EEEF7829"/>
    <w:rsid w:val="EF3523A5"/>
    <w:rsid w:val="EF3E0168"/>
    <w:rsid w:val="EF9F5FA9"/>
    <w:rsid w:val="EFBD6EC0"/>
    <w:rsid w:val="EFCDF236"/>
    <w:rsid w:val="EFCE9BF9"/>
    <w:rsid w:val="F1FD2DBC"/>
    <w:rsid w:val="F3F24985"/>
    <w:rsid w:val="F3FF7C5D"/>
    <w:rsid w:val="F5F61D1C"/>
    <w:rsid w:val="F77FD39B"/>
    <w:rsid w:val="F7BA9189"/>
    <w:rsid w:val="F7CF2A46"/>
    <w:rsid w:val="F7DBDED0"/>
    <w:rsid w:val="F7DCB54A"/>
    <w:rsid w:val="F7F4B7FF"/>
    <w:rsid w:val="F7F5E4F1"/>
    <w:rsid w:val="F97F45BC"/>
    <w:rsid w:val="FAEADFAB"/>
    <w:rsid w:val="FAFEB211"/>
    <w:rsid w:val="FB7F9996"/>
    <w:rsid w:val="FBD565F1"/>
    <w:rsid w:val="FBEED9CC"/>
    <w:rsid w:val="FBF686D6"/>
    <w:rsid w:val="FBF7FFB0"/>
    <w:rsid w:val="FCBF7F1A"/>
    <w:rsid w:val="FCFF8BE0"/>
    <w:rsid w:val="FD37722E"/>
    <w:rsid w:val="FDE7959D"/>
    <w:rsid w:val="FE257C0F"/>
    <w:rsid w:val="FEF67391"/>
    <w:rsid w:val="FF3FD62B"/>
    <w:rsid w:val="FF6DDB3D"/>
    <w:rsid w:val="FF774D34"/>
    <w:rsid w:val="FF7EE42A"/>
    <w:rsid w:val="FF956AFD"/>
    <w:rsid w:val="FF9FE2B3"/>
    <w:rsid w:val="FFB725F7"/>
    <w:rsid w:val="FFB9E229"/>
    <w:rsid w:val="FFBF453E"/>
    <w:rsid w:val="FFBFC704"/>
    <w:rsid w:val="FFC6288B"/>
    <w:rsid w:val="FFCF0607"/>
    <w:rsid w:val="FFEF96F2"/>
    <w:rsid w:val="FFF9FE6A"/>
    <w:rsid w:val="FFFB44EA"/>
    <w:rsid w:val="FFFD0237"/>
    <w:rsid w:val="FFFF0ADB"/>
    <w:rsid w:val="FFFFA4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内文"/>
    <w:basedOn w:val="12"/>
    <w:qFormat/>
    <w:uiPriority w:val="99"/>
    <w:pPr>
      <w:ind w:firstLine="567"/>
    </w:pPr>
  </w:style>
  <w:style w:type="paragraph" w:customStyle="1" w:styleId="12">
    <w:name w:val="段落样式1"/>
    <w:basedOn w:val="13"/>
    <w:qFormat/>
    <w:uiPriority w:val="99"/>
    <w:pPr>
      <w:spacing w:line="460" w:lineRule="atLeast"/>
    </w:pPr>
    <w:rPr>
      <w:sz w:val="30"/>
      <w:szCs w:val="30"/>
    </w:rPr>
  </w:style>
  <w:style w:type="paragraph" w:customStyle="1" w:styleId="13">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宋体"/>
      <w:color w:val="000000"/>
      <w:sz w:val="24"/>
      <w:szCs w:val="24"/>
      <w:lang w:val="zh-CN"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1793</Words>
  <Characters>2210</Characters>
  <Lines>5</Lines>
  <Paragraphs>9</Paragraphs>
  <TotalTime>0</TotalTime>
  <ScaleCrop>false</ScaleCrop>
  <LinksUpToDate>false</LinksUpToDate>
  <CharactersWithSpaces>2469</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2021-08-17T13:03:00Z</dcterms:created>
  <dc:creator>lenovo</dc:creator>
  <cp:lastModifiedBy>uos</cp:lastModifiedBy>
  <cp:lastPrinted>2024-10-01T00:28:00Z</cp:lastPrinted>
  <dcterms:modified xsi:type="dcterms:W3CDTF">2024-10-17T14:50:41Z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CE2528350D7344269652397547EE4C12_12</vt:lpwstr>
  </property>
</Properties>
</file>