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396</w:t>
      </w:r>
      <w:r>
        <w:rPr>
          <w:rFonts w:hint="eastAsia" w:ascii="仿宋" w:hAnsi="仿宋" w:eastAsia="仿宋" w:cs="仿宋"/>
          <w:bCs/>
          <w:color w:val="000000"/>
          <w:sz w:val="32"/>
          <w:szCs w:val="32"/>
        </w:rPr>
        <w:t>号</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eastAsia="zh-CN"/>
        </w:rPr>
        <w:t>姚</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lang w:eastAsia="zh-CN"/>
        </w:rPr>
        <w:t>蝶</w:t>
      </w:r>
      <w:r>
        <w:rPr>
          <w:rFonts w:hint="eastAsia" w:ascii="仿宋" w:hAnsi="仿宋" w:eastAsia="仿宋" w:cs="仿宋"/>
          <w:bCs/>
          <w:color w:val="000000"/>
          <w:sz w:val="32"/>
          <w:szCs w:val="32"/>
        </w:rPr>
        <w:t xml:space="preserve">   </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w:t>
      </w:r>
      <w:r>
        <w:rPr>
          <w:rFonts w:hint="eastAsia" w:ascii="仿宋" w:hAnsi="仿宋" w:eastAsia="仿宋" w:cs="仿宋"/>
          <w:bCs/>
          <w:color w:val="000000"/>
          <w:sz w:val="32"/>
          <w:szCs w:val="32"/>
          <w:lang w:val="en-US" w:eastAsia="zh-CN"/>
        </w:rPr>
        <w:t>\</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 w:hAnsi="仿宋" w:eastAsia="仿宋" w:cs="仿宋"/>
          <w:bCs/>
          <w:color w:val="000000"/>
          <w:sz w:val="32"/>
          <w:szCs w:val="32"/>
          <w:lang w:val="en-US" w:eastAsia="zh-CN"/>
        </w:rPr>
        <w:t>\</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2023年8月24日，本局收到淮南市公安局《传销线索移送函》（淮公函[2023]23号)，称你是淮南市公安局办理的《325组织领导传销案》涉案人员，从事传销活动，经依法核查，你介绍他人参加传销的行为未达到刑事立案标准，移交本局处理。根据淮南市公安局移送的刑事调查卷宗和相关证据材料，你涉嫌介绍他人参加传销。本局于2023年10月10日予以立案，2024年7月12日对当事人进行了调查。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经查，当事人于2016年经廖</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介绍参加“壹汇环球”传销项目，并介绍他人参加传销。当事人介绍发展下线有黄</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、江</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、朱</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 xml:space="preserve">等 32人，公安机关已核查下线人员5人，剩余27人放弃报警或拒绝配合取证。当事人参与“壹汇环球”传销项目涉案资金主要通过中国银行62****52账户和建设银行卡62****21账户进行交易，交易流水包括当事人及其下线的投入资金和获得收益。上述银行卡的资金流水中包含当事人的家庭生活收支以及传销资金交易，无法进行区分，当事人违法所得无法计算。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上述事实，主要有以下证据证明：</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_GB2312" w:hAnsi="Times New Roman" w:eastAsia="仿宋_GB2312" w:cs="仿宋_GB2312"/>
          <w:bCs/>
          <w:sz w:val="32"/>
          <w:szCs w:val="32"/>
          <w:u w:val="none"/>
          <w:lang w:val="en-US" w:eastAsia="zh-CN"/>
        </w:rPr>
      </w:pPr>
      <w:r>
        <w:rPr>
          <w:rFonts w:hint="eastAsia" w:ascii="仿宋_GB2312" w:hAnsi="sinsum" w:eastAsia="仿宋_GB2312" w:cs="仿宋_GB2312"/>
          <w:i w:val="0"/>
          <w:caps w:val="0"/>
          <w:color w:val="000000"/>
          <w:spacing w:val="0"/>
          <w:sz w:val="32"/>
          <w:szCs w:val="32"/>
          <w:u w:val="none"/>
          <w:shd w:val="clear" w:color="auto" w:fill="FFFFFF"/>
          <w:lang w:val="en-US" w:eastAsia="zh-CN"/>
        </w:rPr>
        <w:t>1、</w:t>
      </w:r>
      <w:r>
        <w:rPr>
          <w:rFonts w:hint="eastAsia" w:ascii="仿宋_GB2312" w:hAnsi="sinsum" w:eastAsia="仿宋_GB2312" w:cs="仿宋_GB2312"/>
          <w:i w:val="0"/>
          <w:caps w:val="0"/>
          <w:color w:val="000000"/>
          <w:spacing w:val="0"/>
          <w:sz w:val="32"/>
          <w:szCs w:val="32"/>
          <w:u w:val="none"/>
          <w:shd w:val="clear" w:color="auto" w:fill="FFFFFF"/>
          <w:lang w:eastAsia="zh-CN"/>
        </w:rPr>
        <w:t>淮南市公安局《传销线索移送函》</w:t>
      </w:r>
      <w:r>
        <w:rPr>
          <w:rFonts w:hint="eastAsia" w:ascii="仿宋_GB2312" w:hAnsi="Times New Roman" w:eastAsia="仿宋_GB2312" w:cs="仿宋_GB2312"/>
          <w:bCs/>
          <w:sz w:val="32"/>
          <w:szCs w:val="32"/>
          <w:u w:val="none"/>
          <w:lang w:val="en-US" w:eastAsia="zh-CN"/>
        </w:rPr>
        <w:t>1份</w:t>
      </w:r>
      <w:r>
        <w:rPr>
          <w:rFonts w:hint="eastAsia" w:ascii="仿宋_GB2312" w:hAnsi="sinsum" w:eastAsia="仿宋_GB2312" w:cs="仿宋_GB2312"/>
          <w:i w:val="0"/>
          <w:caps w:val="0"/>
          <w:color w:val="000000"/>
          <w:spacing w:val="0"/>
          <w:sz w:val="32"/>
          <w:szCs w:val="32"/>
          <w:u w:val="none"/>
          <w:shd w:val="clear" w:color="auto" w:fill="FFFFFF"/>
          <w:lang w:val="en-US" w:eastAsia="zh-CN"/>
        </w:rPr>
        <w:t>，证明案件线索来源</w:t>
      </w:r>
      <w:r>
        <w:rPr>
          <w:rFonts w:hint="eastAsia" w:ascii="仿宋_GB2312" w:hAnsi="Times New Roman" w:eastAsia="仿宋_GB2312" w:cs="仿宋_GB2312"/>
          <w:bCs/>
          <w:sz w:val="32"/>
          <w:szCs w:val="32"/>
          <w:u w:val="no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2</w:t>
      </w:r>
      <w:r>
        <w:rPr>
          <w:rFonts w:hint="eastAsia" w:ascii="仿宋_GB2312" w:hAnsi="sinsum" w:eastAsia="仿宋_GB2312" w:cs="仿宋_GB2312"/>
          <w:i w:val="0"/>
          <w:caps w:val="0"/>
          <w:color w:val="000000"/>
          <w:spacing w:val="0"/>
          <w:sz w:val="32"/>
          <w:szCs w:val="32"/>
          <w:u w:val="none"/>
          <w:shd w:val="clear" w:color="auto" w:fill="FFFFFF"/>
          <w:lang w:val="en-US" w:eastAsia="zh-CN"/>
        </w:rPr>
        <w:t>、淮南市公安局山南新区分局在侦刑事案件卷宗（</w:t>
      </w:r>
      <w:r>
        <w:rPr>
          <w:rFonts w:hint="eastAsia" w:ascii="仿宋" w:hAnsi="仿宋" w:eastAsia="仿宋" w:cs="仿宋"/>
          <w:sz w:val="32"/>
          <w:szCs w:val="32"/>
          <w:u w:val="none"/>
          <w:lang w:eastAsia="zh-CN"/>
        </w:rPr>
        <w:t>姚</w:t>
      </w:r>
      <w:r>
        <w:rPr>
          <w:rFonts w:hint="eastAsia" w:ascii="仿宋" w:hAnsi="仿宋" w:eastAsia="仿宋" w:cs="仿宋"/>
          <w:bCs/>
          <w:color w:val="000000"/>
          <w:sz w:val="32"/>
          <w:szCs w:val="32"/>
          <w:lang w:val="en-US" w:eastAsia="zh-CN"/>
        </w:rPr>
        <w:t>*</w:t>
      </w:r>
      <w:bookmarkStart w:id="3" w:name="_GoBack"/>
      <w:bookmarkEnd w:id="3"/>
      <w:r>
        <w:rPr>
          <w:rFonts w:hint="eastAsia" w:ascii="仿宋_GB2312" w:hAnsi="sinsum" w:eastAsia="仿宋_GB2312" w:cs="仿宋_GB2312"/>
          <w:i w:val="0"/>
          <w:caps w:val="0"/>
          <w:color w:val="000000"/>
          <w:spacing w:val="0"/>
          <w:sz w:val="32"/>
          <w:szCs w:val="32"/>
          <w:u w:val="none"/>
          <w:shd w:val="clear" w:color="auto" w:fill="FFFFFF"/>
          <w:lang w:val="en-US" w:eastAsia="zh-CN"/>
        </w:rPr>
        <w:t>）1份，</w:t>
      </w:r>
      <w:r>
        <w:rPr>
          <w:rFonts w:hint="eastAsia" w:ascii="仿宋_GB2312" w:hAnsi="仿宋_GB2312" w:eastAsia="仿宋_GB2312" w:cs="仿宋_GB2312"/>
          <w:bCs/>
          <w:sz w:val="32"/>
          <w:szCs w:val="32"/>
          <w:u w:val="none"/>
          <w:lang w:val="en-US" w:eastAsia="zh-CN"/>
        </w:rPr>
        <w:t>证明当事人介绍他人参加传销的事实以及</w:t>
      </w:r>
      <w:r>
        <w:rPr>
          <w:rFonts w:hint="eastAsia" w:ascii="仿宋_GB2312" w:hAnsi="仿宋_GB2312" w:eastAsia="仿宋_GB2312" w:cs="仿宋_GB2312"/>
          <w:bCs/>
          <w:sz w:val="32"/>
          <w:szCs w:val="32"/>
          <w:highlight w:val="none"/>
          <w:u w:val="none"/>
          <w:lang w:val="en-US" w:eastAsia="zh-CN"/>
        </w:rPr>
        <w:t>当事人与</w:t>
      </w:r>
      <w:r>
        <w:rPr>
          <w:rFonts w:hint="eastAsia" w:ascii="仿宋_GB2312" w:hAnsi="Times New Roman" w:eastAsia="仿宋_GB2312" w:cs="仿宋_GB2312"/>
          <w:bCs/>
          <w:sz w:val="32"/>
          <w:szCs w:val="32"/>
          <w:u w:val="none"/>
          <w:lang w:val="en-US" w:eastAsia="zh-CN"/>
        </w:rPr>
        <w:t>谢</w:t>
      </w:r>
      <w:r>
        <w:rPr>
          <w:rFonts w:hint="eastAsia" w:ascii="仿宋" w:hAnsi="仿宋" w:eastAsia="仿宋" w:cs="仿宋"/>
          <w:bCs/>
          <w:color w:val="000000"/>
          <w:sz w:val="32"/>
          <w:szCs w:val="32"/>
          <w:lang w:val="en-US" w:eastAsia="zh-CN"/>
        </w:rPr>
        <w:t>*</w:t>
      </w:r>
      <w:r>
        <w:rPr>
          <w:rFonts w:hint="eastAsia" w:ascii="仿宋_GB2312" w:hAnsi="Times New Roman" w:eastAsia="仿宋_GB2312" w:cs="仿宋_GB2312"/>
          <w:bCs/>
          <w:sz w:val="32"/>
          <w:szCs w:val="32"/>
          <w:u w:val="none"/>
          <w:lang w:val="en-US" w:eastAsia="zh-CN"/>
        </w:rPr>
        <w:t>、黄</w:t>
      </w:r>
      <w:r>
        <w:rPr>
          <w:rFonts w:hint="eastAsia" w:ascii="仿宋" w:hAnsi="仿宋" w:eastAsia="仿宋" w:cs="仿宋"/>
          <w:bCs/>
          <w:color w:val="000000"/>
          <w:sz w:val="32"/>
          <w:szCs w:val="32"/>
          <w:lang w:val="en-US" w:eastAsia="zh-CN"/>
        </w:rPr>
        <w:t>*</w:t>
      </w:r>
      <w:r>
        <w:rPr>
          <w:rFonts w:hint="eastAsia" w:ascii="仿宋_GB2312" w:hAnsi="Times New Roman" w:eastAsia="仿宋_GB2312" w:cs="仿宋_GB2312"/>
          <w:bCs/>
          <w:sz w:val="32"/>
          <w:szCs w:val="32"/>
          <w:u w:val="none"/>
          <w:lang w:val="en-US" w:eastAsia="zh-CN"/>
        </w:rPr>
        <w:t>、朱</w:t>
      </w:r>
      <w:r>
        <w:rPr>
          <w:rFonts w:hint="eastAsia" w:ascii="仿宋" w:hAnsi="仿宋" w:eastAsia="仿宋" w:cs="仿宋"/>
          <w:bCs/>
          <w:color w:val="000000"/>
          <w:sz w:val="32"/>
          <w:szCs w:val="32"/>
          <w:lang w:val="en-US" w:eastAsia="zh-CN"/>
        </w:rPr>
        <w:t>*</w:t>
      </w:r>
      <w:r>
        <w:rPr>
          <w:rFonts w:hint="eastAsia" w:ascii="仿宋" w:hAnsi="仿宋" w:eastAsia="仿宋" w:cs="仿宋"/>
          <w:color w:val="auto"/>
          <w:spacing w:val="-1"/>
          <w:sz w:val="32"/>
          <w:szCs w:val="32"/>
          <w:u w:val="none"/>
          <w:lang w:val="en-US" w:eastAsia="zh-CN"/>
        </w:rPr>
        <w:t>关于</w:t>
      </w:r>
      <w:r>
        <w:rPr>
          <w:rFonts w:hint="eastAsia" w:ascii="仿宋_GB2312" w:hAnsi="仿宋_GB2312" w:eastAsia="仿宋_GB2312" w:cs="仿宋_GB2312"/>
          <w:bCs/>
          <w:sz w:val="32"/>
          <w:szCs w:val="32"/>
          <w:highlight w:val="none"/>
          <w:u w:val="none"/>
          <w:lang w:val="en" w:eastAsia="zh-CN"/>
        </w:rPr>
        <w:t>“</w:t>
      </w:r>
      <w:r>
        <w:rPr>
          <w:rFonts w:hint="eastAsia" w:ascii="仿宋_GB2312" w:hAnsi="仿宋_GB2312" w:eastAsia="仿宋_GB2312" w:cs="仿宋_GB2312"/>
          <w:bCs/>
          <w:sz w:val="32"/>
          <w:szCs w:val="32"/>
          <w:highlight w:val="none"/>
          <w:u w:val="none"/>
          <w:lang w:val="en-US" w:eastAsia="zh-CN"/>
        </w:rPr>
        <w:t>壹汇环球”传销资金</w:t>
      </w:r>
      <w:r>
        <w:rPr>
          <w:rFonts w:hint="eastAsia" w:ascii="仿宋" w:hAnsi="仿宋" w:eastAsia="仿宋" w:cs="仿宋"/>
          <w:color w:val="auto"/>
          <w:spacing w:val="-1"/>
          <w:sz w:val="32"/>
          <w:szCs w:val="32"/>
          <w:u w:val="none"/>
          <w:lang w:val="en-US" w:eastAsia="zh-CN"/>
        </w:rPr>
        <w:t>转账的具体</w:t>
      </w:r>
      <w:r>
        <w:rPr>
          <w:rFonts w:hint="eastAsia" w:ascii="仿宋_GB2312" w:hAnsi="仿宋_GB2312" w:eastAsia="仿宋_GB2312" w:cs="仿宋_GB2312"/>
          <w:bCs/>
          <w:sz w:val="32"/>
          <w:szCs w:val="32"/>
          <w:highlight w:val="none"/>
          <w:u w:val="none"/>
          <w:lang w:val="en-US" w:eastAsia="zh-CN"/>
        </w:rPr>
        <w:t>情况</w:t>
      </w:r>
      <w:r>
        <w:rPr>
          <w:rFonts w:hint="eastAsia" w:ascii="仿宋_GB2312" w:hAnsi="仿宋_GB2312" w:eastAsia="仿宋_GB2312" w:cs="仿宋_GB2312"/>
          <w:bCs/>
          <w:sz w:val="32"/>
          <w:szCs w:val="32"/>
          <w:u w:val="no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default" w:ascii="仿宋_GB2312" w:hAnsi="仿宋_GB2312"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3、</w:t>
      </w:r>
      <w:r>
        <w:rPr>
          <w:rFonts w:hint="eastAsia" w:ascii="仿宋_GB2312" w:hAnsi="sinsum" w:eastAsia="仿宋_GB2312" w:cs="仿宋_GB2312"/>
          <w:i w:val="0"/>
          <w:caps w:val="0"/>
          <w:color w:val="000000"/>
          <w:spacing w:val="0"/>
          <w:sz w:val="32"/>
          <w:szCs w:val="32"/>
          <w:u w:val="none"/>
          <w:shd w:val="clear" w:color="auto" w:fill="FFFFFF"/>
          <w:lang w:val="en-US" w:eastAsia="zh-CN"/>
        </w:rPr>
        <w:t>本局</w:t>
      </w:r>
      <w:r>
        <w:rPr>
          <w:rFonts w:hint="eastAsia" w:ascii="仿宋_GB2312" w:hAnsi="Times New Roman" w:eastAsia="仿宋_GB2312" w:cs="仿宋_GB2312"/>
          <w:bCs/>
          <w:sz w:val="32"/>
          <w:szCs w:val="32"/>
          <w:u w:val="none"/>
          <w:lang w:val="en-US" w:eastAsia="zh-CN"/>
        </w:rPr>
        <w:t>对当事人询问笔录1份、</w:t>
      </w:r>
      <w:r>
        <w:rPr>
          <w:rFonts w:hint="eastAsia" w:ascii="仿宋_GB2312" w:hAnsi="仿宋_GB2312" w:eastAsia="仿宋_GB2312" w:cs="仿宋_GB2312"/>
          <w:spacing w:val="-1"/>
          <w:sz w:val="32"/>
          <w:szCs w:val="32"/>
          <w:u w:val="none"/>
          <w:lang w:val="en-US" w:eastAsia="zh-CN"/>
        </w:rPr>
        <w:t>卡号：</w:t>
      </w:r>
      <w:r>
        <w:rPr>
          <w:rFonts w:hint="eastAsia" w:ascii="仿宋" w:hAnsi="仿宋" w:eastAsia="仿宋" w:cs="仿宋"/>
          <w:color w:val="auto"/>
          <w:spacing w:val="-1"/>
          <w:sz w:val="32"/>
          <w:szCs w:val="32"/>
          <w:u w:val="none"/>
          <w:lang w:val="en-US" w:eastAsia="zh-CN"/>
        </w:rPr>
        <w:t>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21</w:t>
      </w:r>
      <w:r>
        <w:rPr>
          <w:rFonts w:hint="eastAsia" w:ascii="仿宋_GB2312" w:hAnsi="仿宋_GB2312" w:eastAsia="仿宋_GB2312" w:cs="仿宋_GB2312"/>
          <w:spacing w:val="-1"/>
          <w:sz w:val="32"/>
          <w:szCs w:val="32"/>
          <w:u w:val="none"/>
          <w:lang w:val="en-US" w:eastAsia="zh-CN"/>
        </w:rPr>
        <w:t>中国建设银行个人活期账户全部交易明细1份、</w:t>
      </w:r>
      <w:r>
        <w:rPr>
          <w:rFonts w:hint="eastAsia" w:ascii="仿宋" w:hAnsi="仿宋" w:eastAsia="仿宋" w:cs="仿宋"/>
          <w:color w:val="auto"/>
          <w:spacing w:val="-1"/>
          <w:sz w:val="32"/>
          <w:szCs w:val="32"/>
          <w:u w:val="none"/>
          <w:lang w:val="en-US" w:eastAsia="zh-CN"/>
        </w:rPr>
        <w:t>卡号：62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52中国银行交易流水明细清单1份</w:t>
      </w:r>
      <w:r>
        <w:rPr>
          <w:rFonts w:hint="eastAsia" w:ascii="仿宋_GB2312" w:hAnsi="Times New Roman" w:eastAsia="仿宋_GB2312" w:cs="仿宋_GB2312"/>
          <w:bCs/>
          <w:sz w:val="32"/>
          <w:szCs w:val="32"/>
          <w:u w:val="none"/>
          <w:lang w:val="en-US" w:eastAsia="zh-CN"/>
        </w:rPr>
        <w:t>，</w:t>
      </w:r>
      <w:r>
        <w:rPr>
          <w:rFonts w:hint="eastAsia" w:ascii="仿宋_GB2312" w:hAnsi="仿宋_GB2312" w:eastAsia="仿宋_GB2312" w:cs="仿宋_GB2312"/>
          <w:bCs/>
          <w:sz w:val="32"/>
          <w:szCs w:val="32"/>
          <w:u w:val="none"/>
          <w:lang w:val="en-US" w:eastAsia="zh-CN"/>
        </w:rPr>
        <w:t xml:space="preserve">证明当事人介绍他人参加传销的事实及传销资金交易情况；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default"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4、安徽省淮南市大通区人民法院刑事判决书打印件1份，证明</w:t>
      </w:r>
      <w:r>
        <w:rPr>
          <w:rFonts w:hint="eastAsia" w:ascii="仿宋_GB2312" w:hAnsi="sinsum" w:eastAsia="仿宋_GB2312" w:cs="仿宋_GB2312"/>
          <w:i w:val="0"/>
          <w:caps w:val="0"/>
          <w:color w:val="000000"/>
          <w:spacing w:val="0"/>
          <w:sz w:val="32"/>
          <w:szCs w:val="32"/>
          <w:u w:val="none"/>
          <w:shd w:val="clear" w:color="auto" w:fill="FFFFFF"/>
          <w:lang w:val="en-US" w:eastAsia="zh-CN"/>
        </w:rPr>
        <w:t>当事人上线另案处理情况及当事人</w:t>
      </w:r>
      <w:r>
        <w:rPr>
          <w:rFonts w:hint="eastAsia" w:ascii="仿宋_GB2312" w:hAnsi="仿宋_GB2312" w:eastAsia="仿宋_GB2312" w:cs="仿宋_GB2312"/>
          <w:bCs/>
          <w:sz w:val="32"/>
          <w:szCs w:val="32"/>
          <w:u w:val="none"/>
          <w:lang w:val="en-US" w:eastAsia="zh-CN"/>
        </w:rPr>
        <w:t xml:space="preserve">介绍他人参加的“壹汇环球”项目属传销活动的事实；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kern w:val="2"/>
          <w:sz w:val="32"/>
          <w:szCs w:val="32"/>
          <w:u w:val="none"/>
          <w:lang w:val="en-US" w:eastAsia="zh-CN" w:bidi="ar-SA"/>
        </w:rPr>
      </w:pPr>
      <w:r>
        <w:rPr>
          <w:rFonts w:hint="eastAsia" w:ascii="仿宋_GB2312" w:hAnsi="仿宋_GB2312" w:eastAsia="仿宋_GB2312" w:cs="仿宋_GB2312"/>
          <w:bCs/>
          <w:sz w:val="32"/>
          <w:szCs w:val="32"/>
          <w:u w:val="none"/>
          <w:lang w:val="en-US" w:eastAsia="zh-CN"/>
        </w:rPr>
        <w:t>5、</w:t>
      </w:r>
      <w:r>
        <w:rPr>
          <w:rFonts w:hint="eastAsia" w:ascii="仿宋_GB2312" w:hAnsi="Times New Roman" w:eastAsia="仿宋_GB2312" w:cs="仿宋_GB2312"/>
          <w:bCs/>
          <w:sz w:val="32"/>
          <w:szCs w:val="32"/>
          <w:u w:val="none"/>
          <w:lang w:val="en-US" w:eastAsia="zh-CN"/>
        </w:rPr>
        <w:t>当事人身份证复印件1份，证明当事人承担法律行为能力的主体资格。</w:t>
      </w:r>
    </w:p>
    <w:p>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当事人于2024年9月20日签收本局行政处罚告知书，未提出陈述申辩和听证。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本局认为，当事人上述行为违反《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依据《禁止传销条例》第二十四条第二款“有本条例第七条规定的行为，介绍、诱骗、胁迫他人参加传销的，由工商行政管理部门责令停止违法行为，没收非法财物，没收违法所得，处10万元以上50万元以下的罚款;构成犯罪的，依法追究刑事责任”的规定，参照《安徽省市场监督管理行政处罚裁量权基准》（2023年版）第【65】条第二款第一项“1.介绍他人参加传销的，处十万元以上二十万元以下的罚款”的规定，决定处当事人从轻行政处罚：100000元。</w:t>
      </w: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keepNext w:val="0"/>
        <w:keepLines w:val="0"/>
        <w:pageBreakBefore w:val="0"/>
        <w:kinsoku/>
        <w:wordWrap/>
        <w:topLinePunct w:val="0"/>
        <w:bidi w:val="0"/>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pPr>
        <w:keepNext w:val="0"/>
        <w:keepLines w:val="0"/>
        <w:pageBreakBefore w:val="0"/>
        <w:kinsoku/>
        <w:wordWrap/>
        <w:topLinePunct w:val="0"/>
        <w:bidi w:val="0"/>
        <w:spacing w:line="52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keepNext w:val="0"/>
        <w:keepLines w:val="0"/>
        <w:pageBreakBefore w:val="0"/>
        <w:kinsoku/>
        <w:wordWrap/>
        <w:topLinePunct w:val="0"/>
        <w:bidi w:val="0"/>
        <w:spacing w:line="520" w:lineRule="exact"/>
        <w:ind w:right="1280" w:firstLine="600"/>
        <w:jc w:val="righ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日</w:t>
      </w:r>
    </w:p>
    <w:p>
      <w:pPr>
        <w:rPr>
          <w:rFonts w:hint="eastAsia"/>
        </w:rPr>
      </w:pPr>
    </w:p>
    <w:p>
      <w:pPr>
        <w:rPr>
          <w:rFonts w:hint="eastAsia"/>
        </w:rPr>
      </w:pPr>
    </w:p>
    <w:p>
      <w:pPr>
        <w:rPr>
          <w:rFonts w:hint="eastAsia"/>
        </w:rPr>
      </w:pPr>
    </w:p>
    <w:p>
      <w:pPr>
        <w:pStyle w:val="3"/>
        <w:keepNext w:val="0"/>
        <w:keepLines w:val="0"/>
        <w:pageBreakBefore w:val="0"/>
        <w:kinsoku/>
        <w:wordWrap/>
        <w:topLinePunct w:val="0"/>
        <w:bidi w:val="0"/>
        <w:spacing w:line="520" w:lineRule="exact"/>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kinsoku/>
        <w:wordWrap/>
        <w:topLinePunct w:val="0"/>
        <w:bidi w:val="0"/>
        <w:spacing w:line="52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二</w:t>
      </w:r>
      <w:r>
        <w:rPr>
          <w:rFonts w:hint="eastAsia" w:ascii="Times New Roman" w:hAnsi="Times New Roman" w:eastAsia="仿宋_GB2312" w:cs="仿宋"/>
          <w:color w:val="000000"/>
          <w:sz w:val="32"/>
          <w:szCs w:val="32"/>
        </w:rPr>
        <w:t>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decorative"/>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sinsum">
    <w:altName w:val="仿宋"/>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E7E1835"/>
    <w:rsid w:val="0FF5B04E"/>
    <w:rsid w:val="10B36ECA"/>
    <w:rsid w:val="15791A87"/>
    <w:rsid w:val="157A3D44"/>
    <w:rsid w:val="16B672DA"/>
    <w:rsid w:val="19EF14EA"/>
    <w:rsid w:val="1F7BB458"/>
    <w:rsid w:val="1FAFC701"/>
    <w:rsid w:val="1FBF0C1A"/>
    <w:rsid w:val="1FEF796D"/>
    <w:rsid w:val="1FFFD8C2"/>
    <w:rsid w:val="208B2A2D"/>
    <w:rsid w:val="21AA5373"/>
    <w:rsid w:val="22286CCA"/>
    <w:rsid w:val="25EB42DB"/>
    <w:rsid w:val="293C44C2"/>
    <w:rsid w:val="2CFDB7D2"/>
    <w:rsid w:val="2E952FB2"/>
    <w:rsid w:val="2EFF01D2"/>
    <w:rsid w:val="318B377B"/>
    <w:rsid w:val="34ED162B"/>
    <w:rsid w:val="35925435"/>
    <w:rsid w:val="36BF290B"/>
    <w:rsid w:val="36FBA1AE"/>
    <w:rsid w:val="37BF948A"/>
    <w:rsid w:val="39F556E5"/>
    <w:rsid w:val="3ACBED0F"/>
    <w:rsid w:val="3EFE7164"/>
    <w:rsid w:val="3F43235B"/>
    <w:rsid w:val="3F8F657B"/>
    <w:rsid w:val="3FF7C52F"/>
    <w:rsid w:val="3FFF81AA"/>
    <w:rsid w:val="43DF62B7"/>
    <w:rsid w:val="468A4124"/>
    <w:rsid w:val="46DDDB32"/>
    <w:rsid w:val="4B99D382"/>
    <w:rsid w:val="4DFF47DE"/>
    <w:rsid w:val="4E9FBE9C"/>
    <w:rsid w:val="4EAD8A51"/>
    <w:rsid w:val="52A34003"/>
    <w:rsid w:val="58B41AC7"/>
    <w:rsid w:val="58BC81EF"/>
    <w:rsid w:val="5C6EB2E6"/>
    <w:rsid w:val="5DF1163B"/>
    <w:rsid w:val="5EEF1B42"/>
    <w:rsid w:val="5F69F1E0"/>
    <w:rsid w:val="5F9E1961"/>
    <w:rsid w:val="5FB271BB"/>
    <w:rsid w:val="6157228A"/>
    <w:rsid w:val="62E55ADD"/>
    <w:rsid w:val="65B73CC5"/>
    <w:rsid w:val="65D7D67A"/>
    <w:rsid w:val="65F5328D"/>
    <w:rsid w:val="66584881"/>
    <w:rsid w:val="67DDEFD8"/>
    <w:rsid w:val="68F7277A"/>
    <w:rsid w:val="693FB342"/>
    <w:rsid w:val="6AA77FB9"/>
    <w:rsid w:val="6AF89D6B"/>
    <w:rsid w:val="6B146ABA"/>
    <w:rsid w:val="6BEFC53E"/>
    <w:rsid w:val="6BFABF96"/>
    <w:rsid w:val="6CA73891"/>
    <w:rsid w:val="6CFBBCD6"/>
    <w:rsid w:val="6D7D8831"/>
    <w:rsid w:val="6DBF9E51"/>
    <w:rsid w:val="6DF75117"/>
    <w:rsid w:val="6E2D6001"/>
    <w:rsid w:val="6ED7CB95"/>
    <w:rsid w:val="6EF17D39"/>
    <w:rsid w:val="6F77F74E"/>
    <w:rsid w:val="6F9E9506"/>
    <w:rsid w:val="6F9F4CCF"/>
    <w:rsid w:val="6FE6E685"/>
    <w:rsid w:val="6FEEB261"/>
    <w:rsid w:val="6FFFB8C7"/>
    <w:rsid w:val="712A40FB"/>
    <w:rsid w:val="72E35B64"/>
    <w:rsid w:val="72EB4614"/>
    <w:rsid w:val="73B31C54"/>
    <w:rsid w:val="74FF5F35"/>
    <w:rsid w:val="75EF8718"/>
    <w:rsid w:val="75FFE398"/>
    <w:rsid w:val="766FE241"/>
    <w:rsid w:val="76F9C673"/>
    <w:rsid w:val="773ED453"/>
    <w:rsid w:val="777F864F"/>
    <w:rsid w:val="779D8999"/>
    <w:rsid w:val="77E15590"/>
    <w:rsid w:val="77EF1A73"/>
    <w:rsid w:val="77FE5599"/>
    <w:rsid w:val="77FF461B"/>
    <w:rsid w:val="79DBE570"/>
    <w:rsid w:val="79FECB39"/>
    <w:rsid w:val="7AF738D0"/>
    <w:rsid w:val="7B73F3B9"/>
    <w:rsid w:val="7B9EAAA9"/>
    <w:rsid w:val="7BAF5836"/>
    <w:rsid w:val="7BFF3492"/>
    <w:rsid w:val="7BFF60E3"/>
    <w:rsid w:val="7CFCF9AF"/>
    <w:rsid w:val="7D375A91"/>
    <w:rsid w:val="7D3DD8E0"/>
    <w:rsid w:val="7D570909"/>
    <w:rsid w:val="7D5CF56A"/>
    <w:rsid w:val="7DC7D132"/>
    <w:rsid w:val="7DDE871C"/>
    <w:rsid w:val="7DF89CC8"/>
    <w:rsid w:val="7EAA216A"/>
    <w:rsid w:val="7EEFE395"/>
    <w:rsid w:val="7EFFCD6A"/>
    <w:rsid w:val="7F2A8DBE"/>
    <w:rsid w:val="7F3D752B"/>
    <w:rsid w:val="7F5FD5E8"/>
    <w:rsid w:val="7F67A2A9"/>
    <w:rsid w:val="7F6F493F"/>
    <w:rsid w:val="7F7D1A11"/>
    <w:rsid w:val="7F7EDE98"/>
    <w:rsid w:val="7FA9AD4E"/>
    <w:rsid w:val="7FC745D0"/>
    <w:rsid w:val="7FC7E01F"/>
    <w:rsid w:val="7FEB60F9"/>
    <w:rsid w:val="7FEE4087"/>
    <w:rsid w:val="7FF7A5CF"/>
    <w:rsid w:val="7FFB3C79"/>
    <w:rsid w:val="7FFD58E8"/>
    <w:rsid w:val="7FFF236D"/>
    <w:rsid w:val="7FFFFFB6"/>
    <w:rsid w:val="8AE6D61B"/>
    <w:rsid w:val="8BABB8AB"/>
    <w:rsid w:val="8DFE16FB"/>
    <w:rsid w:val="8FF91FAA"/>
    <w:rsid w:val="97F58F88"/>
    <w:rsid w:val="9F7DA5CF"/>
    <w:rsid w:val="9FC73F23"/>
    <w:rsid w:val="9FEFC8E7"/>
    <w:rsid w:val="ADBF4E35"/>
    <w:rsid w:val="AEFFA6DE"/>
    <w:rsid w:val="AFFFEF46"/>
    <w:rsid w:val="B55A04C6"/>
    <w:rsid w:val="BAFB3611"/>
    <w:rsid w:val="BBE7D2D3"/>
    <w:rsid w:val="BBEFDB84"/>
    <w:rsid w:val="BBFF3BDE"/>
    <w:rsid w:val="BDF70E53"/>
    <w:rsid w:val="BDFBDBBE"/>
    <w:rsid w:val="BE3F7857"/>
    <w:rsid w:val="BE9321C4"/>
    <w:rsid w:val="BEFDD16D"/>
    <w:rsid w:val="BFD748A1"/>
    <w:rsid w:val="BFEB3785"/>
    <w:rsid w:val="BFEDD2F0"/>
    <w:rsid w:val="BFFF7E73"/>
    <w:rsid w:val="C75FDBC6"/>
    <w:rsid w:val="C9BF6BCC"/>
    <w:rsid w:val="CBEBB463"/>
    <w:rsid w:val="CFF6EFF2"/>
    <w:rsid w:val="D3A3E7BC"/>
    <w:rsid w:val="D7FEEF1D"/>
    <w:rsid w:val="D9F78B60"/>
    <w:rsid w:val="DBD0B010"/>
    <w:rsid w:val="DC775566"/>
    <w:rsid w:val="DDCFB42C"/>
    <w:rsid w:val="DDDB92AA"/>
    <w:rsid w:val="DEE591ED"/>
    <w:rsid w:val="DEF1AC92"/>
    <w:rsid w:val="DF2E579D"/>
    <w:rsid w:val="DF7E362D"/>
    <w:rsid w:val="DF7EBD0A"/>
    <w:rsid w:val="DF8F9F01"/>
    <w:rsid w:val="DFCFC2E8"/>
    <w:rsid w:val="DFFEBCC8"/>
    <w:rsid w:val="E515A46B"/>
    <w:rsid w:val="E6FDA704"/>
    <w:rsid w:val="E75043E4"/>
    <w:rsid w:val="E75DF301"/>
    <w:rsid w:val="E7FC3521"/>
    <w:rsid w:val="E9DD56A1"/>
    <w:rsid w:val="EB6FBDEE"/>
    <w:rsid w:val="ECFF940D"/>
    <w:rsid w:val="ED99B25E"/>
    <w:rsid w:val="EE2E8413"/>
    <w:rsid w:val="EE3887D6"/>
    <w:rsid w:val="EECFA910"/>
    <w:rsid w:val="EEEF7829"/>
    <w:rsid w:val="EF3523A5"/>
    <w:rsid w:val="EF3E0168"/>
    <w:rsid w:val="EF9F5FA9"/>
    <w:rsid w:val="EFBD6EC0"/>
    <w:rsid w:val="EFCDF236"/>
    <w:rsid w:val="EFCE9BF9"/>
    <w:rsid w:val="F1FD2DBC"/>
    <w:rsid w:val="F3F24985"/>
    <w:rsid w:val="F3FF7C5D"/>
    <w:rsid w:val="F5F61D1C"/>
    <w:rsid w:val="F77FD39B"/>
    <w:rsid w:val="F7BA9189"/>
    <w:rsid w:val="F7CF2A46"/>
    <w:rsid w:val="F7DBDED0"/>
    <w:rsid w:val="F7DCB54A"/>
    <w:rsid w:val="F7F4B7FF"/>
    <w:rsid w:val="F7F5E4F1"/>
    <w:rsid w:val="F97F45BC"/>
    <w:rsid w:val="FAEADFAB"/>
    <w:rsid w:val="FAFEB211"/>
    <w:rsid w:val="FB7F9996"/>
    <w:rsid w:val="FBD565F1"/>
    <w:rsid w:val="FBEED9CC"/>
    <w:rsid w:val="FBF686D6"/>
    <w:rsid w:val="FBF7FFB0"/>
    <w:rsid w:val="FCBF7F1A"/>
    <w:rsid w:val="FCFF8BE0"/>
    <w:rsid w:val="FD37722E"/>
    <w:rsid w:val="FDE7959D"/>
    <w:rsid w:val="FE257C0F"/>
    <w:rsid w:val="FEF67391"/>
    <w:rsid w:val="FF3FD62B"/>
    <w:rsid w:val="FF6DDB3D"/>
    <w:rsid w:val="FF774D34"/>
    <w:rsid w:val="FF7EE42A"/>
    <w:rsid w:val="FF956AFD"/>
    <w:rsid w:val="FF9FE2B3"/>
    <w:rsid w:val="FFB725F7"/>
    <w:rsid w:val="FFB9E229"/>
    <w:rsid w:val="FFBF453E"/>
    <w:rsid w:val="FFBFC704"/>
    <w:rsid w:val="FFC6288B"/>
    <w:rsid w:val="FFCF0607"/>
    <w:rsid w:val="FFEF96F2"/>
    <w:rsid w:val="FFF9FE6A"/>
    <w:rsid w:val="FFFB44EA"/>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1558</Words>
  <Characters>1702</Characters>
  <Lines>5</Lines>
  <Paragraphs>9</Paragraphs>
  <TotalTime>1</TotalTime>
  <ScaleCrop>false</ScaleCrop>
  <LinksUpToDate>false</LinksUpToDate>
  <CharactersWithSpaces>1940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2021-08-17T13:03:00Z</dcterms:created>
  <dc:creator>lenovo</dc:creator>
  <cp:lastModifiedBy>uos</cp:lastModifiedBy>
  <cp:lastPrinted>2024-10-01T00:29:00Z</cp:lastPrinted>
  <dcterms:modified xsi:type="dcterms:W3CDTF">2024-10-17T14:52:51Z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CE2528350D7344269652397547EE4C12_12</vt:lpwstr>
  </property>
</Properties>
</file>