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pacing w:line="480" w:lineRule="exact"/>
        <w:jc w:val="center"/>
        <w:textAlignment w:val="auto"/>
        <w:rPr>
          <w:rFonts w:hint="eastAsia" w:ascii="Times New Roman" w:hAnsi="Times New Roman" w:eastAsia="方正小标宋简体" w:cs="方正小标宋简体"/>
          <w:bCs/>
          <w:sz w:val="44"/>
          <w:szCs w:val="44"/>
          <w:lang w:eastAsia="zh-CN"/>
        </w:rPr>
      </w:pPr>
    </w:p>
    <w:p>
      <w:pPr>
        <w:keepNext w:val="0"/>
        <w:keepLines w:val="0"/>
        <w:pageBreakBefore w:val="0"/>
        <w:kinsoku/>
        <w:overflowPunct/>
        <w:topLinePunct w:val="0"/>
        <w:autoSpaceDE/>
        <w:autoSpaceDN/>
        <w:bidi w:val="0"/>
        <w:adjustRightInd/>
        <w:spacing w:line="48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bCs/>
          <w:sz w:val="44"/>
          <w:szCs w:val="44"/>
          <w:lang w:eastAsia="zh-CN"/>
        </w:rPr>
        <w:t>淮南市</w:t>
      </w:r>
      <w:r>
        <w:rPr>
          <w:rFonts w:hint="eastAsia" w:ascii="Times New Roman" w:hAnsi="Times New Roman" w:eastAsia="方正小标宋简体" w:cs="方正小标宋简体"/>
          <w:bCs/>
          <w:sz w:val="44"/>
          <w:szCs w:val="44"/>
        </w:rPr>
        <w:t>市场监督管理局</w:t>
      </w:r>
    </w:p>
    <w:p>
      <w:pPr>
        <w:keepNext w:val="0"/>
        <w:keepLines w:val="0"/>
        <w:pageBreakBefore w:val="0"/>
        <w:kinsoku/>
        <w:overflowPunct/>
        <w:topLinePunct w:val="0"/>
        <w:autoSpaceDE/>
        <w:autoSpaceDN/>
        <w:bidi w:val="0"/>
        <w:adjustRightInd/>
        <w:spacing w:line="480" w:lineRule="exact"/>
        <w:jc w:val="center"/>
        <w:textAlignment w:val="auto"/>
        <w:rPr>
          <w:rFonts w:ascii="Times New Roman" w:hAnsi="Times New Roman" w:eastAsia="方正小标宋简体" w:cs="Mongolian Baiti"/>
          <w:bCs/>
          <w:color w:val="000000"/>
          <w:sz w:val="44"/>
          <w:szCs w:val="44"/>
        </w:rPr>
      </w:pPr>
      <w:r>
        <w:rPr>
          <w:rFonts w:ascii="Times New Roman" w:hAnsi="Times New Roman" w:eastAsia="方正小标宋简体" w:cs="Mongolian Baiti"/>
          <w:bCs/>
          <w:color w:val="000000"/>
          <w:sz w:val="44"/>
          <w:szCs w:val="44"/>
        </w:rPr>
        <w:t>行政处罚决定书</w:t>
      </w:r>
    </w:p>
    <w:p>
      <w:pPr>
        <w:keepNext w:val="0"/>
        <w:keepLines w:val="0"/>
        <w:pageBreakBefore w:val="0"/>
        <w:widowControl/>
        <w:kinsoku/>
        <w:wordWrap w:val="0"/>
        <w:overflowPunct/>
        <w:topLinePunct w:val="0"/>
        <w:autoSpaceDE/>
        <w:autoSpaceDN/>
        <w:bidi w:val="0"/>
        <w:adjustRightInd/>
        <w:snapToGrid w:val="0"/>
        <w:spacing w:line="480" w:lineRule="exact"/>
        <w:ind w:right="55"/>
        <w:jc w:val="center"/>
        <w:textAlignment w:val="auto"/>
        <w:rPr>
          <w:rFonts w:hint="eastAsia" w:ascii="Times New Roman" w:hAnsi="Times New Roman" w:eastAsia="仿宋_GB2312" w:cs="仿宋_GB2312"/>
          <w:bCs/>
          <w:color w:val="auto"/>
          <w:spacing w:val="0"/>
          <w:sz w:val="32"/>
          <w:szCs w:val="32"/>
          <w:highlight w:val="none"/>
          <w:lang w:val="en-US" w:eastAsia="zh-CN"/>
        </w:rPr>
      </w:pPr>
      <w:bookmarkStart w:id="0" w:name="OLE_LINK1"/>
      <w:r>
        <w:rPr>
          <w:rFonts w:hint="eastAsia" w:ascii="Times New Roman" w:hAnsi="Times New Roman" w:eastAsia="仿宋_GB2312" w:cs="仿宋_GB2312"/>
          <w:bCs/>
          <w:color w:val="auto"/>
          <w:spacing w:val="0"/>
          <w:sz w:val="32"/>
          <w:szCs w:val="32"/>
          <w:highlight w:val="none"/>
          <w:lang w:eastAsia="zh-CN"/>
        </w:rPr>
        <w:t>淮田</w:t>
      </w:r>
      <w:r>
        <w:rPr>
          <w:rFonts w:hint="eastAsia" w:ascii="Times New Roman" w:hAnsi="Times New Roman" w:eastAsia="仿宋_GB2312" w:cs="仿宋_GB2312"/>
          <w:bCs/>
          <w:color w:val="auto"/>
          <w:spacing w:val="0"/>
          <w:sz w:val="32"/>
          <w:szCs w:val="32"/>
          <w:highlight w:val="none"/>
        </w:rPr>
        <w:t>市监</w:t>
      </w:r>
      <w:r>
        <w:rPr>
          <w:rFonts w:hint="eastAsia" w:eastAsia="仿宋_GB2312" w:cs="仿宋_GB2312"/>
          <w:bCs/>
          <w:color w:val="auto"/>
          <w:spacing w:val="0"/>
          <w:sz w:val="32"/>
          <w:szCs w:val="32"/>
          <w:highlight w:val="none"/>
          <w:lang w:eastAsia="zh-CN"/>
        </w:rPr>
        <w:t>处罚</w:t>
      </w:r>
      <w:r>
        <w:rPr>
          <w:rFonts w:hint="eastAsia" w:ascii="Times New Roman" w:hAnsi="Times New Roman" w:eastAsia="仿宋_GB2312" w:cs="仿宋_GB2312"/>
          <w:bCs/>
          <w:color w:val="auto"/>
          <w:spacing w:val="0"/>
          <w:sz w:val="32"/>
          <w:szCs w:val="32"/>
          <w:highlight w:val="none"/>
        </w:rPr>
        <w:t>〔</w:t>
      </w:r>
      <w:r>
        <w:rPr>
          <w:rFonts w:hint="eastAsia" w:ascii="Times New Roman" w:hAnsi="Times New Roman" w:eastAsia="仿宋_GB2312" w:cs="仿宋_GB2312"/>
          <w:bCs/>
          <w:color w:val="auto"/>
          <w:spacing w:val="0"/>
          <w:sz w:val="32"/>
          <w:szCs w:val="32"/>
          <w:highlight w:val="none"/>
          <w:lang w:val="en-US" w:eastAsia="zh-CN"/>
        </w:rPr>
        <w:t>2025</w:t>
      </w:r>
      <w:r>
        <w:rPr>
          <w:rFonts w:hint="eastAsia" w:ascii="Times New Roman" w:hAnsi="Times New Roman" w:eastAsia="仿宋_GB2312" w:cs="仿宋_GB2312"/>
          <w:bCs/>
          <w:color w:val="auto"/>
          <w:spacing w:val="0"/>
          <w:sz w:val="32"/>
          <w:szCs w:val="32"/>
          <w:highlight w:val="none"/>
        </w:rPr>
        <w:t>〕</w:t>
      </w:r>
      <w:r>
        <w:rPr>
          <w:rFonts w:hint="eastAsia" w:eastAsia="仿宋_GB2312" w:cs="仿宋_GB2312"/>
          <w:bCs/>
          <w:color w:val="auto"/>
          <w:spacing w:val="0"/>
          <w:sz w:val="32"/>
          <w:szCs w:val="32"/>
          <w:highlight w:val="none"/>
          <w:lang w:val="en-US" w:eastAsia="zh-CN"/>
        </w:rPr>
        <w:t>223</w:t>
      </w:r>
      <w:r>
        <w:rPr>
          <w:rFonts w:hint="eastAsia" w:ascii="Times New Roman" w:hAnsi="Times New Roman" w:eastAsia="仿宋_GB2312" w:cs="仿宋_GB2312"/>
          <w:bCs/>
          <w:color w:val="auto"/>
          <w:spacing w:val="0"/>
          <w:sz w:val="32"/>
          <w:szCs w:val="32"/>
          <w:highlight w:val="none"/>
          <w:lang w:val="en-US" w:eastAsia="zh-CN"/>
        </w:rPr>
        <w:t>号</w:t>
      </w:r>
      <w:bookmarkEnd w:id="0"/>
    </w:p>
    <w:p>
      <w:pPr>
        <w:keepNext w:val="0"/>
        <w:keepLines w:val="0"/>
        <w:pageBreakBefore w:val="0"/>
        <w:widowControl w:val="0"/>
        <w:kinsoku/>
        <w:wordWrap/>
        <w:overflowPunct w:val="0"/>
        <w:topLinePunct w:val="0"/>
        <w:autoSpaceDE/>
        <w:autoSpaceDN/>
        <w:bidi w:val="0"/>
        <w:adjustRightInd/>
        <w:snapToGrid/>
        <w:spacing w:line="480" w:lineRule="exact"/>
        <w:textAlignment w:val="auto"/>
        <w:rPr>
          <w:rFonts w:hint="eastAsia" w:ascii="Times New Roman" w:hAnsi="Times New Roman" w:eastAsia="仿宋_GB2312" w:cs="仿宋_GB2312"/>
          <w:bCs/>
          <w:sz w:val="32"/>
          <w:szCs w:val="32"/>
        </w:rPr>
      </w:pPr>
    </w:p>
    <w:p>
      <w:pPr>
        <w:keepNext w:val="0"/>
        <w:keepLines w:val="0"/>
        <w:pageBreakBefore w:val="0"/>
        <w:widowControl w:val="0"/>
        <w:kinsoku/>
        <w:wordWrap/>
        <w:overflowPunct w:val="0"/>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当事人</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田家庵区陈松殡葬用品店</w:t>
      </w:r>
    </w:p>
    <w:p>
      <w:pPr>
        <w:keepNext w:val="0"/>
        <w:keepLines w:val="0"/>
        <w:pageBreakBefore w:val="0"/>
        <w:widowControl w:val="0"/>
        <w:kinsoku/>
        <w:wordWrap/>
        <w:overflowPunct w:val="0"/>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u w:val="none"/>
          <w:lang w:eastAsia="zh-CN"/>
        </w:rPr>
      </w:pPr>
      <w:r>
        <w:rPr>
          <w:rFonts w:hint="eastAsia" w:ascii="Times New Roman" w:hAnsi="Times New Roman" w:eastAsia="仿宋_GB2312" w:cs="仿宋_GB2312"/>
          <w:sz w:val="32"/>
          <w:szCs w:val="32"/>
          <w:lang w:val="en-US" w:eastAsia="zh-CN"/>
        </w:rPr>
        <w:t>主体资格证照名称：营业执照</w:t>
      </w:r>
    </w:p>
    <w:p>
      <w:pPr>
        <w:keepNext w:val="0"/>
        <w:keepLines w:val="0"/>
        <w:pageBreakBefore w:val="0"/>
        <w:widowControl w:val="0"/>
        <w:kinsoku/>
        <w:wordWrap/>
        <w:overflowPunct w:val="0"/>
        <w:topLinePunct w:val="0"/>
        <w:autoSpaceDE/>
        <w:autoSpaceDN/>
        <w:bidi w:val="0"/>
        <w:adjustRightInd/>
        <w:snapToGrid/>
        <w:spacing w:line="480" w:lineRule="exac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统一社会信用代码：92340403MA2WEHR71C</w:t>
      </w:r>
    </w:p>
    <w:p>
      <w:pPr>
        <w:keepNext w:val="0"/>
        <w:keepLines w:val="0"/>
        <w:pageBreakBefore w:val="0"/>
        <w:widowControl w:val="0"/>
        <w:kinsoku/>
        <w:wordWrap/>
        <w:overflowPunct w:val="0"/>
        <w:topLinePunct w:val="0"/>
        <w:autoSpaceDE/>
        <w:autoSpaceDN/>
        <w:bidi w:val="0"/>
        <w:adjustRightInd/>
        <w:snapToGrid/>
        <w:spacing w:line="480" w:lineRule="exac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地址：田家庵区龙泉九十七会战路路口</w:t>
      </w:r>
    </w:p>
    <w:p>
      <w:pPr>
        <w:keepNext w:val="0"/>
        <w:keepLines w:val="0"/>
        <w:pageBreakBefore w:val="0"/>
        <w:widowControl w:val="0"/>
        <w:kinsoku/>
        <w:wordWrap/>
        <w:overflowPunct w:val="0"/>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u w:val="none"/>
          <w:lang w:eastAsia="zh-CN"/>
        </w:rPr>
      </w:pPr>
      <w:r>
        <w:rPr>
          <w:rFonts w:hint="eastAsia" w:ascii="Times New Roman" w:hAnsi="Times New Roman" w:eastAsia="仿宋_GB2312" w:cs="仿宋_GB2312"/>
          <w:sz w:val="32"/>
          <w:szCs w:val="32"/>
          <w:lang w:val="en-US" w:eastAsia="zh-CN"/>
        </w:rPr>
        <w:t>法定代表人（负责人、经营者）：</w:t>
      </w:r>
      <w:r>
        <w:rPr>
          <w:rFonts w:hint="eastAsia" w:ascii="仿宋_GB2312" w:hAnsi="仿宋_GB2312" w:eastAsia="仿宋_GB2312" w:cs="仿宋_GB2312"/>
          <w:color w:val="auto"/>
          <w:sz w:val="32"/>
          <w:szCs w:val="32"/>
          <w:u w:val="none"/>
          <w:lang w:eastAsia="zh-CN"/>
        </w:rPr>
        <w:t>李</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eastAsia="zh-CN"/>
        </w:rPr>
        <w:t>兰</w:t>
      </w:r>
    </w:p>
    <w:p>
      <w:pPr>
        <w:keepNext w:val="0"/>
        <w:keepLines w:val="0"/>
        <w:pageBreakBefore w:val="0"/>
        <w:widowControl w:val="0"/>
        <w:kinsoku/>
        <w:wordWrap/>
        <w:overflowPunct w:val="0"/>
        <w:topLinePunct w:val="0"/>
        <w:autoSpaceDE/>
        <w:autoSpaceDN/>
        <w:bidi w:val="0"/>
        <w:adjustRightInd/>
        <w:snapToGrid/>
        <w:spacing w:line="480" w:lineRule="exact"/>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身份证件号码：</w:t>
      </w:r>
      <w:r>
        <w:rPr>
          <w:rFonts w:hint="eastAsia"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val="0"/>
        <w:spacing w:line="48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color w:val="000000"/>
          <w:sz w:val="32"/>
          <w:szCs w:val="32"/>
          <w:lang w:val="en-US" w:eastAsia="zh-CN"/>
        </w:rPr>
        <w:t>025年1月22日，我局执法人员到田家庵区陈松殡葬用品店进行监督检查，当事人正在正常开门营</w:t>
      </w:r>
      <w:bookmarkStart w:id="1" w:name="_GoBack"/>
      <w:bookmarkEnd w:id="1"/>
      <w:r>
        <w:rPr>
          <w:rFonts w:hint="eastAsia" w:ascii="仿宋_GB2312" w:hAnsi="仿宋_GB2312" w:eastAsia="仿宋_GB2312" w:cs="仿宋_GB2312"/>
          <w:color w:val="000000"/>
          <w:sz w:val="32"/>
          <w:szCs w:val="32"/>
          <w:lang w:val="en-US" w:eastAsia="zh-CN"/>
        </w:rPr>
        <w:t>业中。执法人员现场在当事人店内发现四块“舒肤佳</w:t>
      </w:r>
      <w:r>
        <w:rPr>
          <w:rFonts w:hint="eastAsia" w:ascii="仿宋_GB2312" w:hAnsi="仿宋_GB2312" w:eastAsia="仿宋_GB2312" w:cs="仿宋_GB2312"/>
          <w:color w:val="000000"/>
          <w:sz w:val="32"/>
          <w:szCs w:val="32"/>
          <w:vertAlign w:val="superscript"/>
          <w:lang w:val="en-US" w:eastAsia="zh-CN"/>
        </w:rPr>
        <w:t>®</w:t>
      </w:r>
      <w:r>
        <w:rPr>
          <w:rFonts w:hint="eastAsia" w:ascii="仿宋_GB2312" w:hAnsi="仿宋_GB2312" w:eastAsia="仿宋_GB2312" w:cs="仿宋_GB2312"/>
          <w:color w:val="000000"/>
          <w:sz w:val="32"/>
          <w:szCs w:val="32"/>
          <w:lang w:val="en-US" w:eastAsia="zh-CN"/>
        </w:rPr>
        <w:t>”牌香皂，经执法人员和经营者共同现场查询该产品微信公众号，当事人所销售产品为侵犯他人注册商标专用权商品。当事人涉嫌销售侵犯他人注册商标专用权商品行为</w:t>
      </w:r>
      <w:r>
        <w:rPr>
          <w:rFonts w:hint="eastAsia" w:ascii="仿宋_GB2312" w:hAnsi="仿宋_GB2312" w:eastAsia="仿宋_GB2312" w:cs="仿宋_GB2312"/>
          <w:color w:val="auto"/>
          <w:sz w:val="32"/>
          <w:szCs w:val="32"/>
          <w:lang w:val="en-US" w:eastAsia="zh-CN"/>
        </w:rPr>
        <w:t>，执法人员对上述商品现场采取了行政强制措施，制作《实施行政强制措施决定书》（淮市监田强制[2025]12-1号）。</w:t>
      </w:r>
      <w:r>
        <w:rPr>
          <w:rFonts w:hint="eastAsia" w:ascii="仿宋_GB2312" w:hAnsi="仿宋_GB2312" w:eastAsia="仿宋_GB2312" w:cs="仿宋_GB2312"/>
          <w:sz w:val="32"/>
          <w:szCs w:val="32"/>
          <w:u w:val="none"/>
          <w:lang w:val="en-US" w:eastAsia="zh-CN"/>
        </w:rPr>
        <w:t>我局</w:t>
      </w:r>
      <w:r>
        <w:rPr>
          <w:rFonts w:hint="eastAsia" w:ascii="仿宋_GB2312" w:hAnsi="仿宋_GB2312" w:eastAsia="仿宋_GB2312" w:cs="仿宋_GB2312"/>
          <w:sz w:val="32"/>
          <w:szCs w:val="32"/>
          <w:u w:val="none"/>
        </w:rPr>
        <w:t>于202</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22</w:t>
      </w:r>
      <w:r>
        <w:rPr>
          <w:rFonts w:hint="eastAsia" w:ascii="仿宋_GB2312" w:hAnsi="仿宋_GB2312" w:eastAsia="仿宋_GB2312" w:cs="仿宋_GB2312"/>
          <w:sz w:val="32"/>
          <w:szCs w:val="32"/>
          <w:u w:val="none"/>
        </w:rPr>
        <w:t>日立案调查</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highlight w:val="none"/>
          <w:u w:val="none"/>
        </w:rPr>
        <w:t>并指派执法人员</w:t>
      </w:r>
      <w:r>
        <w:rPr>
          <w:rFonts w:hint="eastAsia" w:ascii="仿宋_GB2312" w:hAnsi="仿宋_GB2312" w:eastAsia="仿宋_GB2312" w:cs="仿宋_GB2312"/>
          <w:sz w:val="32"/>
          <w:szCs w:val="32"/>
          <w:highlight w:val="none"/>
          <w:u w:val="none"/>
          <w:lang w:eastAsia="zh-CN"/>
        </w:rPr>
        <w:t>王濛（</w:t>
      </w:r>
      <w:r>
        <w:rPr>
          <w:rFonts w:hint="eastAsia" w:ascii="仿宋_GB2312" w:hAnsi="仿宋_GB2312" w:eastAsia="仿宋_GB2312" w:cs="仿宋_GB2312"/>
          <w:sz w:val="32"/>
          <w:szCs w:val="32"/>
          <w:highlight w:val="none"/>
          <w:u w:val="none"/>
        </w:rPr>
        <w:t>执法证号∶120704300</w:t>
      </w:r>
      <w:r>
        <w:rPr>
          <w:rFonts w:hint="eastAsia" w:ascii="仿宋_GB2312" w:hAnsi="仿宋_GB2312" w:eastAsia="仿宋_GB2312" w:cs="仿宋_GB2312"/>
          <w:sz w:val="32"/>
          <w:szCs w:val="32"/>
          <w:highlight w:val="none"/>
          <w:u w:val="none"/>
          <w:lang w:val="en-US" w:eastAsia="zh-CN"/>
        </w:rPr>
        <w:t>63</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eastAsia="zh-CN"/>
        </w:rPr>
        <w:t>孙业彬（</w:t>
      </w:r>
      <w:r>
        <w:rPr>
          <w:rFonts w:hint="eastAsia" w:ascii="仿宋_GB2312" w:hAnsi="仿宋_GB2312" w:eastAsia="仿宋_GB2312" w:cs="仿宋_GB2312"/>
          <w:sz w:val="32"/>
          <w:szCs w:val="32"/>
          <w:highlight w:val="none"/>
          <w:u w:val="none"/>
        </w:rPr>
        <w:t>执法证号∶120704300</w:t>
      </w:r>
      <w:r>
        <w:rPr>
          <w:rFonts w:hint="eastAsia" w:ascii="仿宋_GB2312" w:hAnsi="仿宋_GB2312" w:eastAsia="仿宋_GB2312" w:cs="仿宋_GB2312"/>
          <w:sz w:val="32"/>
          <w:szCs w:val="32"/>
          <w:highlight w:val="none"/>
          <w:u w:val="none"/>
          <w:lang w:val="en-US" w:eastAsia="zh-CN"/>
        </w:rPr>
        <w:t>38</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负责对该案查处</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lang w:eastAsia="zh-CN"/>
        </w:rPr>
        <w:t>后因人员变动，</w:t>
      </w:r>
      <w:r>
        <w:rPr>
          <w:rFonts w:hint="eastAsia" w:ascii="仿宋_GB2312" w:hAnsi="仿宋_GB2312" w:eastAsia="仿宋_GB2312" w:cs="仿宋_GB2312"/>
          <w:sz w:val="32"/>
          <w:szCs w:val="32"/>
          <w:lang w:val="en-US" w:eastAsia="zh-CN"/>
        </w:rPr>
        <w:t>2025年3月3日，</w:t>
      </w:r>
      <w:r>
        <w:rPr>
          <w:rFonts w:hint="eastAsia" w:ascii="仿宋_GB2312" w:hAnsi="仿宋_GB2312" w:eastAsia="仿宋_GB2312" w:cs="仿宋_GB2312"/>
          <w:sz w:val="32"/>
          <w:szCs w:val="32"/>
        </w:rPr>
        <w:t>指定</w:t>
      </w:r>
      <w:r>
        <w:rPr>
          <w:rFonts w:hint="eastAsia" w:ascii="仿宋_GB2312" w:hAnsi="仿宋_GB2312" w:eastAsia="仿宋_GB2312" w:cs="仿宋_GB2312"/>
          <w:sz w:val="32"/>
          <w:szCs w:val="32"/>
          <w:lang w:eastAsia="zh-CN"/>
        </w:rPr>
        <w:t>李东</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执法证号∶120704300</w:t>
      </w:r>
      <w:r>
        <w:rPr>
          <w:rFonts w:hint="eastAsia" w:ascii="仿宋_GB2312" w:hAnsi="仿宋_GB2312" w:eastAsia="仿宋_GB2312" w:cs="仿宋_GB2312"/>
          <w:sz w:val="32"/>
          <w:szCs w:val="32"/>
          <w:highlight w:val="none"/>
          <w:u w:val="none"/>
          <w:lang w:val="en-US" w:eastAsia="zh-CN"/>
        </w:rPr>
        <w:t>55</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lang w:eastAsia="zh-CN"/>
        </w:rPr>
        <w:t>、程龙杰</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执法证号∶120704300</w:t>
      </w:r>
      <w:r>
        <w:rPr>
          <w:rFonts w:hint="eastAsia" w:ascii="仿宋_GB2312" w:hAnsi="仿宋_GB2312" w:eastAsia="仿宋_GB2312" w:cs="仿宋_GB2312"/>
          <w:sz w:val="32"/>
          <w:szCs w:val="32"/>
          <w:highlight w:val="none"/>
          <w:u w:val="none"/>
          <w:lang w:val="en-US" w:eastAsia="zh-CN"/>
        </w:rPr>
        <w:t>01</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负责对该案查处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日在淮南</w:t>
      </w:r>
      <w:r>
        <w:rPr>
          <w:rFonts w:hint="eastAsia" w:ascii="仿宋_GB2312" w:hAnsi="仿宋_GB2312" w:eastAsia="仿宋_GB2312" w:cs="仿宋_GB2312"/>
          <w:sz w:val="32"/>
          <w:szCs w:val="32"/>
          <w:highlight w:val="none"/>
        </w:rPr>
        <w:t>市田家庵区市场监督管理局</w:t>
      </w:r>
      <w:r>
        <w:rPr>
          <w:rFonts w:hint="eastAsia" w:ascii="仿宋_GB2312" w:hAnsi="仿宋_GB2312" w:eastAsia="仿宋_GB2312" w:cs="仿宋_GB2312"/>
          <w:sz w:val="32"/>
          <w:szCs w:val="32"/>
          <w:highlight w:val="none"/>
          <w:lang w:eastAsia="zh-CN"/>
        </w:rPr>
        <w:t>龙泉市场监督管理所</w:t>
      </w:r>
      <w:r>
        <w:rPr>
          <w:rFonts w:hint="eastAsia" w:ascii="仿宋_GB2312" w:hAnsi="仿宋_GB2312" w:eastAsia="仿宋_GB2312" w:cs="仿宋_GB2312"/>
          <w:sz w:val="32"/>
          <w:szCs w:val="32"/>
          <w:highlight w:val="none"/>
        </w:rPr>
        <w:t>办公室依法对当事人进行了询问。</w:t>
      </w:r>
    </w:p>
    <w:p>
      <w:pPr>
        <w:keepNext w:val="0"/>
        <w:keepLines w:val="0"/>
        <w:pageBreakBefore w:val="0"/>
        <w:widowControl w:val="0"/>
        <w:kinsoku/>
        <w:wordWrap w:val="0"/>
        <w:overflowPunct/>
        <w:topLinePunct w:val="0"/>
        <w:autoSpaceDE/>
        <w:autoSpaceDN/>
        <w:bidi w:val="0"/>
        <w:adjustRightInd/>
        <w:snapToGrid/>
        <w:spacing w:line="480" w:lineRule="exact"/>
        <w:ind w:firstLine="629"/>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lang w:eastAsia="zh-CN"/>
        </w:rPr>
        <w:t>经查明，</w:t>
      </w:r>
      <w:r>
        <w:rPr>
          <w:rFonts w:hint="eastAsia" w:ascii="仿宋_GB2312" w:hAnsi="宋体" w:eastAsia="仿宋_GB2312"/>
          <w:color w:val="000000"/>
          <w:sz w:val="32"/>
          <w:szCs w:val="32"/>
        </w:rPr>
        <w:t>当事人</w:t>
      </w:r>
      <w:r>
        <w:rPr>
          <w:rFonts w:hint="eastAsia" w:ascii="仿宋_GB2312" w:hAnsi="仿宋_GB2312" w:eastAsia="仿宋_GB2312" w:cs="仿宋_GB2312"/>
          <w:color w:val="auto"/>
          <w:sz w:val="32"/>
          <w:szCs w:val="32"/>
          <w:lang w:val="en-US" w:eastAsia="zh-CN"/>
        </w:rPr>
        <w:t>共购进</w:t>
      </w:r>
      <w:r>
        <w:rPr>
          <w:rFonts w:hint="eastAsia" w:ascii="仿宋_GB2312" w:hAnsi="仿宋_GB2312" w:eastAsia="仿宋_GB2312" w:cs="仿宋_GB2312"/>
          <w:color w:val="000000"/>
          <w:sz w:val="32"/>
          <w:szCs w:val="32"/>
          <w:lang w:val="en-US" w:eastAsia="zh-CN"/>
        </w:rPr>
        <w:t>“舒肤佳</w:t>
      </w:r>
      <w:r>
        <w:rPr>
          <w:rFonts w:hint="eastAsia" w:ascii="仿宋_GB2312" w:hAnsi="仿宋_GB2312" w:eastAsia="仿宋_GB2312" w:cs="仿宋_GB2312"/>
          <w:color w:val="000000"/>
          <w:sz w:val="32"/>
          <w:szCs w:val="32"/>
          <w:vertAlign w:val="superscript"/>
          <w:lang w:val="en-US" w:eastAsia="zh-CN"/>
        </w:rPr>
        <w:t>®</w:t>
      </w:r>
      <w:r>
        <w:rPr>
          <w:rFonts w:hint="eastAsia" w:ascii="仿宋_GB2312" w:hAnsi="仿宋_GB2312" w:eastAsia="仿宋_GB2312" w:cs="仿宋_GB2312"/>
          <w:color w:val="000000"/>
          <w:sz w:val="32"/>
          <w:szCs w:val="32"/>
          <w:lang w:val="en-US" w:eastAsia="zh-CN"/>
        </w:rPr>
        <w:t>”牌香皂</w:t>
      </w:r>
      <w:r>
        <w:rPr>
          <w:rFonts w:hint="eastAsia" w:ascii="仿宋_GB2312" w:hAnsi="仿宋_GB2312" w:eastAsia="仿宋_GB2312" w:cs="仿宋_GB2312"/>
          <w:color w:val="auto"/>
          <w:sz w:val="32"/>
          <w:szCs w:val="32"/>
          <w:u w:val="none"/>
          <w:lang w:val="en-US" w:eastAsia="zh-CN"/>
        </w:rPr>
        <w:t>72块，进价为2.5元/块,售价为3元/块，已售出68块，剩余4块被我局扣押，无库存，货值金额为216元，违法所得34元</w:t>
      </w:r>
      <w:r>
        <w:rPr>
          <w:rFonts w:hint="eastAsia" w:ascii="仿宋_GB2312" w:hAnsi="仿宋_GB2312" w:eastAsia="仿宋_GB2312" w:cs="仿宋_GB2312"/>
          <w:color w:val="auto"/>
          <w:sz w:val="32"/>
          <w:szCs w:val="32"/>
          <w:lang w:val="en-US" w:eastAsia="zh-CN"/>
        </w:rPr>
        <w:t>。</w:t>
      </w:r>
      <w:r>
        <w:rPr>
          <w:rFonts w:hint="eastAsia" w:ascii="仿宋_GB2312" w:hAnsi="宋体" w:eastAsia="仿宋_GB2312"/>
          <w:color w:val="000000"/>
          <w:sz w:val="32"/>
          <w:szCs w:val="32"/>
        </w:rPr>
        <w:t>当事人无法提供上述商品的供货商资质和进销货票据账册等材料。</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 w:hAnsi="仿宋" w:eastAsia="仿宋" w:cs="仿宋_GB2312"/>
          <w:bCs/>
          <w:sz w:val="32"/>
          <w:szCs w:val="32"/>
          <w:lang w:eastAsia="zh-CN"/>
        </w:rPr>
        <w:t>经商标持有人</w:t>
      </w:r>
      <w:r>
        <w:rPr>
          <w:rFonts w:hint="eastAsia" w:ascii="仿宋_GB2312" w:hAnsi="仿宋_GB2312" w:eastAsia="仿宋_GB2312" w:cs="仿宋_GB2312"/>
          <w:color w:val="auto"/>
          <w:sz w:val="32"/>
          <w:szCs w:val="32"/>
          <w:lang w:val="en-US" w:eastAsia="zh-CN"/>
        </w:rPr>
        <w:t>广州宝洁有限公司</w:t>
      </w:r>
      <w:r>
        <w:rPr>
          <w:rFonts w:hint="eastAsia" w:ascii="仿宋_GB2312" w:hAnsi="宋体" w:eastAsia="仿宋_GB2312"/>
          <w:color w:val="000000"/>
          <w:sz w:val="32"/>
          <w:szCs w:val="32"/>
        </w:rPr>
        <w:t>鉴定，当事人销售的</w:t>
      </w:r>
      <w:r>
        <w:rPr>
          <w:rFonts w:hint="eastAsia" w:ascii="仿宋_GB2312" w:hAnsi="仿宋_GB2312" w:eastAsia="仿宋_GB2312" w:cs="仿宋_GB2312"/>
          <w:color w:val="000000"/>
          <w:sz w:val="32"/>
          <w:szCs w:val="32"/>
          <w:lang w:val="en-US" w:eastAsia="zh-CN"/>
        </w:rPr>
        <w:t>“舒肤佳</w:t>
      </w:r>
      <w:r>
        <w:rPr>
          <w:rFonts w:hint="eastAsia" w:ascii="仿宋_GB2312" w:hAnsi="仿宋_GB2312" w:eastAsia="仿宋_GB2312" w:cs="仿宋_GB2312"/>
          <w:color w:val="000000"/>
          <w:sz w:val="32"/>
          <w:szCs w:val="32"/>
          <w:vertAlign w:val="superscript"/>
          <w:lang w:val="en-US" w:eastAsia="zh-CN"/>
        </w:rPr>
        <w:t>®</w:t>
      </w:r>
      <w:r>
        <w:rPr>
          <w:rFonts w:hint="eastAsia" w:ascii="仿宋_GB2312" w:hAnsi="仿宋_GB2312" w:eastAsia="仿宋_GB2312" w:cs="仿宋_GB2312"/>
          <w:color w:val="000000"/>
          <w:sz w:val="32"/>
          <w:szCs w:val="32"/>
          <w:lang w:val="en-US" w:eastAsia="zh-CN"/>
        </w:rPr>
        <w:t>”牌香皂</w:t>
      </w:r>
      <w:r>
        <w:rPr>
          <w:rFonts w:hint="eastAsia" w:ascii="仿宋_GB2312" w:hAnsi="宋体" w:eastAsia="仿宋_GB2312"/>
          <w:color w:val="000000"/>
          <w:sz w:val="32"/>
          <w:szCs w:val="32"/>
        </w:rPr>
        <w:t>为</w:t>
      </w:r>
      <w:r>
        <w:rPr>
          <w:rFonts w:hint="eastAsia" w:ascii="仿宋_GB2312" w:hAnsi="仿宋_GB2312" w:eastAsia="仿宋_GB2312" w:cs="仿宋_GB2312"/>
          <w:color w:val="000000"/>
          <w:sz w:val="32"/>
          <w:szCs w:val="32"/>
          <w:lang w:val="en-US" w:eastAsia="zh-CN"/>
        </w:rPr>
        <w:t>侵犯他人注册商标专用权商品。</w:t>
      </w:r>
    </w:p>
    <w:p>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上述事实，主要有以下证据证明：</w:t>
      </w:r>
    </w:p>
    <w:p>
      <w:pPr>
        <w:keepNext w:val="0"/>
        <w:keepLines w:val="0"/>
        <w:pageBreakBefore w:val="0"/>
        <w:widowControl w:val="0"/>
        <w:kinsoku/>
        <w:wordWrap w:val="0"/>
        <w:overflowPunct/>
        <w:topLinePunct w:val="0"/>
        <w:autoSpaceDE/>
        <w:autoSpaceDN/>
        <w:bidi w:val="0"/>
        <w:snapToGrid w:val="0"/>
        <w:spacing w:line="4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1.《现场笔录</w:t>
      </w:r>
      <w:r>
        <w:rPr>
          <w:rFonts w:hint="eastAsia" w:ascii="仿宋_GB2312" w:hAnsi="仿宋_GB2312" w:eastAsia="仿宋_GB2312" w:cs="仿宋_GB2312"/>
          <w:sz w:val="32"/>
          <w:szCs w:val="32"/>
          <w:lang w:eastAsia="zh-CN"/>
        </w:rPr>
        <w:t>》一份、《</w:t>
      </w:r>
      <w:r>
        <w:rPr>
          <w:rFonts w:hint="eastAsia" w:ascii="仿宋_GB2312" w:hAnsi="仿宋_GB2312" w:eastAsia="仿宋_GB2312" w:cs="仿宋_GB2312"/>
          <w:sz w:val="32"/>
          <w:szCs w:val="32"/>
        </w:rPr>
        <w:t>实施行政强制措施决定书》</w:t>
      </w:r>
      <w:r>
        <w:rPr>
          <w:rFonts w:hint="eastAsia" w:ascii="仿宋_GB2312" w:hAnsi="仿宋_GB2312" w:eastAsia="仿宋_GB2312" w:cs="仿宋_GB2312"/>
          <w:sz w:val="32"/>
          <w:szCs w:val="32"/>
          <w:lang w:eastAsia="zh-CN"/>
        </w:rPr>
        <w:t>（淮市监田强制</w:t>
      </w:r>
      <w:r>
        <w:rPr>
          <w:rFonts w:hint="eastAsia" w:ascii="仿宋_GB2312" w:hAnsi="仿宋_GB2312" w:eastAsia="仿宋_GB2312" w:cs="仿宋_GB2312"/>
          <w:sz w:val="32"/>
          <w:szCs w:val="32"/>
          <w:lang w:val="en-US" w:eastAsia="zh-CN"/>
        </w:rPr>
        <w:t>[2025]12-1号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和《财务清单》</w:t>
      </w:r>
      <w:r>
        <w:rPr>
          <w:rFonts w:hint="eastAsia" w:ascii="仿宋_GB2312" w:hAnsi="仿宋_GB2312" w:eastAsia="仿宋_GB2312" w:cs="仿宋_GB2312"/>
          <w:sz w:val="32"/>
          <w:szCs w:val="32"/>
          <w:lang w:eastAsia="zh-CN"/>
        </w:rPr>
        <w:t>（淮市监田物字</w:t>
      </w:r>
      <w:r>
        <w:rPr>
          <w:rFonts w:hint="eastAsia" w:ascii="仿宋_GB2312" w:hAnsi="仿宋_GB2312" w:eastAsia="仿宋_GB2312" w:cs="仿宋_GB2312"/>
          <w:sz w:val="32"/>
          <w:szCs w:val="32"/>
          <w:lang w:val="en-US" w:eastAsia="zh-CN"/>
        </w:rPr>
        <w:t>[2025]12-1号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各一份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现场拍摄照片</w:t>
      </w:r>
      <w:r>
        <w:rPr>
          <w:rFonts w:hint="eastAsia" w:ascii="仿宋_GB2312" w:hAnsi="宋体" w:eastAsia="仿宋_GB2312"/>
          <w:color w:val="000000"/>
          <w:sz w:val="32"/>
          <w:szCs w:val="32"/>
          <w:lang w:eastAsia="zh-CN"/>
        </w:rPr>
        <w:t>及侵权商品照片</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张证明当事人</w:t>
      </w:r>
      <w:r>
        <w:rPr>
          <w:rFonts w:hint="eastAsia" w:ascii="仿宋_GB2312" w:hAnsi="仿宋_GB2312" w:eastAsia="仿宋_GB2312" w:cs="仿宋_GB2312"/>
          <w:color w:val="000000"/>
          <w:sz w:val="32"/>
          <w:szCs w:val="32"/>
          <w:lang w:val="en-US" w:eastAsia="zh-CN"/>
        </w:rPr>
        <w:t>销售侵犯他人注册商标专用权商品</w:t>
      </w:r>
      <w:r>
        <w:rPr>
          <w:rFonts w:hint="eastAsia" w:ascii="仿宋_GB2312" w:hAnsi="仿宋_GB2312" w:eastAsia="仿宋_GB2312" w:cs="仿宋_GB2312"/>
          <w:sz w:val="32"/>
          <w:szCs w:val="32"/>
        </w:rPr>
        <w:t>、涉案物品的数量及执法人员实施行政强制措施的事实；</w:t>
      </w:r>
    </w:p>
    <w:p>
      <w:pPr>
        <w:keepNext w:val="0"/>
        <w:keepLines w:val="0"/>
        <w:pageBreakBefore w:val="0"/>
        <w:widowControl w:val="0"/>
        <w:kinsoku/>
        <w:wordWrap w:val="0"/>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auto"/>
          <w:sz w:val="32"/>
          <w:szCs w:val="32"/>
          <w:lang w:val="en-US" w:eastAsia="zh-CN"/>
        </w:rPr>
        <w:t>广州宝洁有限公司</w:t>
      </w:r>
      <w:r>
        <w:rPr>
          <w:rFonts w:hint="eastAsia" w:ascii="仿宋_GB2312" w:hAnsi="宋体" w:eastAsia="仿宋_GB2312"/>
          <w:color w:val="000000"/>
          <w:sz w:val="32"/>
          <w:szCs w:val="32"/>
        </w:rPr>
        <w:t>出具的</w:t>
      </w:r>
      <w:r>
        <w:rPr>
          <w:rFonts w:hint="eastAsia" w:ascii="仿宋_GB2312" w:hAnsi="宋体" w:eastAsia="仿宋_GB2312"/>
          <w:sz w:val="32"/>
          <w:szCs w:val="32"/>
        </w:rPr>
        <w:t>鉴</w:t>
      </w:r>
      <w:r>
        <w:rPr>
          <w:rFonts w:hint="eastAsia" w:ascii="仿宋_GB2312" w:hAnsi="宋体" w:eastAsia="仿宋_GB2312"/>
          <w:sz w:val="32"/>
          <w:szCs w:val="32"/>
          <w:lang w:eastAsia="zh-CN"/>
        </w:rPr>
        <w:t>定</w:t>
      </w:r>
      <w:r>
        <w:rPr>
          <w:rFonts w:hint="eastAsia" w:ascii="仿宋_GB2312" w:hAnsi="宋体" w:eastAsia="仿宋_GB2312"/>
          <w:sz w:val="32"/>
          <w:szCs w:val="32"/>
        </w:rPr>
        <w:t>报告</w:t>
      </w:r>
      <w:r>
        <w:rPr>
          <w:rFonts w:hint="eastAsia" w:ascii="仿宋_GB2312" w:hAnsi="宋体" w:eastAsia="仿宋_GB2312"/>
          <w:sz w:val="32"/>
          <w:szCs w:val="32"/>
          <w:lang w:eastAsia="zh-CN"/>
        </w:rPr>
        <w:t>书</w:t>
      </w:r>
      <w:r>
        <w:rPr>
          <w:rFonts w:hint="eastAsia" w:ascii="仿宋_GB2312" w:hAnsi="宋体" w:eastAsia="仿宋_GB2312"/>
          <w:sz w:val="32"/>
          <w:szCs w:val="32"/>
        </w:rPr>
        <w:t>、公司资质、商标注册材料</w:t>
      </w:r>
      <w:r>
        <w:rPr>
          <w:rFonts w:hint="eastAsia" w:ascii="仿宋_GB2312" w:hAnsi="宋体" w:eastAsia="仿宋_GB2312"/>
          <w:sz w:val="32"/>
          <w:szCs w:val="32"/>
          <w:lang w:val="en-US" w:eastAsia="zh-CN"/>
        </w:rPr>
        <w:t>等材料</w:t>
      </w:r>
      <w:r>
        <w:rPr>
          <w:rFonts w:hint="eastAsia" w:ascii="仿宋_GB2312" w:hAnsi="宋体" w:eastAsia="仿宋_GB2312"/>
          <w:sz w:val="32"/>
          <w:szCs w:val="32"/>
        </w:rPr>
        <w:t>共计</w:t>
      </w:r>
      <w:r>
        <w:rPr>
          <w:rFonts w:hint="eastAsia" w:ascii="仿宋_GB2312" w:hAnsi="宋体" w:eastAsia="仿宋_GB2312"/>
          <w:sz w:val="32"/>
          <w:szCs w:val="32"/>
          <w:lang w:val="en-US" w:eastAsia="zh-CN"/>
        </w:rPr>
        <w:t>3</w:t>
      </w:r>
      <w:r>
        <w:rPr>
          <w:rFonts w:hint="eastAsia" w:ascii="仿宋_GB2312" w:hAnsi="宋体" w:eastAsia="仿宋_GB2312"/>
          <w:sz w:val="32"/>
          <w:szCs w:val="32"/>
        </w:rPr>
        <w:t>张，证明当事人</w:t>
      </w:r>
      <w:r>
        <w:rPr>
          <w:rFonts w:hint="eastAsia" w:ascii="仿宋_GB2312" w:hAnsi="仿宋_GB2312" w:eastAsia="仿宋_GB2312" w:cs="仿宋_GB2312"/>
          <w:color w:val="000000"/>
          <w:sz w:val="32"/>
          <w:szCs w:val="32"/>
          <w:lang w:val="en-US" w:eastAsia="zh-CN"/>
        </w:rPr>
        <w:t>销售侵犯他人注册商标专用权商品</w:t>
      </w:r>
      <w:r>
        <w:rPr>
          <w:rFonts w:hint="eastAsia" w:ascii="仿宋_GB2312" w:hAnsi="宋体" w:eastAsia="仿宋_GB2312"/>
          <w:sz w:val="32"/>
          <w:szCs w:val="32"/>
        </w:rPr>
        <w:t>的事实</w:t>
      </w:r>
      <w:r>
        <w:rPr>
          <w:rFonts w:hint="eastAsia" w:ascii="仿宋_GB2312" w:hAnsi="宋体" w:eastAsia="仿宋_GB2312"/>
          <w:sz w:val="32"/>
          <w:szCs w:val="32"/>
          <w:lang w:eastAsia="zh-CN"/>
        </w:rPr>
        <w:t>；</w:t>
      </w:r>
    </w:p>
    <w:p>
      <w:pPr>
        <w:keepNext w:val="0"/>
        <w:keepLines w:val="0"/>
        <w:pageBreakBefore w:val="0"/>
        <w:widowControl w:val="0"/>
        <w:kinsoku/>
        <w:wordWrap w:val="0"/>
        <w:overflowPunct/>
        <w:topLinePunct w:val="0"/>
        <w:autoSpaceDE/>
        <w:autoSpaceDN/>
        <w:bidi w:val="0"/>
        <w:snapToGrid w:val="0"/>
        <w:spacing w:line="4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宋体" w:eastAsia="仿宋_GB2312"/>
          <w:color w:val="000000"/>
          <w:sz w:val="32"/>
          <w:szCs w:val="32"/>
        </w:rPr>
        <w:t>询问笔录一份，</w:t>
      </w:r>
      <w:r>
        <w:rPr>
          <w:rFonts w:hint="eastAsia" w:ascii="仿宋_GB2312" w:hAnsi="宋体" w:eastAsia="仿宋_GB2312"/>
          <w:sz w:val="32"/>
          <w:szCs w:val="32"/>
        </w:rPr>
        <w:t>证明当事人</w:t>
      </w:r>
      <w:r>
        <w:rPr>
          <w:rFonts w:hint="eastAsia" w:ascii="仿宋_GB2312" w:hAnsi="仿宋_GB2312" w:eastAsia="仿宋_GB2312" w:cs="仿宋_GB2312"/>
          <w:color w:val="000000"/>
          <w:sz w:val="32"/>
          <w:szCs w:val="32"/>
          <w:lang w:val="en-US" w:eastAsia="zh-CN"/>
        </w:rPr>
        <w:t>销售侵犯他人注册商标专用权商品</w:t>
      </w:r>
      <w:r>
        <w:rPr>
          <w:rFonts w:hint="eastAsia" w:ascii="仿宋_GB2312" w:hAnsi="宋体" w:eastAsia="仿宋_GB2312"/>
          <w:sz w:val="32"/>
          <w:szCs w:val="32"/>
        </w:rPr>
        <w:t>的事实</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val="0"/>
        <w:overflowPunct/>
        <w:topLinePunct w:val="0"/>
        <w:autoSpaceDE/>
        <w:autoSpaceDN/>
        <w:bidi w:val="0"/>
        <w:snapToGrid w:val="0"/>
        <w:spacing w:line="4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宋体" w:eastAsia="仿宋_GB2312"/>
          <w:color w:val="000000"/>
          <w:sz w:val="32"/>
          <w:szCs w:val="32"/>
        </w:rPr>
        <w:t>当事人的</w:t>
      </w:r>
      <w:r>
        <w:rPr>
          <w:rFonts w:hint="eastAsia" w:ascii="仿宋_GB2312" w:hAnsi="宋体" w:eastAsia="仿宋_GB2312"/>
          <w:color w:val="000000"/>
          <w:sz w:val="32"/>
          <w:szCs w:val="32"/>
          <w:lang w:eastAsia="zh-CN"/>
        </w:rPr>
        <w:t>营业执照</w:t>
      </w:r>
      <w:r>
        <w:rPr>
          <w:rFonts w:hint="eastAsia" w:ascii="仿宋_GB2312" w:hAnsi="宋体" w:eastAsia="仿宋_GB2312"/>
          <w:color w:val="000000"/>
          <w:sz w:val="32"/>
          <w:szCs w:val="32"/>
        </w:rPr>
        <w:t>复印件</w:t>
      </w:r>
      <w:r>
        <w:rPr>
          <w:rFonts w:hint="eastAsia" w:ascii="仿宋_GB2312" w:hAnsi="宋体" w:eastAsia="仿宋_GB2312"/>
          <w:color w:val="000000"/>
          <w:sz w:val="32"/>
          <w:szCs w:val="32"/>
          <w:lang w:eastAsia="zh-CN"/>
        </w:rPr>
        <w:t>、经营者的身份证复印件</w:t>
      </w:r>
      <w:r>
        <w:rPr>
          <w:rFonts w:hint="eastAsia" w:ascii="仿宋_GB2312" w:hAnsi="宋体" w:eastAsia="仿宋_GB2312"/>
          <w:color w:val="000000"/>
          <w:sz w:val="32"/>
          <w:szCs w:val="32"/>
          <w:lang w:val="en-US" w:eastAsia="zh-CN"/>
        </w:rPr>
        <w:t>各</w:t>
      </w:r>
      <w:r>
        <w:rPr>
          <w:rFonts w:hint="eastAsia" w:ascii="仿宋_GB2312" w:hAnsi="宋体" w:eastAsia="仿宋_GB2312"/>
          <w:color w:val="000000"/>
          <w:sz w:val="32"/>
          <w:szCs w:val="32"/>
          <w:lang w:eastAsia="zh-CN"/>
        </w:rPr>
        <w:t>一份</w:t>
      </w:r>
      <w:r>
        <w:rPr>
          <w:rFonts w:hint="eastAsia" w:ascii="仿宋_GB2312" w:hAnsi="宋体" w:eastAsia="仿宋_GB2312"/>
          <w:color w:val="000000"/>
          <w:sz w:val="32"/>
          <w:szCs w:val="32"/>
        </w:rPr>
        <w:t>，证明当事人的身份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val="0"/>
        <w:overflowPunct/>
        <w:topLinePunct w:val="0"/>
        <w:autoSpaceDE/>
        <w:autoSpaceDN/>
        <w:bidi w:val="0"/>
        <w:snapToGrid w:val="0"/>
        <w:spacing w:line="480" w:lineRule="exact"/>
        <w:ind w:right="-92" w:rightChars="-44"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当事人提交的</w:t>
      </w:r>
      <w:r>
        <w:rPr>
          <w:rFonts w:hint="eastAsia" w:ascii="仿宋_GB2312" w:hAnsi="仿宋_GB2312" w:eastAsia="仿宋_GB2312" w:cs="仿宋_GB2312"/>
          <w:color w:val="000000"/>
          <w:sz w:val="32"/>
          <w:szCs w:val="32"/>
          <w:lang w:val="en-US" w:eastAsia="zh-CN"/>
        </w:rPr>
        <w:t>侵犯他人注册商标专用权商品</w:t>
      </w:r>
      <w:r>
        <w:rPr>
          <w:rFonts w:hint="eastAsia" w:ascii="仿宋_GB2312" w:hAnsi="仿宋_GB2312" w:eastAsia="仿宋_GB2312" w:cs="仿宋_GB2312"/>
          <w:sz w:val="32"/>
          <w:szCs w:val="32"/>
        </w:rPr>
        <w:t>召回公告一份，证明已对</w:t>
      </w:r>
      <w:r>
        <w:rPr>
          <w:rFonts w:hint="eastAsia" w:ascii="仿宋_GB2312" w:hAnsi="仿宋_GB2312" w:eastAsia="仿宋_GB2312" w:cs="仿宋_GB2312"/>
          <w:color w:val="000000"/>
          <w:sz w:val="32"/>
          <w:szCs w:val="32"/>
          <w:lang w:val="en-US" w:eastAsia="zh-CN"/>
        </w:rPr>
        <w:t>侵犯他人注册商标专用权商品</w:t>
      </w:r>
      <w:r>
        <w:rPr>
          <w:rFonts w:hint="eastAsia" w:ascii="仿宋_GB2312" w:hAnsi="仿宋_GB2312" w:eastAsia="仿宋_GB2312" w:cs="仿宋_GB2312"/>
          <w:sz w:val="32"/>
          <w:szCs w:val="32"/>
        </w:rPr>
        <w:t>采取公告召回</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val="0"/>
        <w:overflowPunct/>
        <w:topLinePunct w:val="0"/>
        <w:autoSpaceDE/>
        <w:autoSpaceDN/>
        <w:bidi w:val="0"/>
        <w:snapToGrid w:val="0"/>
        <w:spacing w:line="4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以上证据均经过了出证人的确认。</w:t>
      </w:r>
    </w:p>
    <w:p>
      <w:pPr>
        <w:keepNext w:val="0"/>
        <w:keepLines w:val="0"/>
        <w:pageBreakBefore w:val="0"/>
        <w:widowControl w:val="0"/>
        <w:kinsoku/>
        <w:wordWrap w:val="0"/>
        <w:overflowPunct/>
        <w:topLinePunct w:val="0"/>
        <w:autoSpaceDE/>
        <w:autoSpaceDN/>
        <w:bidi w:val="0"/>
        <w:snapToGrid w:val="0"/>
        <w:spacing w:line="4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本案采取了行政强制措施，对照移送涉嫌犯罪案件的标准，尚不够移送追诉当事人刑事责任的条件。</w:t>
      </w:r>
    </w:p>
    <w:p>
      <w:pPr>
        <w:keepNext w:val="0"/>
        <w:keepLines w:val="0"/>
        <w:pageBreakBefore w:val="0"/>
        <w:widowControl w:val="0"/>
        <w:kinsoku/>
        <w:wordWrap w:val="0"/>
        <w:overflowPunct w:val="0"/>
        <w:topLinePunct/>
        <w:autoSpaceDE/>
        <w:autoSpaceDN/>
        <w:bidi w:val="0"/>
        <w:adjustRightInd/>
        <w:snapToGrid/>
        <w:spacing w:line="480" w:lineRule="exact"/>
        <w:ind w:right="0" w:rightChars="0" w:firstLine="640" w:firstLineChars="200"/>
        <w:jc w:val="both"/>
        <w:textAlignment w:val="auto"/>
        <w:rPr>
          <w:rFonts w:hint="eastAsia" w:ascii="Times New Roman" w:hAnsi="Times New Roman" w:eastAsia="仿宋_GB2312" w:cs="仿宋_GB2312"/>
          <w:spacing w:val="0"/>
          <w:sz w:val="32"/>
          <w:szCs w:val="32"/>
        </w:rPr>
      </w:pPr>
      <w:r>
        <w:rPr>
          <w:rFonts w:hint="eastAsia" w:eastAsia="仿宋_GB2312" w:cs="仿宋_GB2312"/>
          <w:color w:val="auto"/>
          <w:sz w:val="32"/>
          <w:szCs w:val="32"/>
          <w:lang w:val="en-US" w:eastAsia="zh-CN"/>
        </w:rPr>
        <w:t>2025</w:t>
      </w:r>
      <w:r>
        <w:rPr>
          <w:rFonts w:hint="eastAsia" w:ascii="Times New Roman" w:hAnsi="Times New Roman" w:eastAsia="仿宋_GB2312" w:cs="仿宋_GB2312"/>
          <w:color w:val="auto"/>
          <w:sz w:val="32"/>
          <w:szCs w:val="32"/>
        </w:rPr>
        <w:t>年</w:t>
      </w:r>
      <w:r>
        <w:rPr>
          <w:rFonts w:hint="eastAsia" w:eastAsia="仿宋_GB2312" w:cs="仿宋_GB2312"/>
          <w:color w:val="auto"/>
          <w:sz w:val="32"/>
          <w:szCs w:val="32"/>
          <w:lang w:val="en-US" w:eastAsia="zh-CN"/>
        </w:rPr>
        <w:t>6</w:t>
      </w:r>
      <w:r>
        <w:rPr>
          <w:rFonts w:hint="eastAsia" w:ascii="Times New Roman" w:hAnsi="Times New Roman" w:eastAsia="仿宋_GB2312" w:cs="仿宋_GB2312"/>
          <w:color w:val="auto"/>
          <w:sz w:val="32"/>
          <w:szCs w:val="32"/>
        </w:rPr>
        <w:t>月</w:t>
      </w:r>
      <w:r>
        <w:rPr>
          <w:rFonts w:hint="eastAsia" w:eastAsia="仿宋_GB2312" w:cs="仿宋_GB2312"/>
          <w:color w:val="auto"/>
          <w:sz w:val="32"/>
          <w:szCs w:val="32"/>
          <w:lang w:val="en-US" w:eastAsia="zh-CN"/>
        </w:rPr>
        <w:t>6</w:t>
      </w:r>
      <w:r>
        <w:rPr>
          <w:rFonts w:hint="eastAsia" w:ascii="Times New Roman" w:hAnsi="Times New Roman" w:eastAsia="仿宋_GB2312" w:cs="仿宋_GB2312"/>
          <w:color w:val="auto"/>
          <w:sz w:val="32"/>
          <w:szCs w:val="32"/>
        </w:rPr>
        <w:t>日，本局向当事人送达了</w:t>
      </w:r>
      <w:r>
        <w:rPr>
          <w:rFonts w:hint="eastAsia" w:ascii="Times New Roman" w:hAnsi="Times New Roman" w:eastAsia="仿宋_GB2312" w:cs="仿宋_GB2312"/>
          <w:color w:val="auto"/>
          <w:sz w:val="32"/>
          <w:szCs w:val="32"/>
          <w:lang w:eastAsia="zh-CN"/>
        </w:rPr>
        <w:t>淮</w:t>
      </w:r>
      <w:r>
        <w:rPr>
          <w:rFonts w:hint="eastAsia" w:ascii="Times New Roman" w:hAnsi="Times New Roman" w:eastAsia="仿宋_GB2312" w:cs="仿宋_GB2312"/>
          <w:color w:val="auto"/>
          <w:sz w:val="32"/>
          <w:szCs w:val="32"/>
        </w:rPr>
        <w:t>市监</w:t>
      </w:r>
      <w:r>
        <w:rPr>
          <w:rFonts w:hint="eastAsia" w:ascii="Times New Roman" w:hAnsi="Times New Roman" w:eastAsia="仿宋_GB2312" w:cs="仿宋_GB2312"/>
          <w:color w:val="auto"/>
          <w:sz w:val="32"/>
          <w:szCs w:val="32"/>
          <w:lang w:eastAsia="zh-CN"/>
        </w:rPr>
        <w:t>田罚</w:t>
      </w:r>
      <w:r>
        <w:rPr>
          <w:rFonts w:hint="eastAsia" w:ascii="Times New Roman" w:hAnsi="Times New Roman" w:eastAsia="仿宋_GB2312" w:cs="仿宋_GB2312"/>
          <w:color w:val="auto"/>
          <w:sz w:val="32"/>
          <w:szCs w:val="32"/>
        </w:rPr>
        <w:t>告</w:t>
      </w:r>
      <w:r>
        <w:rPr>
          <w:rFonts w:hint="eastAsia" w:ascii="Times New Roman" w:hAnsi="Times New Roman" w:eastAsia="仿宋_GB2312" w:cs="仿宋_GB2312"/>
          <w:bCs/>
          <w:color w:val="auto"/>
          <w:spacing w:val="0"/>
          <w:sz w:val="32"/>
          <w:szCs w:val="32"/>
          <w:highlight w:val="none"/>
        </w:rPr>
        <w:t>〔</w:t>
      </w:r>
      <w:r>
        <w:rPr>
          <w:rFonts w:hint="eastAsia" w:ascii="Times New Roman" w:hAnsi="Times New Roman" w:eastAsia="仿宋_GB2312" w:cs="仿宋_GB2312"/>
          <w:bCs/>
          <w:color w:val="auto"/>
          <w:spacing w:val="0"/>
          <w:sz w:val="32"/>
          <w:szCs w:val="32"/>
          <w:highlight w:val="none"/>
          <w:lang w:val="en-US" w:eastAsia="zh-CN"/>
        </w:rPr>
        <w:t>2025</w:t>
      </w:r>
      <w:r>
        <w:rPr>
          <w:rFonts w:hint="eastAsia" w:ascii="Times New Roman" w:hAnsi="Times New Roman" w:eastAsia="仿宋_GB2312" w:cs="仿宋_GB2312"/>
          <w:bCs/>
          <w:color w:val="auto"/>
          <w:spacing w:val="0"/>
          <w:sz w:val="32"/>
          <w:szCs w:val="32"/>
          <w:highlight w:val="none"/>
        </w:rPr>
        <w:t>〕</w:t>
      </w:r>
      <w:r>
        <w:rPr>
          <w:rFonts w:hint="eastAsia" w:eastAsia="仿宋_GB2312" w:cs="仿宋_GB2312"/>
          <w:bCs/>
          <w:color w:val="auto"/>
          <w:spacing w:val="0"/>
          <w:sz w:val="32"/>
          <w:szCs w:val="32"/>
          <w:highlight w:val="none"/>
          <w:lang w:val="en-US" w:eastAsia="zh-CN"/>
        </w:rPr>
        <w:t>21</w:t>
      </w:r>
      <w:r>
        <w:rPr>
          <w:rFonts w:hint="eastAsia" w:ascii="Times New Roman" w:hAnsi="Times New Roman" w:eastAsia="仿宋_GB2312" w:cs="仿宋_GB2312"/>
          <w:bCs/>
          <w:color w:val="auto"/>
          <w:spacing w:val="0"/>
          <w:sz w:val="32"/>
          <w:szCs w:val="32"/>
          <w:highlight w:val="none"/>
          <w:lang w:val="en-US" w:eastAsia="zh-CN"/>
        </w:rPr>
        <w:t>号</w:t>
      </w:r>
      <w:r>
        <w:rPr>
          <w:rFonts w:hint="eastAsia" w:ascii="Times New Roman" w:hAnsi="Times New Roman" w:eastAsia="仿宋_GB2312" w:cs="仿宋_GB2312"/>
          <w:color w:val="auto"/>
          <w:sz w:val="32"/>
          <w:szCs w:val="32"/>
          <w:highlight w:val="none"/>
        </w:rPr>
        <w:t>行</w:t>
      </w:r>
      <w:r>
        <w:rPr>
          <w:rFonts w:hint="eastAsia" w:ascii="Times New Roman" w:hAnsi="Times New Roman" w:eastAsia="仿宋_GB2312" w:cs="仿宋_GB2312"/>
          <w:color w:val="auto"/>
          <w:sz w:val="32"/>
          <w:szCs w:val="32"/>
        </w:rPr>
        <w:t>政处罚告知书，</w:t>
      </w:r>
      <w:r>
        <w:rPr>
          <w:rFonts w:hint="eastAsia" w:ascii="Times New Roman" w:hAnsi="Times New Roman" w:eastAsia="仿宋_GB2312" w:cs="仿宋_GB2312"/>
          <w:color w:val="auto"/>
          <w:spacing w:val="0"/>
          <w:sz w:val="32"/>
          <w:szCs w:val="32"/>
        </w:rPr>
        <w:t>已</w:t>
      </w:r>
      <w:r>
        <w:rPr>
          <w:rFonts w:hint="eastAsia" w:ascii="Times New Roman" w:hAnsi="Times New Roman" w:eastAsia="仿宋_GB2312" w:cs="仿宋_GB2312"/>
          <w:spacing w:val="0"/>
          <w:sz w:val="32"/>
          <w:szCs w:val="32"/>
        </w:rPr>
        <w:t>告知当事人有进行陈述、申辩的权利，但当事人在法定期限内未</w:t>
      </w:r>
      <w:r>
        <w:rPr>
          <w:rFonts w:hint="eastAsia" w:ascii="Times New Roman" w:hAnsi="Times New Roman" w:eastAsia="仿宋_GB2312" w:cs="仿宋_GB2312"/>
          <w:spacing w:val="0"/>
          <w:sz w:val="32"/>
          <w:szCs w:val="32"/>
          <w:lang w:eastAsia="zh-CN"/>
        </w:rPr>
        <w:t>提出</w:t>
      </w:r>
      <w:r>
        <w:rPr>
          <w:rFonts w:hint="eastAsia" w:ascii="Times New Roman" w:hAnsi="Times New Roman" w:eastAsia="仿宋_GB2312" w:cs="仿宋_GB2312"/>
          <w:spacing w:val="0"/>
          <w:sz w:val="32"/>
          <w:szCs w:val="32"/>
        </w:rPr>
        <w:t>陈述、申辩的</w:t>
      </w:r>
      <w:r>
        <w:rPr>
          <w:rFonts w:hint="eastAsia" w:ascii="Times New Roman" w:hAnsi="Times New Roman" w:eastAsia="仿宋_GB2312" w:cs="仿宋_GB2312"/>
          <w:spacing w:val="0"/>
          <w:sz w:val="32"/>
          <w:szCs w:val="32"/>
          <w:lang w:eastAsia="zh-CN"/>
        </w:rPr>
        <w:t>要求</w:t>
      </w:r>
      <w:r>
        <w:rPr>
          <w:rFonts w:hint="eastAsia" w:ascii="Times New Roman" w:hAnsi="Times New Roman" w:eastAsia="仿宋_GB2312" w:cs="仿宋_GB2312"/>
          <w:spacing w:val="0"/>
          <w:sz w:val="32"/>
          <w:szCs w:val="32"/>
        </w:rPr>
        <w:t>。</w:t>
      </w:r>
    </w:p>
    <w:p>
      <w:pPr>
        <w:keepNext w:val="0"/>
        <w:keepLines w:val="0"/>
        <w:pageBreakBefore w:val="0"/>
        <w:widowControl w:val="0"/>
        <w:kinsoku/>
        <w:wordWrap w:val="0"/>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宋体" w:eastAsia="仿宋_GB2312"/>
          <w:sz w:val="32"/>
          <w:szCs w:val="32"/>
        </w:rPr>
        <w:t>当事人</w:t>
      </w:r>
      <w:r>
        <w:rPr>
          <w:rFonts w:hint="eastAsia" w:ascii="仿宋_GB2312" w:hAnsi="宋体" w:eastAsia="仿宋_GB2312"/>
          <w:color w:val="000000"/>
          <w:sz w:val="32"/>
          <w:szCs w:val="32"/>
        </w:rPr>
        <w:t>销售侵犯注册商标专用权</w:t>
      </w:r>
      <w:r>
        <w:rPr>
          <w:rFonts w:hint="eastAsia" w:ascii="仿宋_GB2312" w:hAnsi="宋体" w:eastAsia="仿宋_GB2312"/>
          <w:sz w:val="32"/>
          <w:szCs w:val="32"/>
        </w:rPr>
        <w:t>的行为属于《中华人民共和国商标法》第五十七条第一款“有下列行为之一的，均属侵犯注册商标专用权”第（三）项“（三）销售侵犯注册商标专用权的商品的；”所指之行为，已构成</w:t>
      </w:r>
      <w:r>
        <w:rPr>
          <w:rFonts w:hint="eastAsia" w:ascii="仿宋_GB2312" w:hAnsi="仿宋_GB2312" w:eastAsia="仿宋_GB2312" w:cs="仿宋_GB2312"/>
          <w:color w:val="000000"/>
          <w:sz w:val="32"/>
          <w:szCs w:val="32"/>
          <w:lang w:val="en-US" w:eastAsia="zh-CN"/>
        </w:rPr>
        <w:t>销售侵犯他人注册商标专用权商品</w:t>
      </w:r>
      <w:r>
        <w:rPr>
          <w:rFonts w:hint="eastAsia" w:ascii="仿宋_GB2312" w:hAnsi="宋体" w:eastAsia="仿宋_GB2312"/>
          <w:sz w:val="32"/>
          <w:szCs w:val="32"/>
        </w:rPr>
        <w:t>行为。</w:t>
      </w:r>
    </w:p>
    <w:p>
      <w:pPr>
        <w:keepNext w:val="0"/>
        <w:keepLines w:val="0"/>
        <w:pageBreakBefore w:val="0"/>
        <w:widowControl w:val="0"/>
        <w:kinsoku/>
        <w:wordWrap w:val="0"/>
        <w:overflowPunct/>
        <w:topLinePunct w:val="0"/>
        <w:autoSpaceDE/>
        <w:autoSpaceDN/>
        <w:bidi w:val="0"/>
        <w:adjustRightInd/>
        <w:snapToGrid/>
        <w:spacing w:line="480" w:lineRule="exact"/>
        <w:ind w:firstLine="640" w:firstLineChars="200"/>
        <w:jc w:val="both"/>
        <w:textAlignment w:val="auto"/>
        <w:rPr>
          <w:rFonts w:ascii="仿宋_GB2312" w:hAnsi="宋体" w:eastAsia="仿宋_GB2312"/>
          <w:sz w:val="32"/>
          <w:szCs w:val="32"/>
        </w:rPr>
      </w:pPr>
      <w:r>
        <w:rPr>
          <w:rFonts w:hint="eastAsia" w:ascii="仿宋_GB2312" w:hAnsi="仿宋_GB2312" w:eastAsia="仿宋_GB2312" w:cs="仿宋_GB2312"/>
          <w:color w:val="auto"/>
          <w:sz w:val="32"/>
          <w:szCs w:val="32"/>
          <w:lang w:val="en-US"/>
        </w:rPr>
        <w:t>鉴于当事人</w:t>
      </w:r>
      <w:r>
        <w:rPr>
          <w:rFonts w:hint="eastAsia" w:ascii="仿宋_GB2312" w:hAnsi="仿宋_GB2312" w:eastAsia="仿宋_GB2312" w:cs="仿宋_GB2312"/>
          <w:bCs/>
          <w:color w:val="auto"/>
          <w:sz w:val="32"/>
          <w:szCs w:val="32"/>
        </w:rPr>
        <w:t>不知道</w:t>
      </w:r>
      <w:r>
        <w:rPr>
          <w:rFonts w:hint="eastAsia" w:ascii="仿宋_GB2312" w:hAnsi="仿宋_GB2312" w:eastAsia="仿宋_GB2312" w:cs="仿宋_GB2312"/>
          <w:bCs/>
          <w:color w:val="auto"/>
          <w:sz w:val="32"/>
          <w:szCs w:val="32"/>
          <w:lang w:eastAsia="zh-CN"/>
        </w:rPr>
        <w:t>销售的</w:t>
      </w:r>
      <w:r>
        <w:rPr>
          <w:rFonts w:hint="eastAsia" w:ascii="仿宋_GB2312" w:hAnsi="仿宋_GB2312" w:eastAsia="仿宋_GB2312" w:cs="仿宋_GB2312"/>
          <w:color w:val="auto"/>
          <w:sz w:val="32"/>
          <w:szCs w:val="32"/>
          <w:lang w:val="en-US" w:eastAsia="zh-CN"/>
        </w:rPr>
        <w:t>涉案产品为</w:t>
      </w:r>
      <w:r>
        <w:rPr>
          <w:rFonts w:hint="eastAsia" w:ascii="仿宋_GB2312" w:hAnsi="宋体" w:eastAsia="仿宋_GB2312"/>
          <w:sz w:val="32"/>
          <w:szCs w:val="32"/>
        </w:rPr>
        <w:t>侵犯注册商标专用权的商品</w:t>
      </w:r>
      <w:r>
        <w:rPr>
          <w:rFonts w:hint="eastAsia" w:ascii="仿宋_GB2312" w:hAnsi="仿宋_GB2312" w:eastAsia="仿宋_GB2312" w:cs="仿宋_GB2312"/>
          <w:bCs/>
          <w:color w:val="auto"/>
          <w:sz w:val="32"/>
          <w:szCs w:val="32"/>
          <w:lang w:eastAsia="zh-CN"/>
        </w:rPr>
        <w:t>，且</w:t>
      </w:r>
      <w:r>
        <w:rPr>
          <w:rFonts w:hint="eastAsia" w:ascii="仿宋_GB2312" w:hAnsi="宋体" w:eastAsia="仿宋_GB2312"/>
          <w:sz w:val="32"/>
          <w:szCs w:val="32"/>
        </w:rPr>
        <w:t>在本案调查过程中能够积极配合，</w:t>
      </w:r>
      <w:r>
        <w:rPr>
          <w:rFonts w:hint="eastAsia" w:ascii="仿宋_GB2312" w:hAnsi="宋体" w:eastAsia="仿宋_GB2312"/>
          <w:sz w:val="32"/>
          <w:szCs w:val="32"/>
          <w:lang w:eastAsia="zh-CN"/>
        </w:rPr>
        <w:t>并第一时间开展召回工作，</w:t>
      </w:r>
      <w:r>
        <w:rPr>
          <w:rFonts w:hint="eastAsia" w:ascii="仿宋_GB2312" w:hAnsi="仿宋_GB2312" w:eastAsia="仿宋_GB2312" w:cs="仿宋_GB2312"/>
          <w:color w:val="auto"/>
          <w:sz w:val="32"/>
          <w:szCs w:val="32"/>
          <w:lang w:val="en-US"/>
        </w:rPr>
        <w:t>主动减轻违法行为后果，</w:t>
      </w:r>
      <w:r>
        <w:rPr>
          <w:rFonts w:hint="eastAsia" w:ascii="仿宋_GB2312" w:hAnsi="宋体" w:eastAsia="仿宋_GB2312"/>
          <w:color w:val="000000"/>
          <w:sz w:val="32"/>
          <w:szCs w:val="32"/>
        </w:rPr>
        <w:t>依据《中华人民共和国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r>
        <w:rPr>
          <w:rFonts w:hint="eastAsia" w:ascii="仿宋_GB2312" w:hAnsi="宋体" w:eastAsia="仿宋_GB2312"/>
        </w:rPr>
        <w:t xml:space="preserve"> </w:t>
      </w:r>
      <w:r>
        <w:rPr>
          <w:rFonts w:hint="eastAsia" w:ascii="仿宋_GB2312" w:hAnsi="宋体" w:eastAsia="仿宋_GB2312"/>
          <w:color w:val="000000"/>
          <w:sz w:val="32"/>
          <w:szCs w:val="32"/>
        </w:rPr>
        <w:t>、</w:t>
      </w:r>
      <w:r>
        <w:rPr>
          <w:rFonts w:hint="eastAsia" w:ascii="方正仿宋_GBK" w:hAnsi="方正仿宋_GBK" w:eastAsia="方正仿宋_GBK" w:cs="方正仿宋_GBK"/>
          <w:sz w:val="32"/>
          <w:szCs w:val="32"/>
          <w:u w:val="none"/>
          <w:lang w:val="en-US" w:eastAsia="zh-CN"/>
        </w:rPr>
        <w:t>《</w:t>
      </w:r>
      <w:r>
        <w:rPr>
          <w:rFonts w:hint="eastAsia" w:ascii="仿宋_GB2312" w:hAnsi="仿宋_GB2312" w:eastAsia="仿宋_GB2312" w:cs="仿宋_GB2312"/>
          <w:sz w:val="32"/>
          <w:szCs w:val="32"/>
          <w:u w:val="none"/>
          <w:lang w:val="en-US" w:eastAsia="zh-CN"/>
        </w:rPr>
        <w:t>中华人民共和国行政处罚法》第二十八条第一款“行政机关实施行政处罚时，应当责令当事人改正或者限期改正违法行为。”、第三十二条“当事人有下列情形之一的，应当依法从轻或者减轻行政处罚：”第（一）项“（一）主动消除或者减轻违法行为危害后果的；”</w:t>
      </w:r>
      <w:r>
        <w:rPr>
          <w:rFonts w:hint="eastAsia" w:ascii="仿宋_GB2312" w:hAnsi="宋体" w:eastAsia="仿宋_GB2312"/>
          <w:color w:val="000000"/>
          <w:sz w:val="32"/>
          <w:szCs w:val="32"/>
        </w:rPr>
        <w:t>，参照《安徽省市场监督管理行政处罚裁量权基准》</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2021本</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第【2</w:t>
      </w:r>
      <w:r>
        <w:rPr>
          <w:rFonts w:hint="eastAsia" w:ascii="仿宋_GB2312" w:hAnsi="宋体" w:eastAsia="仿宋_GB2312"/>
          <w:color w:val="000000"/>
          <w:sz w:val="32"/>
          <w:szCs w:val="32"/>
          <w:lang w:val="en-US" w:eastAsia="zh-CN"/>
        </w:rPr>
        <w:t>61</w:t>
      </w:r>
      <w:r>
        <w:rPr>
          <w:rFonts w:hint="eastAsia" w:ascii="仿宋_GB2312" w:hAnsi="宋体" w:eastAsia="仿宋_GB2312"/>
          <w:color w:val="000000"/>
          <w:sz w:val="32"/>
          <w:szCs w:val="32"/>
        </w:rPr>
        <w:t>】条“《商标法》第六十条：对侵犯注册商标专用权的行为，违法经营额五万元以上的，可以处违法经营额五倍以下的罚款，没有违法经营额或者违法经营额不足五万元的，可以处二十五万元以下的罚款。”第一款第（三）项“（三）销售侵犯注册商标专用权的商品的”第1目“</w:t>
      </w:r>
      <w:r>
        <w:rPr>
          <w:rFonts w:hint="eastAsia" w:ascii="仿宋_GB2312" w:hAnsi="宋体" w:eastAsia="仿宋_GB2312"/>
          <w:color w:val="000000"/>
          <w:sz w:val="32"/>
          <w:szCs w:val="32"/>
          <w:lang w:val="zh-CN"/>
        </w:rPr>
        <w:t>1.销售未经商标注册人的许可、在同一种商品上使用与其注册商标相同商标的商品的行为</w:t>
      </w:r>
      <w:r>
        <w:rPr>
          <w:rFonts w:hint="eastAsia" w:ascii="仿宋_GB2312" w:hAnsi="宋体" w:eastAsia="仿宋_GB2312"/>
          <w:color w:val="000000"/>
          <w:sz w:val="32"/>
          <w:szCs w:val="32"/>
        </w:rPr>
        <w:t>：（1）没有违法经营额或者违法经营额不足五万元的：①违法经营额不足一万元的，处以五万元以下的罚款；”</w:t>
      </w:r>
      <w:r>
        <w:rPr>
          <w:rFonts w:hint="eastAsia" w:ascii="仿宋_GB2312" w:hAnsi="宋体" w:eastAsia="仿宋_GB2312"/>
          <w:sz w:val="32"/>
          <w:szCs w:val="32"/>
        </w:rPr>
        <w:t>之规定</w:t>
      </w:r>
      <w:r>
        <w:rPr>
          <w:rFonts w:hint="eastAsia" w:ascii="仿宋_GB2312" w:hAnsi="宋体" w:eastAsia="仿宋_GB2312"/>
          <w:sz w:val="32"/>
          <w:szCs w:val="32"/>
          <w:lang w:eastAsia="zh-CN"/>
        </w:rPr>
        <w:t>，我局决定责令</w:t>
      </w:r>
      <w:r>
        <w:rPr>
          <w:rFonts w:hint="eastAsia" w:ascii="仿宋_GB2312" w:hAnsi="宋体" w:eastAsia="仿宋_GB2312"/>
          <w:sz w:val="32"/>
          <w:szCs w:val="32"/>
        </w:rPr>
        <w:t>当事人停止违法行为，从轻处罚如下：</w:t>
      </w:r>
    </w:p>
    <w:p>
      <w:pPr>
        <w:keepNext w:val="0"/>
        <w:keepLines w:val="0"/>
        <w:pageBreakBefore w:val="0"/>
        <w:widowControl w:val="0"/>
        <w:numPr>
          <w:ilvl w:val="0"/>
          <w:numId w:val="2"/>
        </w:numPr>
        <w:kinsoku/>
        <w:wordWrap w:val="0"/>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olor w:val="000000"/>
          <w:sz w:val="32"/>
          <w:szCs w:val="32"/>
        </w:rPr>
      </w:pPr>
      <w:r>
        <w:rPr>
          <w:rFonts w:hint="eastAsia" w:ascii="仿宋_GB2312" w:hAnsi="宋体" w:eastAsia="仿宋_GB2312"/>
          <w:sz w:val="32"/>
          <w:szCs w:val="32"/>
        </w:rPr>
        <w:t>没收商标侵权商品</w:t>
      </w:r>
      <w:r>
        <w:rPr>
          <w:rFonts w:hint="eastAsia" w:ascii="仿宋_GB2312" w:hAnsi="宋体" w:eastAsia="仿宋_GB2312"/>
          <w:b w:val="0"/>
          <w:bCs w:val="0"/>
          <w:sz w:val="32"/>
          <w:szCs w:val="32"/>
          <w:lang w:val="en-US" w:eastAsia="zh-CN"/>
        </w:rPr>
        <w:t>4块</w:t>
      </w:r>
      <w:r>
        <w:rPr>
          <w:rFonts w:hint="eastAsia" w:ascii="仿宋_GB2312" w:hAnsi="仿宋_GB2312" w:eastAsia="仿宋_GB2312" w:cs="仿宋_GB2312"/>
          <w:color w:val="000000"/>
          <w:sz w:val="32"/>
          <w:szCs w:val="32"/>
          <w:lang w:val="en-US" w:eastAsia="zh-CN"/>
        </w:rPr>
        <w:t>“舒肤佳</w:t>
      </w:r>
      <w:r>
        <w:rPr>
          <w:rFonts w:hint="eastAsia" w:ascii="仿宋_GB2312" w:hAnsi="仿宋_GB2312" w:eastAsia="仿宋_GB2312" w:cs="仿宋_GB2312"/>
          <w:color w:val="000000"/>
          <w:sz w:val="32"/>
          <w:szCs w:val="32"/>
          <w:vertAlign w:val="superscript"/>
          <w:lang w:val="en-US" w:eastAsia="zh-CN"/>
        </w:rPr>
        <w:t>®</w:t>
      </w:r>
      <w:r>
        <w:rPr>
          <w:rFonts w:hint="eastAsia" w:ascii="仿宋_GB2312" w:hAnsi="仿宋_GB2312" w:eastAsia="仿宋_GB2312" w:cs="仿宋_GB2312"/>
          <w:color w:val="000000"/>
          <w:sz w:val="32"/>
          <w:szCs w:val="32"/>
          <w:lang w:val="en-US" w:eastAsia="zh-CN"/>
        </w:rPr>
        <w:t>”牌香皂</w:t>
      </w:r>
      <w:r>
        <w:rPr>
          <w:rFonts w:hint="eastAsia" w:ascii="仿宋_GB2312" w:hAnsi="宋体" w:eastAsia="仿宋_GB2312"/>
          <w:color w:val="000000"/>
          <w:sz w:val="32"/>
          <w:szCs w:val="32"/>
        </w:rPr>
        <w:t xml:space="preserve">；    </w:t>
      </w:r>
    </w:p>
    <w:p>
      <w:pPr>
        <w:keepNext w:val="0"/>
        <w:keepLines w:val="0"/>
        <w:pageBreakBefore w:val="0"/>
        <w:widowControl w:val="0"/>
        <w:numPr>
          <w:ilvl w:val="0"/>
          <w:numId w:val="2"/>
        </w:numPr>
        <w:kinsoku/>
        <w:wordWrap w:val="0"/>
        <w:overflowPunct/>
        <w:topLinePunct w:val="0"/>
        <w:autoSpaceDE/>
        <w:autoSpaceDN/>
        <w:bidi w:val="0"/>
        <w:adjustRightInd/>
        <w:snapToGrid/>
        <w:spacing w:line="480" w:lineRule="exact"/>
        <w:ind w:firstLine="640" w:firstLineChars="200"/>
        <w:jc w:val="both"/>
        <w:textAlignment w:val="auto"/>
        <w:rPr>
          <w:rFonts w:ascii="仿宋_GB2312" w:hAnsi="宋体" w:eastAsia="仿宋_GB2312"/>
          <w:color w:val="000000"/>
          <w:sz w:val="32"/>
          <w:szCs w:val="32"/>
        </w:rPr>
      </w:pPr>
      <w:r>
        <w:rPr>
          <w:rFonts w:hint="eastAsia" w:ascii="仿宋_GB2312" w:hAnsi="宋体" w:eastAsia="仿宋_GB2312"/>
          <w:sz w:val="32"/>
          <w:szCs w:val="32"/>
        </w:rPr>
        <w:t>没收</w:t>
      </w:r>
      <w:r>
        <w:rPr>
          <w:rFonts w:hint="eastAsia" w:ascii="仿宋_GB2312" w:hAnsi="宋体" w:eastAsia="仿宋_GB2312"/>
          <w:sz w:val="32"/>
          <w:szCs w:val="32"/>
          <w:lang w:eastAsia="zh-CN"/>
        </w:rPr>
        <w:t>违法所得</w:t>
      </w:r>
      <w:r>
        <w:rPr>
          <w:rFonts w:hint="eastAsia" w:ascii="仿宋_GB2312" w:hAnsi="宋体" w:eastAsia="仿宋_GB2312"/>
          <w:sz w:val="32"/>
          <w:szCs w:val="32"/>
          <w:lang w:val="en-US" w:eastAsia="zh-CN"/>
        </w:rPr>
        <w:t>34.00元</w:t>
      </w:r>
      <w:r>
        <w:rPr>
          <w:rFonts w:hint="eastAsia" w:ascii="仿宋_GB2312" w:hAnsi="宋体" w:eastAsia="仿宋_GB2312"/>
          <w:color w:val="000000"/>
          <w:sz w:val="32"/>
          <w:szCs w:val="32"/>
        </w:rPr>
        <w:t>；</w:t>
      </w:r>
    </w:p>
    <w:p>
      <w:pPr>
        <w:keepNext w:val="0"/>
        <w:keepLines w:val="0"/>
        <w:pageBreakBefore w:val="0"/>
        <w:widowControl w:val="0"/>
        <w:kinsoku/>
        <w:wordWrap w:val="0"/>
        <w:overflowPunct/>
        <w:topLinePunct w:val="0"/>
        <w:autoSpaceDE/>
        <w:autoSpaceDN/>
        <w:bidi w:val="0"/>
        <w:adjustRightInd/>
        <w:snapToGrid/>
        <w:spacing w:line="48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color w:val="000000"/>
          <w:sz w:val="32"/>
          <w:szCs w:val="32"/>
          <w:lang w:eastAsia="zh-CN"/>
        </w:rPr>
        <w:t>三</w:t>
      </w:r>
      <w:r>
        <w:rPr>
          <w:rFonts w:hint="eastAsia" w:ascii="仿宋_GB2312" w:hAnsi="宋体" w:eastAsia="仿宋_GB2312"/>
          <w:color w:val="000000"/>
          <w:sz w:val="32"/>
          <w:szCs w:val="32"/>
        </w:rPr>
        <w:t>、罚款人民币</w:t>
      </w:r>
      <w:r>
        <w:rPr>
          <w:rFonts w:hint="eastAsia" w:ascii="仿宋_GB2312" w:hAnsi="宋体" w:eastAsia="仿宋_GB2312"/>
          <w:color w:val="000000"/>
          <w:sz w:val="32"/>
          <w:szCs w:val="32"/>
          <w:lang w:val="en-US" w:eastAsia="zh-CN"/>
        </w:rPr>
        <w:t>500.00</w:t>
      </w:r>
      <w:r>
        <w:rPr>
          <w:rFonts w:hint="eastAsia" w:ascii="仿宋_GB2312" w:hAnsi="宋体" w:eastAsia="仿宋_GB2312"/>
          <w:color w:val="000000"/>
          <w:sz w:val="32"/>
          <w:szCs w:val="32"/>
        </w:rPr>
        <w:t>元。</w:t>
      </w:r>
    </w:p>
    <w:p>
      <w:pPr>
        <w:keepNext w:val="0"/>
        <w:keepLines w:val="0"/>
        <w:pageBreakBefore w:val="0"/>
        <w:widowControl w:val="0"/>
        <w:kinsoku/>
        <w:wordWrap w:val="0"/>
        <w:overflowPunct/>
        <w:topLinePunct w:val="0"/>
        <w:autoSpaceDE/>
        <w:autoSpaceDN/>
        <w:bidi w:val="0"/>
        <w:adjustRightInd/>
        <w:snapToGrid/>
        <w:spacing w:line="48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bCs/>
          <w:sz w:val="32"/>
          <w:szCs w:val="32"/>
        </w:rPr>
        <w:t>综上，</w:t>
      </w:r>
      <w:r>
        <w:rPr>
          <w:rFonts w:hint="eastAsia" w:ascii="仿宋_GB2312" w:hAnsi="宋体" w:eastAsia="仿宋_GB2312"/>
          <w:bCs/>
          <w:sz w:val="32"/>
          <w:szCs w:val="32"/>
          <w:lang w:eastAsia="zh-CN"/>
        </w:rPr>
        <w:t>依据</w:t>
      </w:r>
      <w:r>
        <w:rPr>
          <w:rFonts w:hint="eastAsia" w:ascii="仿宋_GB2312" w:hAnsi="宋体" w:eastAsia="仿宋_GB2312"/>
          <w:sz w:val="32"/>
          <w:szCs w:val="32"/>
        </w:rPr>
        <w:t>《中华人民共和国商标法》第六十条第二款、《</w:t>
      </w:r>
      <w:r>
        <w:rPr>
          <w:rFonts w:hint="eastAsia" w:ascii="仿宋_GB2312" w:hAnsi="仿宋_GB2312" w:eastAsia="仿宋_GB2312" w:cs="仿宋_GB2312"/>
          <w:sz w:val="32"/>
          <w:szCs w:val="32"/>
          <w:u w:val="none"/>
          <w:lang w:val="en-US" w:eastAsia="zh-CN"/>
        </w:rPr>
        <w:t>中华人民共和国行政处罚法》第二十八条第一款、第三十二条第（一）项</w:t>
      </w:r>
      <w:r>
        <w:rPr>
          <w:rFonts w:hint="eastAsia" w:ascii="仿宋_GB2312" w:hAnsi="宋体" w:eastAsia="仿宋_GB2312"/>
          <w:sz w:val="32"/>
          <w:szCs w:val="32"/>
        </w:rPr>
        <w:t>，参照《安徽省市场监督管理行政处罚裁量基准》</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2021本</w:t>
      </w:r>
      <w:r>
        <w:rPr>
          <w:rFonts w:hint="eastAsia" w:ascii="仿宋_GB2312" w:hAnsi="宋体" w:eastAsia="仿宋_GB2312"/>
          <w:sz w:val="32"/>
          <w:szCs w:val="32"/>
          <w:lang w:eastAsia="zh-CN"/>
        </w:rPr>
        <w:t>）</w:t>
      </w:r>
      <w:r>
        <w:rPr>
          <w:rFonts w:hint="eastAsia" w:ascii="仿宋_GB2312" w:hAnsi="宋体" w:eastAsia="仿宋_GB2312"/>
          <w:color w:val="000000"/>
          <w:sz w:val="32"/>
          <w:szCs w:val="32"/>
        </w:rPr>
        <w:t>第【261】条第一款第（三）项第1目</w:t>
      </w:r>
      <w:r>
        <w:rPr>
          <w:rFonts w:hint="eastAsia" w:ascii="仿宋_GB2312" w:hAnsi="宋体" w:eastAsia="仿宋_GB2312"/>
          <w:sz w:val="32"/>
          <w:szCs w:val="32"/>
        </w:rPr>
        <w:t>之规定，</w:t>
      </w:r>
      <w:r>
        <w:rPr>
          <w:rFonts w:hint="eastAsia" w:ascii="仿宋_GB2312" w:hAnsi="宋体" w:eastAsia="仿宋_GB2312"/>
          <w:sz w:val="32"/>
          <w:szCs w:val="32"/>
          <w:lang w:eastAsia="zh-CN"/>
        </w:rPr>
        <w:t>我局决定责令</w:t>
      </w:r>
      <w:r>
        <w:rPr>
          <w:rFonts w:hint="eastAsia" w:ascii="仿宋_GB2312" w:hAnsi="宋体" w:eastAsia="仿宋_GB2312"/>
          <w:sz w:val="32"/>
          <w:szCs w:val="32"/>
        </w:rPr>
        <w:t>当事人停止违法行为，从轻处罚如下：</w:t>
      </w:r>
    </w:p>
    <w:p>
      <w:pPr>
        <w:keepNext w:val="0"/>
        <w:keepLines w:val="0"/>
        <w:pageBreakBefore w:val="0"/>
        <w:widowControl w:val="0"/>
        <w:numPr>
          <w:ilvl w:val="0"/>
          <w:numId w:val="3"/>
        </w:numPr>
        <w:kinsoku/>
        <w:wordWrap w:val="0"/>
        <w:overflowPunct/>
        <w:topLinePunct w:val="0"/>
        <w:autoSpaceDE/>
        <w:autoSpaceDN/>
        <w:bidi w:val="0"/>
        <w:adjustRightInd/>
        <w:snapToGrid/>
        <w:spacing w:line="480" w:lineRule="exact"/>
        <w:ind w:firstLine="640" w:firstLineChars="200"/>
        <w:jc w:val="both"/>
        <w:textAlignment w:val="auto"/>
        <w:rPr>
          <w:rFonts w:hint="eastAsia" w:ascii="仿宋_GB2312" w:hAnsi="宋体" w:eastAsia="仿宋_GB2312"/>
          <w:color w:val="000000"/>
          <w:sz w:val="32"/>
          <w:szCs w:val="32"/>
        </w:rPr>
      </w:pPr>
      <w:r>
        <w:rPr>
          <w:rFonts w:hint="eastAsia" w:ascii="仿宋_GB2312" w:hAnsi="宋体" w:eastAsia="仿宋_GB2312"/>
          <w:sz w:val="32"/>
          <w:szCs w:val="32"/>
        </w:rPr>
        <w:t>没收商标侵权商品</w:t>
      </w:r>
      <w:r>
        <w:rPr>
          <w:rFonts w:hint="eastAsia" w:ascii="仿宋_GB2312" w:hAnsi="宋体" w:eastAsia="仿宋_GB2312"/>
          <w:b w:val="0"/>
          <w:bCs w:val="0"/>
          <w:sz w:val="32"/>
          <w:szCs w:val="32"/>
          <w:lang w:val="en-US" w:eastAsia="zh-CN"/>
        </w:rPr>
        <w:t>4块</w:t>
      </w:r>
      <w:r>
        <w:rPr>
          <w:rFonts w:hint="eastAsia" w:ascii="仿宋_GB2312" w:hAnsi="仿宋_GB2312" w:eastAsia="仿宋_GB2312" w:cs="仿宋_GB2312"/>
          <w:color w:val="000000"/>
          <w:sz w:val="32"/>
          <w:szCs w:val="32"/>
          <w:lang w:val="en-US" w:eastAsia="zh-CN"/>
        </w:rPr>
        <w:t>“舒肤佳</w:t>
      </w:r>
      <w:r>
        <w:rPr>
          <w:rFonts w:hint="eastAsia" w:ascii="仿宋_GB2312" w:hAnsi="仿宋_GB2312" w:eastAsia="仿宋_GB2312" w:cs="仿宋_GB2312"/>
          <w:color w:val="000000"/>
          <w:sz w:val="32"/>
          <w:szCs w:val="32"/>
          <w:vertAlign w:val="superscript"/>
          <w:lang w:val="en-US" w:eastAsia="zh-CN"/>
        </w:rPr>
        <w:t>®</w:t>
      </w:r>
      <w:r>
        <w:rPr>
          <w:rFonts w:hint="eastAsia" w:ascii="仿宋_GB2312" w:hAnsi="仿宋_GB2312" w:eastAsia="仿宋_GB2312" w:cs="仿宋_GB2312"/>
          <w:color w:val="000000"/>
          <w:sz w:val="32"/>
          <w:szCs w:val="32"/>
          <w:lang w:val="en-US" w:eastAsia="zh-CN"/>
        </w:rPr>
        <w:t>”牌香皂</w:t>
      </w:r>
      <w:r>
        <w:rPr>
          <w:rFonts w:hint="eastAsia" w:ascii="仿宋_GB2312" w:hAnsi="宋体" w:eastAsia="仿宋_GB2312"/>
          <w:color w:val="000000"/>
          <w:sz w:val="32"/>
          <w:szCs w:val="32"/>
        </w:rPr>
        <w:t xml:space="preserve">；    </w:t>
      </w:r>
    </w:p>
    <w:p>
      <w:pPr>
        <w:keepNext w:val="0"/>
        <w:keepLines w:val="0"/>
        <w:pageBreakBefore w:val="0"/>
        <w:widowControl w:val="0"/>
        <w:numPr>
          <w:ilvl w:val="0"/>
          <w:numId w:val="3"/>
        </w:numPr>
        <w:kinsoku/>
        <w:wordWrap w:val="0"/>
        <w:overflowPunct/>
        <w:topLinePunct w:val="0"/>
        <w:autoSpaceDE/>
        <w:autoSpaceDN/>
        <w:bidi w:val="0"/>
        <w:adjustRightInd/>
        <w:snapToGrid/>
        <w:spacing w:line="480" w:lineRule="exact"/>
        <w:ind w:firstLine="640" w:firstLineChars="200"/>
        <w:jc w:val="both"/>
        <w:textAlignment w:val="auto"/>
        <w:rPr>
          <w:rFonts w:ascii="仿宋_GB2312" w:hAnsi="宋体" w:eastAsia="仿宋_GB2312"/>
          <w:color w:val="000000"/>
          <w:sz w:val="32"/>
          <w:szCs w:val="32"/>
        </w:rPr>
      </w:pPr>
      <w:r>
        <w:rPr>
          <w:rFonts w:hint="eastAsia" w:ascii="仿宋_GB2312" w:hAnsi="宋体" w:eastAsia="仿宋_GB2312"/>
          <w:sz w:val="32"/>
          <w:szCs w:val="32"/>
        </w:rPr>
        <w:t>没收</w:t>
      </w:r>
      <w:r>
        <w:rPr>
          <w:rFonts w:hint="eastAsia" w:ascii="仿宋_GB2312" w:hAnsi="宋体" w:eastAsia="仿宋_GB2312"/>
          <w:sz w:val="32"/>
          <w:szCs w:val="32"/>
          <w:lang w:eastAsia="zh-CN"/>
        </w:rPr>
        <w:t>违法所得</w:t>
      </w:r>
      <w:r>
        <w:rPr>
          <w:rFonts w:hint="eastAsia" w:ascii="仿宋_GB2312" w:hAnsi="宋体" w:eastAsia="仿宋_GB2312"/>
          <w:sz w:val="32"/>
          <w:szCs w:val="32"/>
          <w:lang w:val="en-US" w:eastAsia="zh-CN"/>
        </w:rPr>
        <w:t>34.00元</w:t>
      </w:r>
      <w:r>
        <w:rPr>
          <w:rFonts w:hint="eastAsia" w:ascii="仿宋_GB2312" w:hAnsi="宋体" w:eastAsia="仿宋_GB2312"/>
          <w:color w:val="000000"/>
          <w:sz w:val="32"/>
          <w:szCs w:val="32"/>
        </w:rPr>
        <w:t>；</w:t>
      </w:r>
    </w:p>
    <w:p>
      <w:pPr>
        <w:keepNext w:val="0"/>
        <w:keepLines w:val="0"/>
        <w:pageBreakBefore w:val="0"/>
        <w:widowControl w:val="0"/>
        <w:numPr>
          <w:ilvl w:val="0"/>
          <w:numId w:val="3"/>
        </w:numPr>
        <w:kinsoku/>
        <w:wordWrap w:val="0"/>
        <w:overflowPunct/>
        <w:topLinePunct w:val="0"/>
        <w:autoSpaceDE/>
        <w:autoSpaceDN/>
        <w:bidi w:val="0"/>
        <w:adjustRightInd/>
        <w:snapToGrid/>
        <w:spacing w:line="480" w:lineRule="exact"/>
        <w:ind w:left="0" w:leftChars="0" w:firstLine="640" w:firstLineChars="20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罚款人民币</w:t>
      </w:r>
      <w:r>
        <w:rPr>
          <w:rFonts w:hint="eastAsia" w:ascii="仿宋_GB2312" w:hAnsi="宋体" w:eastAsia="仿宋_GB2312"/>
          <w:color w:val="000000"/>
          <w:sz w:val="32"/>
          <w:szCs w:val="32"/>
          <w:lang w:val="en-US" w:eastAsia="zh-CN"/>
        </w:rPr>
        <w:t>500.00</w:t>
      </w:r>
      <w:r>
        <w:rPr>
          <w:rFonts w:hint="eastAsia" w:ascii="仿宋_GB2312" w:hAnsi="宋体" w:eastAsia="仿宋_GB2312"/>
          <w:color w:val="000000"/>
          <w:sz w:val="32"/>
          <w:szCs w:val="32"/>
        </w:rPr>
        <w:t>元。</w:t>
      </w:r>
    </w:p>
    <w:p>
      <w:pPr>
        <w:keepNext w:val="0"/>
        <w:keepLines w:val="0"/>
        <w:pageBreakBefore w:val="0"/>
        <w:widowControl w:val="0"/>
        <w:kinsoku/>
        <w:wordWrap w:val="0"/>
        <w:overflowPunct/>
        <w:topLinePunct/>
        <w:autoSpaceDE/>
        <w:autoSpaceDN/>
        <w:bidi w:val="0"/>
        <w:adjustRightInd/>
        <w:snapToGrid/>
        <w:spacing w:line="520" w:lineRule="exact"/>
        <w:ind w:firstLine="640" w:firstLineChars="200"/>
        <w:jc w:val="both"/>
        <w:textAlignment w:val="auto"/>
        <w:rPr>
          <w:rFonts w:hint="eastAsia" w:ascii="仿宋_GB2312" w:hAnsi="宋体" w:eastAsia="仿宋_GB2312"/>
          <w:color w:val="000000"/>
          <w:sz w:val="32"/>
          <w:szCs w:val="32"/>
        </w:rPr>
      </w:pPr>
      <w:r>
        <w:rPr>
          <w:rFonts w:hint="eastAsia" w:ascii="Times New Roman" w:hAnsi="Times New Roman" w:eastAsia="仿宋_GB2312"/>
          <w:color w:val="000000"/>
          <w:sz w:val="32"/>
          <w:szCs w:val="32"/>
        </w:rPr>
        <w:t>当事人应当</w:t>
      </w:r>
      <w:r>
        <w:rPr>
          <w:rFonts w:hint="eastAsia" w:ascii="Times New Roman" w:hAnsi="Times New Roman" w:eastAsia="仿宋_GB2312"/>
          <w:sz w:val="32"/>
          <w:szCs w:val="32"/>
        </w:rPr>
        <w:t>于收到本决定书之日起十五日内将罚没款缴到中国农业银行股份有限公司淮南分行（地址：淮南市田家庵区龙湖南路；收款单位：淮南市田家庵区财政局；账号：12609001040020813）。逾期不缴纳罚款的，根据《中华人民共和国行政处罚法》第七十二条第（一）项的规定，每日按罚款数额的百分之三加处罚款，并将依法申请人民法院强制执行</w:t>
      </w:r>
      <w:r>
        <w:rPr>
          <w:rFonts w:hint="eastAsia" w:ascii="Times New Roman" w:hAnsi="Times New Roman" w:eastAsia="仿宋_GB2312"/>
          <w:sz w:val="32"/>
          <w:szCs w:val="32"/>
          <w:lang w:eastAsia="zh-CN"/>
        </w:rPr>
        <w:t>。</w:t>
      </w:r>
    </w:p>
    <w:p>
      <w:pPr>
        <w:keepNext w:val="0"/>
        <w:keepLines w:val="0"/>
        <w:pageBreakBefore w:val="0"/>
        <w:widowControl w:val="0"/>
        <w:kinsoku/>
        <w:wordWrap w:val="0"/>
        <w:overflowPunct/>
        <w:topLinePunct/>
        <w:autoSpaceDE/>
        <w:autoSpaceDN/>
        <w:bidi w:val="0"/>
        <w:adjustRightInd/>
        <w:snapToGrid/>
        <w:spacing w:line="4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000000"/>
          <w:sz w:val="32"/>
          <w:szCs w:val="32"/>
          <w:lang w:eastAsia="zh-CN"/>
        </w:rPr>
        <w:t>当事人如</w:t>
      </w:r>
      <w:r>
        <w:rPr>
          <w:rFonts w:hint="eastAsia" w:ascii="Times New Roman" w:hAnsi="Times New Roman" w:eastAsia="仿宋_GB2312" w:cs="仿宋_GB2312"/>
          <w:color w:val="000000"/>
          <w:sz w:val="32"/>
          <w:szCs w:val="32"/>
        </w:rPr>
        <w:t>不服本</w:t>
      </w:r>
      <w:r>
        <w:rPr>
          <w:rFonts w:hint="eastAsia" w:eastAsia="仿宋_GB2312" w:cs="仿宋_GB2312"/>
          <w:color w:val="000000"/>
          <w:sz w:val="32"/>
          <w:szCs w:val="32"/>
          <w:lang w:eastAsia="zh-CN"/>
        </w:rPr>
        <w:t>不予</w:t>
      </w:r>
      <w:r>
        <w:rPr>
          <w:rFonts w:hint="eastAsia" w:ascii="Times New Roman" w:hAnsi="Times New Roman" w:eastAsia="仿宋_GB2312" w:cs="仿宋_GB2312"/>
          <w:color w:val="000000"/>
          <w:sz w:val="32"/>
          <w:szCs w:val="32"/>
        </w:rPr>
        <w:t>行政处罚决定，可在收到本</w:t>
      </w:r>
      <w:r>
        <w:rPr>
          <w:rFonts w:hint="eastAsia" w:ascii="Times New Roman" w:hAnsi="Times New Roman" w:eastAsia="仿宋_GB2312" w:cs="仿宋_GB2312"/>
          <w:color w:val="000000"/>
          <w:sz w:val="32"/>
          <w:szCs w:val="32"/>
          <w:lang w:eastAsia="zh-CN"/>
        </w:rPr>
        <w:t>不予</w:t>
      </w:r>
      <w:r>
        <w:rPr>
          <w:rFonts w:hint="eastAsia" w:ascii="Times New Roman" w:hAnsi="Times New Roman" w:eastAsia="仿宋_GB2312" w:cs="仿宋_GB2312"/>
          <w:color w:val="000000"/>
          <w:sz w:val="32"/>
          <w:szCs w:val="32"/>
        </w:rPr>
        <w:t>处罚决定书之日起六十日内向淮南市人民政府申请复议</w:t>
      </w:r>
      <w:r>
        <w:rPr>
          <w:rFonts w:hint="eastAsia"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也可在六个月内向田家庵区人民法院提起诉讼。申请行政复议或者提起行政诉讼期间，行政处罚不停止执行</w:t>
      </w:r>
      <w:r>
        <w:rPr>
          <w:rFonts w:hint="eastAsia" w:ascii="Times New Roman" w:hAnsi="Times New Roman" w:eastAsia="仿宋_GB2312" w:cs="仿宋_GB2312"/>
          <w:color w:val="000000"/>
          <w:sz w:val="32"/>
          <w:szCs w:val="32"/>
          <w:lang w:eastAsia="zh-CN"/>
        </w:rPr>
        <w:t>。</w:t>
      </w:r>
    </w:p>
    <w:p>
      <w:pPr>
        <w:pStyle w:val="5"/>
        <w:keepNext w:val="0"/>
        <w:keepLines w:val="0"/>
        <w:pageBreakBefore w:val="0"/>
        <w:kinsoku/>
        <w:autoSpaceDE/>
        <w:autoSpaceDN/>
        <w:bidi w:val="0"/>
        <w:spacing w:line="480" w:lineRule="exact"/>
        <w:textAlignment w:val="auto"/>
        <w:rPr>
          <w:rFonts w:hint="eastAsia" w:ascii="Times New Roman" w:hAnsi="Times New Roman"/>
          <w:sz w:val="32"/>
          <w:szCs w:val="32"/>
        </w:rPr>
      </w:pPr>
    </w:p>
    <w:p>
      <w:pPr>
        <w:keepNext w:val="0"/>
        <w:keepLines w:val="0"/>
        <w:pageBreakBefore w:val="0"/>
        <w:widowControl w:val="0"/>
        <w:kinsoku/>
        <w:overflowPunct/>
        <w:topLinePunct/>
        <w:autoSpaceDE/>
        <w:autoSpaceDN/>
        <w:bidi w:val="0"/>
        <w:adjustRightInd/>
        <w:snapToGrid/>
        <w:spacing w:line="480" w:lineRule="exact"/>
        <w:ind w:firstLine="3520" w:firstLineChars="1100"/>
        <w:jc w:val="both"/>
        <w:textAlignment w:val="auto"/>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 xml:space="preserve">         淮南市市场监督管理局</w:t>
      </w:r>
    </w:p>
    <w:p>
      <w:pPr>
        <w:keepNext w:val="0"/>
        <w:keepLines w:val="0"/>
        <w:pageBreakBefore w:val="0"/>
        <w:widowControl w:val="0"/>
        <w:kinsoku/>
        <w:wordWrap w:val="0"/>
        <w:overflowPunct/>
        <w:topLinePunct/>
        <w:autoSpaceDE/>
        <w:autoSpaceDN/>
        <w:bidi w:val="0"/>
        <w:adjustRightInd/>
        <w:snapToGrid/>
        <w:spacing w:line="480" w:lineRule="exact"/>
        <w:ind w:firstLine="4800" w:firstLineChars="1500"/>
        <w:jc w:val="both"/>
        <w:textAlignment w:val="auto"/>
        <w:rPr>
          <w:rFonts w:hint="default" w:ascii="Times New Roman" w:hAnsi="Times New Roman" w:eastAsia="仿宋_GB2312" w:cs="仿宋_GB2312"/>
          <w:bCs/>
          <w:sz w:val="32"/>
          <w:szCs w:val="32"/>
          <w:lang w:val="en-US" w:eastAsia="zh-CN"/>
        </w:rPr>
      </w:pPr>
      <w:r>
        <w:rPr>
          <w:rFonts w:hint="eastAsia" w:ascii="Times New Roman" w:hAnsi="Times New Roman" w:eastAsia="仿宋_GB2312" w:cs="仿宋_GB2312"/>
          <w:bCs/>
          <w:color w:val="auto"/>
          <w:sz w:val="32"/>
          <w:szCs w:val="32"/>
        </w:rPr>
        <w:t xml:space="preserve">  </w:t>
      </w:r>
      <w:r>
        <w:rPr>
          <w:rFonts w:hint="eastAsia" w:ascii="Times New Roman" w:hAnsi="Times New Roman" w:eastAsia="仿宋_GB2312" w:cs="仿宋_GB2312"/>
          <w:bCs/>
          <w:color w:val="auto"/>
          <w:sz w:val="32"/>
          <w:szCs w:val="32"/>
          <w:lang w:val="en-US" w:eastAsia="zh-CN"/>
        </w:rPr>
        <w:t xml:space="preserve"> 2025</w:t>
      </w:r>
      <w:r>
        <w:rPr>
          <w:rFonts w:hint="eastAsia" w:ascii="Times New Roman" w:hAnsi="Times New Roman" w:eastAsia="仿宋_GB2312" w:cs="仿宋_GB2312"/>
          <w:bCs/>
          <w:color w:val="auto"/>
          <w:sz w:val="32"/>
          <w:szCs w:val="32"/>
        </w:rPr>
        <w:t>年</w:t>
      </w:r>
      <w:r>
        <w:rPr>
          <w:rFonts w:hint="eastAsia" w:eastAsia="仿宋_GB2312" w:cs="仿宋_GB2312"/>
          <w:bCs/>
          <w:color w:val="auto"/>
          <w:sz w:val="32"/>
          <w:szCs w:val="32"/>
          <w:lang w:val="en-US" w:eastAsia="zh-CN"/>
        </w:rPr>
        <w:t>6</w:t>
      </w:r>
      <w:r>
        <w:rPr>
          <w:rFonts w:hint="eastAsia" w:ascii="Times New Roman" w:hAnsi="Times New Roman" w:eastAsia="仿宋_GB2312" w:cs="仿宋_GB2312"/>
          <w:bCs/>
          <w:color w:val="auto"/>
          <w:sz w:val="32"/>
          <w:szCs w:val="32"/>
        </w:rPr>
        <w:t>月</w:t>
      </w:r>
      <w:r>
        <w:rPr>
          <w:rFonts w:hint="eastAsia" w:eastAsia="仿宋_GB2312" w:cs="仿宋_GB2312"/>
          <w:bCs/>
          <w:color w:val="auto"/>
          <w:sz w:val="32"/>
          <w:szCs w:val="32"/>
          <w:lang w:val="en-US" w:eastAsia="zh-CN"/>
        </w:rPr>
        <w:t>20</w:t>
      </w:r>
      <w:r>
        <w:rPr>
          <w:rFonts w:hint="eastAsia" w:ascii="Times New Roman" w:hAnsi="Times New Roman" w:eastAsia="仿宋_GB2312" w:cs="仿宋_GB2312"/>
          <w:bCs/>
          <w:color w:val="auto"/>
          <w:sz w:val="32"/>
          <w:szCs w:val="32"/>
        </w:rPr>
        <w:t>日</w:t>
      </w:r>
    </w:p>
    <w:p>
      <w:pPr>
        <w:pStyle w:val="5"/>
        <w:keepNext w:val="0"/>
        <w:keepLines w:val="0"/>
        <w:pageBreakBefore w:val="0"/>
        <w:kinsoku/>
        <w:autoSpaceDE/>
        <w:autoSpaceDN/>
        <w:bidi w:val="0"/>
        <w:spacing w:line="480" w:lineRule="exact"/>
        <w:ind w:left="0" w:leftChars="0" w:firstLine="0" w:firstLineChars="0"/>
        <w:textAlignment w:val="auto"/>
        <w:rPr>
          <w:rFonts w:hint="eastAsia" w:ascii="Times New Roman" w:hAnsi="Times New Roman" w:eastAsia="仿宋_GB2312" w:cs="仿宋_GB2312"/>
          <w:bCs/>
          <w:sz w:val="32"/>
          <w:szCs w:val="32"/>
        </w:rPr>
      </w:pPr>
    </w:p>
    <w:p>
      <w:pPr>
        <w:keepNext w:val="0"/>
        <w:keepLines w:val="0"/>
        <w:pageBreakBefore w:val="0"/>
        <w:widowControl/>
        <w:tabs>
          <w:tab w:val="left" w:pos="7560"/>
        </w:tabs>
        <w:kinsoku/>
        <w:wordWrap/>
        <w:overflowPunct/>
        <w:topLinePunct w:val="0"/>
        <w:autoSpaceDE/>
        <w:autoSpaceDN/>
        <w:bidi w:val="0"/>
        <w:adjustRightInd/>
        <w:snapToGrid w:val="0"/>
        <w:spacing w:line="480" w:lineRule="exact"/>
        <w:ind w:right="-313" w:rightChars="0"/>
        <w:jc w:val="center"/>
        <w:textAlignment w:val="auto"/>
        <w:rPr>
          <w:rFonts w:hint="eastAsia" w:ascii="Times New Roman" w:hAnsi="Times New Roman" w:eastAsia="黑体"/>
          <w:color w:val="231F20"/>
          <w:spacing w:val="0"/>
          <w:sz w:val="32"/>
          <w:szCs w:val="32"/>
        </w:rPr>
      </w:pPr>
      <w:r>
        <w:rPr>
          <w:rFonts w:hint="eastAsia" w:ascii="Times New Roman" w:hAnsi="Times New Roman" w:eastAsia="黑体"/>
          <w:color w:val="231F20"/>
          <w:spacing w:val="0"/>
          <w:sz w:val="32"/>
          <w:szCs w:val="32"/>
        </w:rPr>
        <w:t>（市场监督管理部门将依法向社会</w:t>
      </w:r>
      <w:r>
        <w:rPr>
          <w:rFonts w:hint="eastAsia" w:ascii="Times New Roman" w:hAnsi="Times New Roman" w:eastAsia="黑体"/>
          <w:color w:val="231F20"/>
          <w:spacing w:val="0"/>
          <w:sz w:val="32"/>
          <w:szCs w:val="32"/>
          <w:lang w:eastAsia="zh-CN"/>
        </w:rPr>
        <w:t>公开行政处罚决定信息</w:t>
      </w:r>
      <w:r>
        <w:rPr>
          <w:rFonts w:hint="eastAsia" w:ascii="Times New Roman" w:hAnsi="Times New Roman" w:eastAsia="黑体"/>
          <w:color w:val="231F20"/>
          <w:spacing w:val="0"/>
          <w:sz w:val="32"/>
          <w:szCs w:val="32"/>
        </w:rPr>
        <w:t>）</w:t>
      </w:r>
    </w:p>
    <w:p>
      <w:pPr>
        <w:keepNext w:val="0"/>
        <w:keepLines w:val="0"/>
        <w:pageBreakBefore w:val="0"/>
        <w:kinsoku/>
        <w:wordWrap w:val="0"/>
        <w:overflowPunct/>
        <w:topLinePunct w:val="0"/>
        <w:autoSpaceDE/>
        <w:autoSpaceDN/>
        <w:bidi w:val="0"/>
        <w:adjustRightInd/>
        <w:spacing w:line="480" w:lineRule="exact"/>
        <w:ind w:right="-313" w:rightChars="-149"/>
        <w:jc w:val="center"/>
        <w:textAlignment w:val="auto"/>
        <w:rPr>
          <w:rFonts w:hint="eastAsia" w:ascii="Times New Roman" w:hAnsi="Times New Roman" w:eastAsia="仿宋_GB2312" w:cs="Mongolian Baiti"/>
          <w:bCs/>
          <w:spacing w:val="0"/>
          <w:sz w:val="32"/>
          <w:szCs w:val="32"/>
          <w:u w:val="none"/>
        </w:rPr>
      </w:pPr>
      <w:r>
        <w:rPr>
          <w:rFonts w:ascii="Times New Roman" w:hAnsi="Times New Roman" w:eastAsia="仿宋_GB2312"/>
          <w:spacing w:val="0"/>
          <w:sz w:val="32"/>
          <w:u w:val="none"/>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10795</wp:posOffset>
                </wp:positionV>
                <wp:extent cx="5550535" cy="635"/>
                <wp:effectExtent l="0" t="7620" r="12065" b="14605"/>
                <wp:wrapNone/>
                <wp:docPr id="2" name="直线 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25pt;margin-top:0.85pt;height:0.05pt;width:437.05pt;z-index:251660288;mso-width-relative:page;mso-height-relative:page;" filled="f" stroked="t" coordsize="21600,21600" o:gfxdata="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A8b+zUAAAA&#10;BgEAAA8AAAAAAAAAAQAgAAAAIgAAAGRycy9kb3ducmV2LnhtbFBLAQIUABQAAAAIAIdO4kAVPd2d&#10;6AEAAN4DAAAOAAAAAAAAAAEAIAAAACMBAABkcnMvZTJvRG9jLnhtbFBLBQYAAAAABgAGAFkBAAB9&#10;BQ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pacing w:val="0"/>
          <w:sz w:val="32"/>
          <w:szCs w:val="32"/>
          <w:u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图像2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图像25"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L&#10;7/OR1wAAAAoBAAAPAAAAAAAAAAEAIAAAACIAAABkcnMvZG93bnJldi54bWxQSwECFAAUAAAACACH&#10;TuJA86HIVOwBAADcAwAADgAAAAAAAAABACAAAAAmAQAAZHJzL2Uyb0RvYy54bWxQSwUGAAAAAAYA&#10;BgBZAQAAhA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pacing w:val="0"/>
          <w:sz w:val="32"/>
          <w:szCs w:val="32"/>
          <w:u w:val="none"/>
        </w:rPr>
        <w:t>本文书一式</w:t>
      </w:r>
      <w:r>
        <w:rPr>
          <w:rFonts w:hint="eastAsia" w:ascii="Times New Roman" w:hAnsi="Times New Roman" w:eastAsia="仿宋_GB2312" w:cs="仿宋"/>
          <w:color w:val="000000"/>
          <w:spacing w:val="0"/>
          <w:sz w:val="32"/>
          <w:szCs w:val="32"/>
          <w:u w:val="none"/>
          <w:lang w:eastAsia="zh-CN"/>
        </w:rPr>
        <w:t>二</w:t>
      </w:r>
      <w:r>
        <w:rPr>
          <w:rFonts w:hint="eastAsia" w:ascii="Times New Roman" w:hAnsi="Times New Roman" w:eastAsia="仿宋_GB2312" w:cs="仿宋"/>
          <w:color w:val="000000"/>
          <w:spacing w:val="0"/>
          <w:sz w:val="32"/>
          <w:szCs w:val="32"/>
          <w:u w:val="none"/>
        </w:rPr>
        <w:t>份，</w:t>
      </w:r>
      <w:r>
        <w:rPr>
          <w:rFonts w:hint="eastAsia" w:ascii="Times New Roman" w:hAnsi="Times New Roman" w:eastAsia="仿宋_GB2312" w:cs="仿宋"/>
          <w:color w:val="000000"/>
          <w:spacing w:val="0"/>
          <w:sz w:val="32"/>
          <w:szCs w:val="32"/>
          <w:u w:val="none"/>
          <w:lang w:eastAsia="zh-CN"/>
        </w:rPr>
        <w:t>一</w:t>
      </w:r>
      <w:r>
        <w:rPr>
          <w:rFonts w:hint="eastAsia" w:ascii="Times New Roman" w:hAnsi="Times New Roman" w:eastAsia="仿宋_GB2312" w:cs="仿宋"/>
          <w:color w:val="000000"/>
          <w:spacing w:val="0"/>
          <w:sz w:val="32"/>
          <w:szCs w:val="32"/>
          <w:u w:val="none"/>
        </w:rPr>
        <w:t>份送达，</w:t>
      </w:r>
      <w:r>
        <w:rPr>
          <w:rFonts w:hint="eastAsia" w:ascii="Times New Roman" w:hAnsi="Times New Roman" w:eastAsia="仿宋_GB2312" w:cs="仿宋"/>
          <w:color w:val="000000"/>
          <w:spacing w:val="0"/>
          <w:sz w:val="32"/>
          <w:szCs w:val="32"/>
          <w:u w:val="none"/>
          <w:lang w:eastAsia="zh-CN"/>
        </w:rPr>
        <w:t>一份归档</w:t>
      </w:r>
      <w:r>
        <w:rPr>
          <w:rFonts w:hint="eastAsia" w:ascii="Times New Roman" w:hAnsi="Times New Roman" w:eastAsia="仿宋_GB2312" w:cs="仿宋"/>
          <w:color w:val="000000"/>
          <w:spacing w:val="0"/>
          <w:sz w:val="32"/>
          <w:szCs w:val="32"/>
          <w:u w:val="none"/>
        </w:rPr>
        <w:t>，</w:t>
      </w:r>
      <w:r>
        <w:rPr>
          <w:rFonts w:hint="eastAsia" w:ascii="Times New Roman" w:hAnsi="Times New Roman" w:eastAsia="仿宋_GB2312" w:cs="仿宋"/>
          <w:color w:val="000000"/>
          <w:spacing w:val="0"/>
          <w:sz w:val="32"/>
          <w:szCs w:val="32"/>
          <w:u w:val="none"/>
          <w:lang w:eastAsia="zh-CN"/>
        </w:rPr>
        <w:t>由办案机构留存。</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Segoe Print"/>
    <w:panose1 w:val="02040503050203030202"/>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96E22E"/>
    <w:multiLevelType w:val="singleLevel"/>
    <w:tmpl w:val="E496E22E"/>
    <w:lvl w:ilvl="0" w:tentative="0">
      <w:start w:val="1"/>
      <w:numFmt w:val="chineseCounting"/>
      <w:suff w:val="nothing"/>
      <w:lvlText w:val="%1、"/>
      <w:lvlJc w:val="left"/>
      <w:rPr>
        <w:rFonts w:hint="eastAsia"/>
      </w:rPr>
    </w:lvl>
  </w:abstractNum>
  <w:abstractNum w:abstractNumId="1">
    <w:nsid w:val="0000000A"/>
    <w:multiLevelType w:val="multilevel"/>
    <w:tmpl w:val="0000000A"/>
    <w:lvl w:ilvl="0" w:tentative="0">
      <w:start w:val="1"/>
      <w:numFmt w:val="none"/>
      <w:pStyle w:val="4"/>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63B370ED"/>
    <w:multiLevelType w:val="singleLevel"/>
    <w:tmpl w:val="63B370ED"/>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ZTI3YmUyY2FmZWE2NGRjMjlmNmEwYTU5ZWFiZWUifQ=="/>
    <w:docVar w:name="KSO_WPS_MARK_KEY" w:val="99ea6cf2-c3f4-48b0-9a1f-fb8b6f703347"/>
  </w:docVars>
  <w:rsids>
    <w:rsidRoot w:val="00094473"/>
    <w:rsid w:val="00094473"/>
    <w:rsid w:val="000F0415"/>
    <w:rsid w:val="00196A4C"/>
    <w:rsid w:val="001E527E"/>
    <w:rsid w:val="00221E4C"/>
    <w:rsid w:val="002E7066"/>
    <w:rsid w:val="003A0DEB"/>
    <w:rsid w:val="003D25F3"/>
    <w:rsid w:val="003D30C2"/>
    <w:rsid w:val="003D5204"/>
    <w:rsid w:val="0042254C"/>
    <w:rsid w:val="004A156F"/>
    <w:rsid w:val="00515BD1"/>
    <w:rsid w:val="00571C67"/>
    <w:rsid w:val="005D3D1F"/>
    <w:rsid w:val="00637F79"/>
    <w:rsid w:val="006476C4"/>
    <w:rsid w:val="006A04BA"/>
    <w:rsid w:val="006B7E7C"/>
    <w:rsid w:val="007B1B9C"/>
    <w:rsid w:val="0081434C"/>
    <w:rsid w:val="008554D2"/>
    <w:rsid w:val="008632C9"/>
    <w:rsid w:val="00931A06"/>
    <w:rsid w:val="009C2E48"/>
    <w:rsid w:val="009C6AB9"/>
    <w:rsid w:val="00AA0596"/>
    <w:rsid w:val="00AA5FAB"/>
    <w:rsid w:val="00B75120"/>
    <w:rsid w:val="00BA5E27"/>
    <w:rsid w:val="00BF16AD"/>
    <w:rsid w:val="00C9254B"/>
    <w:rsid w:val="00CC612E"/>
    <w:rsid w:val="00DD312F"/>
    <w:rsid w:val="00DE4BEA"/>
    <w:rsid w:val="00DF26E3"/>
    <w:rsid w:val="00E358D8"/>
    <w:rsid w:val="00E77F3D"/>
    <w:rsid w:val="00E81F4B"/>
    <w:rsid w:val="00EA588F"/>
    <w:rsid w:val="00FB7C24"/>
    <w:rsid w:val="00FC1BE2"/>
    <w:rsid w:val="01505245"/>
    <w:rsid w:val="015D2961"/>
    <w:rsid w:val="01896978"/>
    <w:rsid w:val="02320C03"/>
    <w:rsid w:val="02744A71"/>
    <w:rsid w:val="027D3BC1"/>
    <w:rsid w:val="048B09E1"/>
    <w:rsid w:val="04EF2814"/>
    <w:rsid w:val="05A52204"/>
    <w:rsid w:val="06A63D7F"/>
    <w:rsid w:val="06E84752"/>
    <w:rsid w:val="07D0027A"/>
    <w:rsid w:val="08990182"/>
    <w:rsid w:val="0C156B94"/>
    <w:rsid w:val="0C926F38"/>
    <w:rsid w:val="0CEE438E"/>
    <w:rsid w:val="0D3C17C4"/>
    <w:rsid w:val="0D8B30AB"/>
    <w:rsid w:val="0EA50FA2"/>
    <w:rsid w:val="100D2663"/>
    <w:rsid w:val="10206C1E"/>
    <w:rsid w:val="104E18DD"/>
    <w:rsid w:val="12AB706F"/>
    <w:rsid w:val="12D00908"/>
    <w:rsid w:val="167844F2"/>
    <w:rsid w:val="16A1439D"/>
    <w:rsid w:val="1752531F"/>
    <w:rsid w:val="1A3140B7"/>
    <w:rsid w:val="1B495A57"/>
    <w:rsid w:val="1C057C70"/>
    <w:rsid w:val="200559ED"/>
    <w:rsid w:val="20B41BC5"/>
    <w:rsid w:val="222C6F6C"/>
    <w:rsid w:val="233C0857"/>
    <w:rsid w:val="23967A17"/>
    <w:rsid w:val="23A41537"/>
    <w:rsid w:val="25B17B00"/>
    <w:rsid w:val="26FC3DE6"/>
    <w:rsid w:val="270F6563"/>
    <w:rsid w:val="2767499D"/>
    <w:rsid w:val="279466C1"/>
    <w:rsid w:val="27C824AF"/>
    <w:rsid w:val="28272580"/>
    <w:rsid w:val="29193C04"/>
    <w:rsid w:val="29915BC4"/>
    <w:rsid w:val="2B6E241F"/>
    <w:rsid w:val="2BA42D2F"/>
    <w:rsid w:val="2D59301E"/>
    <w:rsid w:val="30943796"/>
    <w:rsid w:val="30F64EBA"/>
    <w:rsid w:val="31D01A7E"/>
    <w:rsid w:val="329E0D72"/>
    <w:rsid w:val="332D6D58"/>
    <w:rsid w:val="33CF591B"/>
    <w:rsid w:val="344F4295"/>
    <w:rsid w:val="3472305D"/>
    <w:rsid w:val="36701F4A"/>
    <w:rsid w:val="36F92B1E"/>
    <w:rsid w:val="38D53522"/>
    <w:rsid w:val="38FE54A9"/>
    <w:rsid w:val="395571D4"/>
    <w:rsid w:val="3A736D0E"/>
    <w:rsid w:val="3B2E18AA"/>
    <w:rsid w:val="3B320A63"/>
    <w:rsid w:val="40165B2A"/>
    <w:rsid w:val="41970CA5"/>
    <w:rsid w:val="432D72DE"/>
    <w:rsid w:val="46DE284D"/>
    <w:rsid w:val="47D76160"/>
    <w:rsid w:val="48B92A6C"/>
    <w:rsid w:val="49197229"/>
    <w:rsid w:val="4975798F"/>
    <w:rsid w:val="49B128B4"/>
    <w:rsid w:val="49C12C78"/>
    <w:rsid w:val="4A49343D"/>
    <w:rsid w:val="4A652A89"/>
    <w:rsid w:val="4B696421"/>
    <w:rsid w:val="4BA65858"/>
    <w:rsid w:val="4DE561C7"/>
    <w:rsid w:val="4E840B76"/>
    <w:rsid w:val="4EE43E21"/>
    <w:rsid w:val="4F9954BB"/>
    <w:rsid w:val="50955230"/>
    <w:rsid w:val="511D1789"/>
    <w:rsid w:val="53123753"/>
    <w:rsid w:val="5578191C"/>
    <w:rsid w:val="56453FAB"/>
    <w:rsid w:val="56AC43B9"/>
    <w:rsid w:val="590C2C90"/>
    <w:rsid w:val="59205004"/>
    <w:rsid w:val="59623196"/>
    <w:rsid w:val="59C96098"/>
    <w:rsid w:val="5A0C09A5"/>
    <w:rsid w:val="5A61576C"/>
    <w:rsid w:val="5C1F6554"/>
    <w:rsid w:val="5C241342"/>
    <w:rsid w:val="5C3451BA"/>
    <w:rsid w:val="5CA447F7"/>
    <w:rsid w:val="5EB961BE"/>
    <w:rsid w:val="5EC54A0E"/>
    <w:rsid w:val="5F076B1B"/>
    <w:rsid w:val="6135681A"/>
    <w:rsid w:val="616C7003"/>
    <w:rsid w:val="6275556D"/>
    <w:rsid w:val="633966EA"/>
    <w:rsid w:val="636174F9"/>
    <w:rsid w:val="63867D42"/>
    <w:rsid w:val="63EA6129"/>
    <w:rsid w:val="678B4CA4"/>
    <w:rsid w:val="67E46123"/>
    <w:rsid w:val="682D05AC"/>
    <w:rsid w:val="69F90CE6"/>
    <w:rsid w:val="6B477A2E"/>
    <w:rsid w:val="6C574B1A"/>
    <w:rsid w:val="6CC63A7D"/>
    <w:rsid w:val="6D2376D5"/>
    <w:rsid w:val="6D2F20B2"/>
    <w:rsid w:val="6F3C7712"/>
    <w:rsid w:val="70570276"/>
    <w:rsid w:val="70C92B58"/>
    <w:rsid w:val="70CA6520"/>
    <w:rsid w:val="71250990"/>
    <w:rsid w:val="728D758D"/>
    <w:rsid w:val="73CB0020"/>
    <w:rsid w:val="74BC5CF7"/>
    <w:rsid w:val="754701AF"/>
    <w:rsid w:val="75C946D5"/>
    <w:rsid w:val="76272F74"/>
    <w:rsid w:val="76EE14BE"/>
    <w:rsid w:val="77592DB6"/>
    <w:rsid w:val="779A2A38"/>
    <w:rsid w:val="781A085E"/>
    <w:rsid w:val="78F64A8E"/>
    <w:rsid w:val="7913429B"/>
    <w:rsid w:val="79346109"/>
    <w:rsid w:val="7A0E7443"/>
    <w:rsid w:val="7C1F5263"/>
    <w:rsid w:val="7C975ADD"/>
    <w:rsid w:val="7DA120F5"/>
    <w:rsid w:val="7DDF6B22"/>
    <w:rsid w:val="7E5C5BA4"/>
    <w:rsid w:val="7EA42677"/>
    <w:rsid w:val="7ED603AA"/>
    <w:rsid w:val="7EF27A11"/>
    <w:rsid w:val="7FC62012"/>
    <w:rsid w:val="7FE92879"/>
    <w:rsid w:val="7FF831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正文格式"/>
    <w:basedOn w:val="3"/>
    <w:qFormat/>
    <w:uiPriority w:val="0"/>
    <w:pPr>
      <w:widowControl/>
      <w:adjustRightInd w:val="0"/>
      <w:snapToGrid w:val="0"/>
      <w:spacing w:line="400" w:lineRule="atLeast"/>
      <w:ind w:firstLine="482"/>
      <w:textAlignment w:val="baseline"/>
    </w:pPr>
    <w:rPr>
      <w:rFonts w:ascii="Times New Roman" w:hAnsi="Times New Roman" w:eastAsia="宋体" w:cs="Times New Roman"/>
      <w:kern w:val="0"/>
      <w:sz w:val="24"/>
    </w:rPr>
  </w:style>
  <w:style w:type="paragraph" w:styleId="3">
    <w:name w:val="Body Text"/>
    <w:basedOn w:val="1"/>
    <w:next w:val="1"/>
    <w:link w:val="12"/>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5">
    <w:name w:val="Block Text"/>
    <w:basedOn w:val="1"/>
    <w:qFormat/>
    <w:uiPriority w:val="0"/>
    <w:pPr>
      <w:spacing w:after="120" w:afterLines="0" w:afterAutospacing="0"/>
      <w:ind w:left="1440" w:leftChars="700" w:rightChars="700"/>
    </w:pPr>
  </w:style>
  <w:style w:type="paragraph" w:styleId="6">
    <w:name w:val="footer"/>
    <w:basedOn w:val="1"/>
    <w:link w:val="13"/>
    <w:unhideWhenUsed/>
    <w:qFormat/>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sz w:val="24"/>
    </w:rPr>
  </w:style>
  <w:style w:type="character" w:customStyle="1" w:styleId="11">
    <w:name w:val="标题 1 Char"/>
    <w:basedOn w:val="10"/>
    <w:link w:val="4"/>
    <w:qFormat/>
    <w:uiPriority w:val="0"/>
    <w:rPr>
      <w:rFonts w:ascii="Times New Roman" w:hAnsi="Times New Roman" w:cs="Mangal"/>
      <w:color w:val="00000A"/>
      <w:kern w:val="2"/>
      <w:sz w:val="24"/>
      <w:szCs w:val="24"/>
      <w:lang w:val="zh-CN" w:bidi="hi-IN"/>
    </w:rPr>
  </w:style>
  <w:style w:type="character" w:customStyle="1" w:styleId="12">
    <w:name w:val="正文文本 Char"/>
    <w:basedOn w:val="10"/>
    <w:link w:val="3"/>
    <w:qFormat/>
    <w:uiPriority w:val="1"/>
    <w:rPr>
      <w:rFonts w:ascii="Arial Unicode MS" w:hAnsi="Times New Roman" w:eastAsia="Arial Unicode MS" w:cs="Arial Unicode MS"/>
      <w:sz w:val="32"/>
      <w:szCs w:val="32"/>
    </w:rPr>
  </w:style>
  <w:style w:type="character" w:customStyle="1" w:styleId="13">
    <w:name w:val="页脚 Char"/>
    <w:basedOn w:val="10"/>
    <w:link w:val="6"/>
    <w:qFormat/>
    <w:uiPriority w:val="0"/>
    <w:rPr>
      <w:sz w:val="18"/>
      <w:szCs w:val="18"/>
    </w:rPr>
  </w:style>
  <w:style w:type="character" w:customStyle="1" w:styleId="14">
    <w:name w:val="页眉 Char"/>
    <w:basedOn w:val="10"/>
    <w:link w:val="7"/>
    <w:semiHidden/>
    <w:qFormat/>
    <w:uiPriority w:val="99"/>
    <w:rPr>
      <w:sz w:val="18"/>
      <w:szCs w:val="18"/>
    </w:rPr>
  </w:style>
  <w:style w:type="paragraph" w:customStyle="1" w:styleId="15">
    <w:name w:val="Table Paragraph"/>
    <w:basedOn w:val="1"/>
    <w:qFormat/>
    <w:uiPriority w:val="1"/>
    <w:pPr>
      <w:autoSpaceDE w:val="0"/>
      <w:autoSpaceDN w:val="0"/>
      <w:adjustRightInd w:val="0"/>
      <w:jc w:val="left"/>
    </w:pPr>
    <w:rPr>
      <w:rFonts w:ascii="Arial Unicode MS" w:hAnsi="Times New Roman" w:eastAsia="Arial Unicode MS" w:cs="Arial Unicode MS"/>
      <w:kern w:val="0"/>
      <w:sz w:val="24"/>
    </w:rPr>
  </w:style>
  <w:style w:type="paragraph" w:customStyle="1" w:styleId="16">
    <w:name w:val="内文"/>
    <w:basedOn w:val="17"/>
    <w:qFormat/>
    <w:uiPriority w:val="99"/>
    <w:pPr>
      <w:ind w:firstLine="567"/>
    </w:pPr>
  </w:style>
  <w:style w:type="paragraph" w:customStyle="1" w:styleId="17">
    <w:name w:val="段落样式1"/>
    <w:basedOn w:val="18"/>
    <w:qFormat/>
    <w:uiPriority w:val="99"/>
    <w:pPr>
      <w:spacing w:line="460" w:lineRule="atLeast"/>
    </w:pPr>
    <w:rPr>
      <w:sz w:val="30"/>
      <w:szCs w:val="30"/>
    </w:rPr>
  </w:style>
  <w:style w:type="paragraph" w:customStyle="1" w:styleId="18">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宋体"/>
      <w:color w:val="000000"/>
      <w:sz w:val="24"/>
      <w:szCs w:val="24"/>
      <w:lang w:val="zh-CN"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2213</Words>
  <Characters>2387</Characters>
  <Lines>12</Lines>
  <Paragraphs>3</Paragraphs>
  <TotalTime>0</TotalTime>
  <ScaleCrop>false</ScaleCrop>
  <LinksUpToDate>false</LinksUpToDate>
  <CharactersWithSpaces>2408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2019-03-29T11:48:00Z</dcterms:created>
  <dc:creator>孙苏</dc:creator>
  <dc:description>根据市场监管总局关于印发《市场监督管理行政处罚文书格式范本》的通知（国市监法〔2019〕55号）校对制作</dc:description>
  <cp:lastModifiedBy>驭兕</cp:lastModifiedBy>
  <cp:lastPrinted>2025-06-20T03:36:00Z</cp:lastPrinted>
  <dcterms:modified xsi:type="dcterms:W3CDTF">2025-07-01T09:16:47Z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7042B071A3D24597A613E162748CE72B_13</vt:lpwstr>
  </property>
  <property fmtid="{D5CDD505-2E9C-101B-9397-08002B2CF9AE}" pid="4" name="KSOTemplateDocerSaveRecord">
    <vt:lpwstr>eyJoZGlkIjoiYzJkODI5MDA3NDg4MjcxNDBjODIwYzY2Y2ExZTkxYTciLCJ1c2VySWQiOiIxNTMxNjExODQ5In0=</vt:lpwstr>
  </property>
</Properties>
</file>