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153</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当事人：李*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516为当事人李*</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11”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11</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9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0FBFD897"/>
    <w:rsid w:val="16432418"/>
    <w:rsid w:val="1E175DCC"/>
    <w:rsid w:val="1FFDFDE1"/>
    <w:rsid w:val="2A847C6C"/>
    <w:rsid w:val="379A2C2C"/>
    <w:rsid w:val="3AFF4CCD"/>
    <w:rsid w:val="3DF785AD"/>
    <w:rsid w:val="3EC5E83B"/>
    <w:rsid w:val="3EDC27B8"/>
    <w:rsid w:val="3F5D39DC"/>
    <w:rsid w:val="3FA9D951"/>
    <w:rsid w:val="3FBFD39B"/>
    <w:rsid w:val="3FD76267"/>
    <w:rsid w:val="3FFF1FE0"/>
    <w:rsid w:val="47FCA654"/>
    <w:rsid w:val="4E7BAB6F"/>
    <w:rsid w:val="4FD3B0B5"/>
    <w:rsid w:val="53F144FE"/>
    <w:rsid w:val="5757D3E6"/>
    <w:rsid w:val="5BEE301A"/>
    <w:rsid w:val="5BFB1A5F"/>
    <w:rsid w:val="5DB56177"/>
    <w:rsid w:val="5F7B98CD"/>
    <w:rsid w:val="6C7A1486"/>
    <w:rsid w:val="6DFC7644"/>
    <w:rsid w:val="6DFF6E84"/>
    <w:rsid w:val="6E9175F6"/>
    <w:rsid w:val="6FA57E00"/>
    <w:rsid w:val="6FDF1DC8"/>
    <w:rsid w:val="6FE3FEA5"/>
    <w:rsid w:val="6FFF5D1F"/>
    <w:rsid w:val="72F53F97"/>
    <w:rsid w:val="777945E8"/>
    <w:rsid w:val="77BD3C3D"/>
    <w:rsid w:val="77FF2751"/>
    <w:rsid w:val="77FF4D5F"/>
    <w:rsid w:val="77FFA6C4"/>
    <w:rsid w:val="7CC7CD55"/>
    <w:rsid w:val="7CD9D268"/>
    <w:rsid w:val="7D7185C5"/>
    <w:rsid w:val="7FAF1C3A"/>
    <w:rsid w:val="826F6524"/>
    <w:rsid w:val="8F79DFBB"/>
    <w:rsid w:val="97BE96B8"/>
    <w:rsid w:val="99B3C7ED"/>
    <w:rsid w:val="A9F95B19"/>
    <w:rsid w:val="B79E40DA"/>
    <w:rsid w:val="B7FB2B78"/>
    <w:rsid w:val="BEBF2B88"/>
    <w:rsid w:val="BFFFD801"/>
    <w:rsid w:val="CF7E98C1"/>
    <w:rsid w:val="DA5E170E"/>
    <w:rsid w:val="DEBF9371"/>
    <w:rsid w:val="DF571CDD"/>
    <w:rsid w:val="E1EF6532"/>
    <w:rsid w:val="E6771FC3"/>
    <w:rsid w:val="E6974AE8"/>
    <w:rsid w:val="ECFE8DB0"/>
    <w:rsid w:val="EDED5DAF"/>
    <w:rsid w:val="EDFEDD25"/>
    <w:rsid w:val="F3FFC84C"/>
    <w:rsid w:val="F4FE6905"/>
    <w:rsid w:val="F5351D4D"/>
    <w:rsid w:val="F5F686E6"/>
    <w:rsid w:val="F6FF75FF"/>
    <w:rsid w:val="F7FE1CCC"/>
    <w:rsid w:val="F7FE802A"/>
    <w:rsid w:val="F8FD645D"/>
    <w:rsid w:val="FDB79E6D"/>
    <w:rsid w:val="FDC195D2"/>
    <w:rsid w:val="FEF927CD"/>
    <w:rsid w:val="FFBB3FBE"/>
    <w:rsid w:val="FFCB3A5C"/>
    <w:rsid w:val="FFE3430A"/>
    <w:rsid w:val="FFEF7723"/>
    <w:rsid w:val="FFF76E8A"/>
    <w:rsid w:val="FFF83271"/>
    <w:rsid w:val="FFFB2129"/>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4751F696A8B38FA3D190816878834237_43</vt:lpwstr>
  </property>
  <property fmtid="{D5CDD505-2E9C-101B-9397-08002B2CF9AE}" pid="4" name="KSOTemplateDocerSaveRecord">
    <vt:lpwstr>eyJoZGlkIjoiMDYyOWJhMjIyNGMzOGM2YTNlY2UxMGE3YmNlY2Q3ZWYiLCJ1c2VySWQiOiI3NzMxMzI4MDUifQ==</vt:lpwstr>
  </property>
</Properties>
</file>