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淮南市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市场监管局（本级）</w:t>
      </w:r>
      <w:r>
        <w:rPr>
          <w:rFonts w:hint="eastAsia" w:ascii="宋体" w:hAnsi="宋体"/>
          <w:b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7216" w:firstLineChars="2298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p>
      <w:pPr>
        <w:rPr>
          <w:rFonts w:hint="eastAsia" w:ascii="仿宋_GB2312" w:hAnsi="仿宋_GB2312" w:cs="仿宋_GB2312"/>
          <w:szCs w:val="32"/>
        </w:rPr>
      </w:pPr>
      <w:r>
        <w:drawing>
          <wp:inline distT="0" distB="0" distL="114300" distR="114300">
            <wp:extent cx="5570855" cy="2318385"/>
            <wp:effectExtent l="0" t="0" r="1079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市场监管局（本级）202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年度一般公共预算财政拨款“三公”经费支出预算为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84.69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万元，支出决算为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84.65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万元，完成预算的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99.95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%，较上年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万元，增长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7.6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%。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决算数较上年增加的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主要原因是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2024年底根据工作安排，经省外办审核批准，由省药监局组织，我局派员1名，前往美国等地执行药品监管交流合作任务，省药监局2024年因公出国项目已按照政府采购有关规定组织实施采购，导致此经费上涨。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为全面反映“三公”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经费支出，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本次公布的“三公”经费决算为单位本级。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市场监管局（本级）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7.08%</w:t>
      </w:r>
      <w:r>
        <w:rPr>
          <w:rFonts w:ascii="仿宋_GB2312" w:eastAsia="仿宋_GB2312" w:cs="仿宋_GB2312"/>
          <w:color w:val="000000"/>
          <w:sz w:val="32"/>
          <w:szCs w:val="32"/>
        </w:rPr>
        <w:t>;公务接待费支出决算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8.6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10.24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70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82.69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  <w:bookmarkStart w:id="0" w:name="_GoBack"/>
      <w:bookmarkEnd w:id="0"/>
    </w:p>
    <w:p>
      <w:pPr>
        <w:pStyle w:val="7"/>
        <w:numPr>
          <w:ilvl w:val="0"/>
          <w:numId w:val="1"/>
        </w:numPr>
        <w:adjustRightInd w:val="0"/>
        <w:snapToGrid w:val="0"/>
        <w:spacing w:line="560" w:lineRule="exact"/>
        <w:ind w:firstLine="628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因公出国（境）费支出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支出决算数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5.99万元。</w:t>
      </w:r>
      <w:r>
        <w:rPr>
          <w:rFonts w:ascii="仿宋_GB2312" w:eastAsia="仿宋_GB2312" w:cs="仿宋_GB2312"/>
          <w:color w:val="000000"/>
          <w:sz w:val="32"/>
          <w:szCs w:val="32"/>
        </w:rPr>
        <w:t>与202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决算数较上年增加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5.99万元，增长的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主要原因是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2024年底根据工作安排，经省外办审核批准，由省药监局组织，我局派员1名，前往美国等地执行药品监管交流合作任务，省药监局2024年因公出国项目已按照政府采购有关规定组织实施采购，导致此经费上涨。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</w:t>
      </w:r>
      <w:r>
        <w:rPr>
          <w:rFonts w:ascii="仿宋_GB2312" w:eastAsia="仿宋_GB2312" w:cs="仿宋_GB2312"/>
          <w:color w:val="000000"/>
          <w:sz w:val="32"/>
          <w:szCs w:val="32"/>
        </w:rPr>
        <w:t>因公出国（境）团组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该项经费根据市外办批准的因公临时出国（境）计划，按照规定标准安排。经费使用严格按照《淮南市市直党政机关因公临时出国经费管理办法》（淮财行政〔2014〕65号）等相关规定执行。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firstLine="628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公务接待费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预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8.70</w:t>
      </w:r>
      <w:r>
        <w:rPr>
          <w:rFonts w:ascii="仿宋_GB2312" w:eastAsia="仿宋_GB2312" w:cs="仿宋_GB2312"/>
          <w:color w:val="000000"/>
          <w:sz w:val="32"/>
          <w:szCs w:val="32"/>
        </w:rPr>
        <w:t>万元,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8.6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7万元，完成预算的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99.66%；</w:t>
      </w:r>
      <w:r>
        <w:rPr>
          <w:rFonts w:hint="eastAsia" w:ascii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2023年相比，基本持平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决算数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小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于预算数的主要原因是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深入贯彻中央八项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规定、《党政机关厉行节约反对浪费条例》及市委市政府有关具体要求，严格控制公务接待支出。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年淮南市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市场监管局</w:t>
      </w:r>
      <w:r>
        <w:rPr>
          <w:rFonts w:ascii="仿宋_GB2312" w:eastAsia="仿宋_GB2312" w:cs="仿宋_GB2312"/>
          <w:color w:val="000000"/>
          <w:sz w:val="32"/>
          <w:szCs w:val="32"/>
        </w:rPr>
        <w:t>国内公务接待共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104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838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用于接待上级、外市单位业务指导和工作调研等公务往来支出。经费使用贯彻中央八项规定、《党政机关厉行节约反对浪费条例》、市委市政府有关具体要求，严格执行《淮南市市直机关公务接待费管理暂行办法》（淮财行政〔2014〕581号）相关规定。</w:t>
      </w:r>
    </w:p>
    <w:p>
      <w:pPr>
        <w:pStyle w:val="7"/>
        <w:widowControl/>
        <w:numPr>
          <w:ilvl w:val="0"/>
          <w:numId w:val="1"/>
        </w:numPr>
        <w:ind w:left="0" w:leftChars="0" w:firstLine="628" w:firstLineChars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公</w:t>
      </w:r>
      <w:r>
        <w:rPr>
          <w:rFonts w:ascii="仿宋_GB2312" w:eastAsia="仿宋_GB2312" w:cs="仿宋_GB2312"/>
          <w:b/>
          <w:color w:val="auto"/>
          <w:sz w:val="32"/>
          <w:szCs w:val="32"/>
        </w:rPr>
        <w:t>务用车购置及运行维护费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预算为70万元，支出决算为70万元，完成预算的100%。</w:t>
      </w:r>
      <w:r>
        <w:rPr>
          <w:rFonts w:ascii="仿宋_GB2312" w:eastAsia="仿宋_GB2312" w:cs="仿宋_GB2312"/>
          <w:color w:val="auto"/>
          <w:sz w:val="32"/>
          <w:szCs w:val="32"/>
        </w:rPr>
        <w:t>其中，公务用车购置费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36万元，支出决算为36</w:t>
      </w:r>
      <w:r>
        <w:rPr>
          <w:rFonts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100%；</w:t>
      </w:r>
      <w:r>
        <w:rPr>
          <w:rFonts w:ascii="仿宋_GB2312" w:eastAsia="仿宋_GB2312" w:cs="仿宋_GB2312"/>
          <w:color w:val="auto"/>
          <w:sz w:val="32"/>
          <w:szCs w:val="32"/>
        </w:rPr>
        <w:t>公务用车运行维护费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34</w:t>
      </w:r>
      <w:r>
        <w:rPr>
          <w:rFonts w:asci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，支出决算为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34万元，完成预算的100%</w:t>
      </w:r>
      <w:r>
        <w:rPr>
          <w:rFonts w:hint="eastAsia" w:ascii="仿宋_GB2312" w:hAnsi="仿宋"/>
          <w:color w:val="0000FF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公务用车运行维护费，包括车辆燃料费、维修费、过路过桥费、保险费等支出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28" w:firstLineChars="200"/>
        <w:rPr>
          <w:rFonts w:hint="eastAsia"/>
        </w:rPr>
      </w:pP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淮南市市场监督管理局</w:t>
      </w:r>
      <w:r>
        <w:rPr>
          <w:rFonts w:hint="eastAsia" w:ascii="仿宋_GB2312" w:hAnsi="仿宋"/>
          <w:szCs w:val="32"/>
        </w:rPr>
        <w:t>机关开支财政拨款的公务用车保有量为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辆。</w:t>
      </w: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7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50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077E"/>
    <w:multiLevelType w:val="singleLevel"/>
    <w:tmpl w:val="40DA07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GY0OTQ4MzgxZjBkYWUzYTA3MWM5NDgyNzNmNTIifQ=="/>
  </w:docVars>
  <w:rsids>
    <w:rsidRoot w:val="0C636E9A"/>
    <w:rsid w:val="00B4285A"/>
    <w:rsid w:val="01507376"/>
    <w:rsid w:val="0AD24D10"/>
    <w:rsid w:val="0C636E9A"/>
    <w:rsid w:val="13F97010"/>
    <w:rsid w:val="26B94D3D"/>
    <w:rsid w:val="26DB0C35"/>
    <w:rsid w:val="3318369D"/>
    <w:rsid w:val="41903D1E"/>
    <w:rsid w:val="5155153E"/>
    <w:rsid w:val="533334D4"/>
    <w:rsid w:val="55307973"/>
    <w:rsid w:val="587C04D1"/>
    <w:rsid w:val="64AC3F4A"/>
    <w:rsid w:val="68B83DD1"/>
    <w:rsid w:val="73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1055</Words>
  <Characters>1200</Characters>
  <Lines>0</Lines>
  <Paragraphs>0</Paragraphs>
  <TotalTime>16</TotalTime>
  <ScaleCrop>false</ScaleCrop>
  <LinksUpToDate>false</LinksUpToDate>
  <CharactersWithSpaces>1276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2024-07-30T01:10:00Z</dcterms:created>
  <dc:creator> 莉</dc:creator>
  <cp:lastModifiedBy>DAI</cp:lastModifiedBy>
  <dcterms:modified xsi:type="dcterms:W3CDTF">2025-08-04T07:56:01Z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0533FB19FE9C4026B6B44C362B3B19F1_11</vt:lpwstr>
  </property>
</Properties>
</file>