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7B" w:rsidRDefault="00F2337B" w:rsidP="00F2337B">
      <w:pPr>
        <w:rPr>
          <w:rFonts w:ascii="仿宋" w:eastAsia="仿宋" w:hAnsi="仿宋" w:cs="仿宋" w:hint="eastAsia"/>
          <w:bCs/>
          <w:szCs w:val="32"/>
        </w:rPr>
      </w:pPr>
      <w:r>
        <w:rPr>
          <w:rFonts w:ascii="仿宋" w:eastAsia="仿宋" w:hAnsi="仿宋" w:cs="仿宋" w:hint="eastAsia"/>
          <w:bCs/>
          <w:szCs w:val="32"/>
        </w:rPr>
        <w:t>附件2：单位三公经费公开(参考格式)</w:t>
      </w:r>
    </w:p>
    <w:p w:rsidR="00F2337B" w:rsidRDefault="00F2337B" w:rsidP="00F2337B">
      <w:pPr>
        <w:rPr>
          <w:rFonts w:ascii="黑体" w:eastAsia="黑体" w:hAnsi="黑体" w:cs="黑体"/>
          <w:bCs/>
          <w:szCs w:val="32"/>
        </w:rPr>
      </w:pPr>
    </w:p>
    <w:p w:rsidR="00F2337B" w:rsidRDefault="00F2337B" w:rsidP="00F2337B">
      <w:pPr>
        <w:jc w:val="center"/>
        <w:rPr>
          <w:rFonts w:ascii="宋体" w:hAnsi="宋体" w:hint="eastAsia"/>
          <w:b/>
          <w:sz w:val="36"/>
          <w:szCs w:val="36"/>
        </w:rPr>
      </w:pPr>
      <w:r>
        <w:rPr>
          <w:rFonts w:ascii="宋体" w:hAnsi="宋体" w:hint="eastAsia"/>
          <w:b/>
          <w:sz w:val="36"/>
          <w:szCs w:val="36"/>
        </w:rPr>
        <w:t>淮南市特种设备监督检验中心</w:t>
      </w:r>
      <w:r>
        <w:rPr>
          <w:rFonts w:ascii="宋体" w:hAnsi="宋体" w:hint="eastAsia"/>
          <w:b/>
          <w:sz w:val="36"/>
          <w:szCs w:val="36"/>
        </w:rPr>
        <w:t>2024</w:t>
      </w:r>
      <w:r>
        <w:rPr>
          <w:rFonts w:ascii="宋体" w:hAnsi="宋体"/>
          <w:b/>
          <w:sz w:val="36"/>
          <w:szCs w:val="36"/>
        </w:rPr>
        <w:t>年</w:t>
      </w:r>
      <w:r>
        <w:rPr>
          <w:rFonts w:ascii="宋体" w:hAnsi="宋体" w:hint="eastAsia"/>
          <w:b/>
          <w:sz w:val="36"/>
          <w:szCs w:val="36"/>
        </w:rPr>
        <w:t>度一般公共预算财政拨款</w:t>
      </w:r>
      <w:r>
        <w:rPr>
          <w:rFonts w:ascii="宋体" w:hAnsi="宋体"/>
          <w:b/>
          <w:sz w:val="36"/>
          <w:szCs w:val="36"/>
        </w:rPr>
        <w:t>“</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w:t>
      </w:r>
    </w:p>
    <w:p w:rsidR="00F2337B" w:rsidRDefault="00F2337B" w:rsidP="00F2337B">
      <w:pPr>
        <w:jc w:val="center"/>
        <w:rPr>
          <w:rFonts w:ascii="楷体_GB2312" w:eastAsia="楷体_GB2312" w:hint="eastAsia"/>
          <w:szCs w:val="32"/>
        </w:rPr>
      </w:pPr>
    </w:p>
    <w:p w:rsidR="00F2337B" w:rsidRDefault="00F2337B" w:rsidP="00F2337B">
      <w:pPr>
        <w:rPr>
          <w:rFonts w:ascii="黑体" w:eastAsia="黑体" w:hAnsi="黑体" w:hint="eastAsia"/>
          <w:szCs w:val="32"/>
        </w:rPr>
      </w:pPr>
      <w:r>
        <w:rPr>
          <w:rFonts w:ascii="黑体" w:eastAsia="黑体" w:hAnsi="黑体" w:hint="eastAsia"/>
          <w:szCs w:val="32"/>
        </w:rPr>
        <w:t xml:space="preserve">    一、2024年度一般公共预算财政拨款“三公”经费支出决算表</w:t>
      </w:r>
    </w:p>
    <w:p w:rsidR="00F2337B" w:rsidRDefault="00F2337B" w:rsidP="002D5141">
      <w:pPr>
        <w:jc w:val="right"/>
        <w:rPr>
          <w:rFonts w:ascii="黑体" w:eastAsia="黑体" w:hAnsi="黑体" w:hint="eastAsia"/>
          <w:szCs w:val="32"/>
        </w:rPr>
      </w:pPr>
      <w:bookmarkStart w:id="0" w:name="_GoBack"/>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000" w:firstRow="0" w:lastRow="0" w:firstColumn="0" w:lastColumn="0" w:noHBand="0" w:noVBand="0"/>
      </w:tblPr>
      <w:tblGrid>
        <w:gridCol w:w="4379"/>
        <w:gridCol w:w="2157"/>
        <w:gridCol w:w="2220"/>
      </w:tblGrid>
      <w:tr w:rsidR="00F2337B" w:rsidTr="00CD3E5D">
        <w:trPr>
          <w:trHeight w:val="397"/>
        </w:trPr>
        <w:tc>
          <w:tcPr>
            <w:tcW w:w="4379" w:type="dxa"/>
            <w:tcBorders>
              <w:top w:val="single" w:sz="4" w:space="0" w:color="auto"/>
              <w:left w:val="single" w:sz="4" w:space="0" w:color="auto"/>
              <w:bottom w:val="single" w:sz="4" w:space="0" w:color="auto"/>
              <w:right w:val="single" w:sz="4" w:space="0" w:color="auto"/>
            </w:tcBorders>
            <w:vAlign w:val="center"/>
          </w:tcPr>
          <w:bookmarkEnd w:id="0"/>
          <w:p w:rsidR="00F2337B" w:rsidRDefault="00F2337B" w:rsidP="00CD3E5D">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F2337B" w:rsidRDefault="00F2337B" w:rsidP="00CD3E5D">
            <w:pPr>
              <w:widowControl/>
              <w:jc w:val="center"/>
              <w:rPr>
                <w:rFonts w:ascii="宋体" w:hAnsi="宋体" w:cs="宋体"/>
                <w:b/>
                <w:bCs/>
                <w:kern w:val="0"/>
                <w:szCs w:val="21"/>
              </w:rPr>
            </w:pPr>
            <w:r>
              <w:rPr>
                <w:rFonts w:ascii="宋体" w:hAnsi="宋体" w:cs="宋体" w:hint="eastAsia"/>
                <w:b/>
                <w:bCs/>
                <w:kern w:val="0"/>
                <w:szCs w:val="21"/>
              </w:rPr>
              <w:t>预</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F2337B" w:rsidRDefault="00F2337B" w:rsidP="00CD3E5D">
            <w:pPr>
              <w:widowControl/>
              <w:jc w:val="center"/>
              <w:rPr>
                <w:rFonts w:ascii="宋体" w:hAnsi="宋体" w:cs="宋体"/>
                <w:b/>
                <w:bCs/>
                <w:kern w:val="0"/>
                <w:szCs w:val="21"/>
              </w:rPr>
            </w:pPr>
            <w:r>
              <w:rPr>
                <w:rFonts w:ascii="宋体" w:hAnsi="宋体" w:cs="宋体" w:hint="eastAsia"/>
                <w:b/>
                <w:bCs/>
                <w:kern w:val="0"/>
                <w:szCs w:val="21"/>
              </w:rPr>
              <w:t>决</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r>
      <w:tr w:rsidR="00F2337B" w:rsidTr="00CD3E5D">
        <w:trPr>
          <w:trHeight w:val="397"/>
        </w:trPr>
        <w:tc>
          <w:tcPr>
            <w:tcW w:w="4379" w:type="dxa"/>
            <w:tcBorders>
              <w:top w:val="nil"/>
              <w:left w:val="single" w:sz="4" w:space="0" w:color="auto"/>
              <w:bottom w:val="single" w:sz="4" w:space="0" w:color="auto"/>
              <w:right w:val="single" w:sz="4" w:space="0" w:color="auto"/>
            </w:tcBorders>
            <w:vAlign w:val="center"/>
          </w:tcPr>
          <w:p w:rsidR="00F2337B" w:rsidRDefault="00F2337B" w:rsidP="00CD3E5D">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F2337B" w:rsidRDefault="00F2337B" w:rsidP="00CD3E5D">
            <w:pPr>
              <w:widowControl/>
              <w:jc w:val="center"/>
              <w:rPr>
                <w:rFonts w:ascii="宋体" w:hAnsi="宋体" w:cs="宋体"/>
                <w:b/>
                <w:bCs/>
                <w:kern w:val="0"/>
                <w:szCs w:val="21"/>
              </w:rPr>
            </w:pPr>
            <w:r>
              <w:rPr>
                <w:rFonts w:ascii="宋体" w:hAnsi="宋体" w:cs="宋体" w:hint="eastAsia"/>
                <w:b/>
                <w:bCs/>
                <w:kern w:val="0"/>
                <w:szCs w:val="21"/>
              </w:rPr>
              <w:t>18.00</w:t>
            </w:r>
          </w:p>
        </w:tc>
        <w:tc>
          <w:tcPr>
            <w:tcW w:w="2220" w:type="dxa"/>
            <w:tcBorders>
              <w:top w:val="nil"/>
              <w:left w:val="nil"/>
              <w:bottom w:val="single" w:sz="4" w:space="0" w:color="auto"/>
              <w:right w:val="single" w:sz="4" w:space="0" w:color="auto"/>
            </w:tcBorders>
            <w:vAlign w:val="center"/>
          </w:tcPr>
          <w:p w:rsidR="00F2337B" w:rsidRDefault="00F2337B" w:rsidP="00CD3E5D">
            <w:pPr>
              <w:widowControl/>
              <w:jc w:val="center"/>
              <w:rPr>
                <w:rFonts w:ascii="宋体" w:hAnsi="宋体" w:cs="宋体"/>
                <w:b/>
                <w:bCs/>
                <w:kern w:val="0"/>
                <w:szCs w:val="21"/>
              </w:rPr>
            </w:pPr>
            <w:r>
              <w:rPr>
                <w:rFonts w:ascii="宋体" w:hAnsi="宋体" w:cs="宋体" w:hint="eastAsia"/>
                <w:b/>
                <w:bCs/>
                <w:kern w:val="0"/>
                <w:szCs w:val="21"/>
              </w:rPr>
              <w:t>12.88</w:t>
            </w:r>
          </w:p>
        </w:tc>
      </w:tr>
      <w:tr w:rsidR="00F2337B" w:rsidTr="00CD3E5D">
        <w:trPr>
          <w:trHeight w:val="397"/>
        </w:trPr>
        <w:tc>
          <w:tcPr>
            <w:tcW w:w="4379" w:type="dxa"/>
            <w:tcBorders>
              <w:top w:val="nil"/>
              <w:left w:val="single" w:sz="4" w:space="0" w:color="auto"/>
              <w:bottom w:val="single" w:sz="4" w:space="0" w:color="auto"/>
              <w:right w:val="single" w:sz="4" w:space="0" w:color="auto"/>
            </w:tcBorders>
            <w:vAlign w:val="center"/>
          </w:tcPr>
          <w:p w:rsidR="00F2337B" w:rsidRDefault="00F2337B" w:rsidP="00CD3E5D">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F2337B" w:rsidRDefault="00F2337B" w:rsidP="00CD3E5D">
            <w:pPr>
              <w:widowControl/>
              <w:jc w:val="center"/>
              <w:rPr>
                <w:rFonts w:ascii="宋体" w:hAnsi="宋体" w:cs="宋体"/>
                <w:kern w:val="0"/>
                <w:szCs w:val="21"/>
              </w:rPr>
            </w:pPr>
            <w:r>
              <w:rPr>
                <w:rFonts w:ascii="宋体" w:hAnsi="宋体" w:cs="宋体" w:hint="eastAsia"/>
                <w:kern w:val="0"/>
                <w:szCs w:val="21"/>
              </w:rPr>
              <w:t>0.00</w:t>
            </w:r>
          </w:p>
        </w:tc>
        <w:tc>
          <w:tcPr>
            <w:tcW w:w="2220" w:type="dxa"/>
            <w:tcBorders>
              <w:top w:val="nil"/>
              <w:left w:val="nil"/>
              <w:bottom w:val="single" w:sz="4" w:space="0" w:color="auto"/>
              <w:right w:val="single" w:sz="4" w:space="0" w:color="auto"/>
            </w:tcBorders>
            <w:vAlign w:val="bottom"/>
          </w:tcPr>
          <w:p w:rsidR="00F2337B" w:rsidRDefault="00F2337B" w:rsidP="00CD3E5D">
            <w:pPr>
              <w:widowControl/>
              <w:jc w:val="center"/>
              <w:rPr>
                <w:rFonts w:ascii="宋体" w:hAnsi="宋体" w:cs="宋体"/>
                <w:kern w:val="0"/>
                <w:szCs w:val="21"/>
              </w:rPr>
            </w:pPr>
            <w:r>
              <w:rPr>
                <w:rFonts w:ascii="宋体" w:hAnsi="宋体" w:cs="宋体" w:hint="eastAsia"/>
                <w:kern w:val="0"/>
                <w:szCs w:val="21"/>
              </w:rPr>
              <w:t>0.00</w:t>
            </w:r>
          </w:p>
        </w:tc>
      </w:tr>
      <w:tr w:rsidR="00F2337B" w:rsidTr="00CD3E5D">
        <w:trPr>
          <w:trHeight w:val="397"/>
        </w:trPr>
        <w:tc>
          <w:tcPr>
            <w:tcW w:w="4379" w:type="dxa"/>
            <w:tcBorders>
              <w:top w:val="nil"/>
              <w:left w:val="single" w:sz="4" w:space="0" w:color="auto"/>
              <w:bottom w:val="single" w:sz="4" w:space="0" w:color="auto"/>
              <w:right w:val="single" w:sz="4" w:space="0" w:color="auto"/>
            </w:tcBorders>
            <w:vAlign w:val="center"/>
          </w:tcPr>
          <w:p w:rsidR="00F2337B" w:rsidRDefault="00F2337B" w:rsidP="00CD3E5D">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F2337B" w:rsidRDefault="00F2337B" w:rsidP="00CD3E5D">
            <w:pPr>
              <w:widowControl/>
              <w:jc w:val="center"/>
              <w:rPr>
                <w:rFonts w:ascii="宋体" w:hAnsi="宋体" w:cs="宋体"/>
                <w:kern w:val="0"/>
                <w:szCs w:val="21"/>
              </w:rPr>
            </w:pPr>
            <w:r>
              <w:rPr>
                <w:rFonts w:ascii="宋体" w:hAnsi="宋体" w:cs="宋体" w:hint="eastAsia"/>
                <w:kern w:val="0"/>
                <w:szCs w:val="21"/>
              </w:rPr>
              <w:t>0.00</w:t>
            </w:r>
          </w:p>
        </w:tc>
        <w:tc>
          <w:tcPr>
            <w:tcW w:w="2220" w:type="dxa"/>
            <w:tcBorders>
              <w:top w:val="nil"/>
              <w:left w:val="nil"/>
              <w:bottom w:val="single" w:sz="4" w:space="0" w:color="auto"/>
              <w:right w:val="single" w:sz="4" w:space="0" w:color="auto"/>
            </w:tcBorders>
            <w:vAlign w:val="bottom"/>
          </w:tcPr>
          <w:p w:rsidR="00F2337B" w:rsidRDefault="00F2337B" w:rsidP="00CD3E5D">
            <w:pPr>
              <w:widowControl/>
              <w:jc w:val="center"/>
              <w:rPr>
                <w:rFonts w:ascii="宋体" w:hAnsi="宋体" w:cs="宋体"/>
                <w:kern w:val="0"/>
                <w:szCs w:val="21"/>
              </w:rPr>
            </w:pPr>
            <w:r>
              <w:rPr>
                <w:rFonts w:ascii="宋体" w:hAnsi="宋体" w:cs="宋体" w:hint="eastAsia"/>
                <w:kern w:val="0"/>
                <w:szCs w:val="21"/>
              </w:rPr>
              <w:t>0.00</w:t>
            </w:r>
          </w:p>
        </w:tc>
      </w:tr>
      <w:tr w:rsidR="00F2337B" w:rsidTr="00CD3E5D">
        <w:trPr>
          <w:trHeight w:val="397"/>
        </w:trPr>
        <w:tc>
          <w:tcPr>
            <w:tcW w:w="4379" w:type="dxa"/>
            <w:tcBorders>
              <w:top w:val="nil"/>
              <w:left w:val="single" w:sz="4" w:space="0" w:color="auto"/>
              <w:bottom w:val="single" w:sz="4" w:space="0" w:color="auto"/>
              <w:right w:val="single" w:sz="4" w:space="0" w:color="auto"/>
            </w:tcBorders>
            <w:vAlign w:val="center"/>
          </w:tcPr>
          <w:p w:rsidR="00F2337B" w:rsidRDefault="00F2337B" w:rsidP="00CD3E5D">
            <w:pPr>
              <w:widowControl/>
              <w:jc w:val="left"/>
              <w:rPr>
                <w:rFonts w:ascii="宋体" w:hAnsi="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F2337B" w:rsidRDefault="00F2337B" w:rsidP="00CD3E5D">
            <w:pPr>
              <w:widowControl/>
              <w:jc w:val="center"/>
              <w:rPr>
                <w:rFonts w:ascii="宋体" w:hAnsi="宋体" w:cs="宋体"/>
                <w:kern w:val="0"/>
                <w:szCs w:val="21"/>
              </w:rPr>
            </w:pPr>
            <w:r>
              <w:rPr>
                <w:rFonts w:ascii="宋体" w:hAnsi="宋体" w:cs="宋体" w:hint="eastAsia"/>
                <w:kern w:val="0"/>
                <w:szCs w:val="21"/>
              </w:rPr>
              <w:t>18.00</w:t>
            </w:r>
          </w:p>
        </w:tc>
        <w:tc>
          <w:tcPr>
            <w:tcW w:w="2220" w:type="dxa"/>
            <w:tcBorders>
              <w:top w:val="nil"/>
              <w:left w:val="nil"/>
              <w:bottom w:val="single" w:sz="4" w:space="0" w:color="auto"/>
              <w:right w:val="single" w:sz="4" w:space="0" w:color="auto"/>
            </w:tcBorders>
            <w:vAlign w:val="bottom"/>
          </w:tcPr>
          <w:p w:rsidR="00F2337B" w:rsidRDefault="00F2337B" w:rsidP="00CD3E5D">
            <w:pPr>
              <w:widowControl/>
              <w:jc w:val="center"/>
              <w:rPr>
                <w:rFonts w:ascii="宋体" w:hAnsi="宋体" w:cs="宋体"/>
                <w:kern w:val="0"/>
                <w:szCs w:val="21"/>
              </w:rPr>
            </w:pPr>
            <w:r>
              <w:rPr>
                <w:rFonts w:ascii="宋体" w:hAnsi="宋体" w:cs="宋体" w:hint="eastAsia"/>
                <w:kern w:val="0"/>
                <w:szCs w:val="21"/>
              </w:rPr>
              <w:t>12.88</w:t>
            </w:r>
          </w:p>
        </w:tc>
      </w:tr>
      <w:tr w:rsidR="00F2337B" w:rsidTr="00CD3E5D">
        <w:trPr>
          <w:trHeight w:val="397"/>
        </w:trPr>
        <w:tc>
          <w:tcPr>
            <w:tcW w:w="4379" w:type="dxa"/>
            <w:tcBorders>
              <w:top w:val="nil"/>
              <w:left w:val="single" w:sz="4" w:space="0" w:color="auto"/>
              <w:bottom w:val="single" w:sz="4" w:space="0" w:color="auto"/>
              <w:right w:val="single" w:sz="4" w:space="0" w:color="auto"/>
            </w:tcBorders>
            <w:vAlign w:val="center"/>
          </w:tcPr>
          <w:p w:rsidR="00F2337B" w:rsidRDefault="00F2337B" w:rsidP="00CD3E5D">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其中：公务用车运行维护费</w:t>
            </w:r>
          </w:p>
        </w:tc>
        <w:tc>
          <w:tcPr>
            <w:tcW w:w="2157" w:type="dxa"/>
            <w:tcBorders>
              <w:top w:val="nil"/>
              <w:left w:val="nil"/>
              <w:bottom w:val="single" w:sz="4" w:space="0" w:color="auto"/>
              <w:right w:val="single" w:sz="4" w:space="0" w:color="auto"/>
            </w:tcBorders>
            <w:vAlign w:val="bottom"/>
          </w:tcPr>
          <w:p w:rsidR="00F2337B" w:rsidRDefault="00F2337B" w:rsidP="00CD3E5D">
            <w:pPr>
              <w:widowControl/>
              <w:jc w:val="center"/>
              <w:rPr>
                <w:rFonts w:ascii="宋体" w:hAnsi="宋体" w:cs="宋体"/>
                <w:kern w:val="0"/>
                <w:szCs w:val="21"/>
              </w:rPr>
            </w:pPr>
            <w:r>
              <w:rPr>
                <w:rFonts w:ascii="宋体" w:hAnsi="宋体" w:cs="宋体" w:hint="eastAsia"/>
                <w:kern w:val="0"/>
                <w:szCs w:val="21"/>
              </w:rPr>
              <w:t>0.00</w:t>
            </w:r>
          </w:p>
        </w:tc>
        <w:tc>
          <w:tcPr>
            <w:tcW w:w="2220" w:type="dxa"/>
            <w:tcBorders>
              <w:top w:val="nil"/>
              <w:left w:val="nil"/>
              <w:bottom w:val="single" w:sz="4" w:space="0" w:color="auto"/>
              <w:right w:val="single" w:sz="4" w:space="0" w:color="auto"/>
            </w:tcBorders>
            <w:vAlign w:val="bottom"/>
          </w:tcPr>
          <w:p w:rsidR="00F2337B" w:rsidRDefault="00F2337B" w:rsidP="00CD3E5D">
            <w:pPr>
              <w:widowControl/>
              <w:jc w:val="center"/>
              <w:rPr>
                <w:rFonts w:ascii="宋体" w:hAnsi="宋体" w:cs="宋体"/>
                <w:kern w:val="0"/>
                <w:szCs w:val="21"/>
              </w:rPr>
            </w:pPr>
            <w:r>
              <w:rPr>
                <w:rFonts w:ascii="宋体" w:hAnsi="宋体" w:cs="宋体" w:hint="eastAsia"/>
                <w:kern w:val="0"/>
                <w:szCs w:val="21"/>
              </w:rPr>
              <w:t>0.00</w:t>
            </w:r>
          </w:p>
        </w:tc>
      </w:tr>
      <w:tr w:rsidR="00F2337B" w:rsidTr="00CD3E5D">
        <w:trPr>
          <w:trHeight w:val="397"/>
        </w:trPr>
        <w:tc>
          <w:tcPr>
            <w:tcW w:w="4379" w:type="dxa"/>
            <w:tcBorders>
              <w:top w:val="nil"/>
              <w:left w:val="single" w:sz="4" w:space="0" w:color="auto"/>
              <w:bottom w:val="single" w:sz="4" w:space="0" w:color="auto"/>
              <w:right w:val="single" w:sz="4" w:space="0" w:color="auto"/>
            </w:tcBorders>
            <w:vAlign w:val="center"/>
          </w:tcPr>
          <w:p w:rsidR="00F2337B" w:rsidRDefault="00F2337B" w:rsidP="00CD3E5D">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公务用车购置费</w:t>
            </w:r>
            <w:r>
              <w:rPr>
                <w:rFonts w:ascii="宋体" w:hAnsi="宋体" w:cs="宋体" w:hint="eastAsia"/>
                <w:kern w:val="0"/>
                <w:szCs w:val="21"/>
              </w:rPr>
              <w:t xml:space="preserve"> </w:t>
            </w:r>
          </w:p>
        </w:tc>
        <w:tc>
          <w:tcPr>
            <w:tcW w:w="2157" w:type="dxa"/>
            <w:tcBorders>
              <w:top w:val="nil"/>
              <w:left w:val="nil"/>
              <w:bottom w:val="single" w:sz="4" w:space="0" w:color="auto"/>
              <w:right w:val="single" w:sz="4" w:space="0" w:color="auto"/>
            </w:tcBorders>
            <w:vAlign w:val="bottom"/>
          </w:tcPr>
          <w:p w:rsidR="00F2337B" w:rsidRDefault="00F2337B" w:rsidP="00CD3E5D">
            <w:pPr>
              <w:widowControl/>
              <w:jc w:val="center"/>
              <w:rPr>
                <w:rFonts w:ascii="宋体" w:hAnsi="宋体" w:cs="宋体"/>
                <w:kern w:val="0"/>
                <w:szCs w:val="21"/>
              </w:rPr>
            </w:pPr>
            <w:r>
              <w:rPr>
                <w:rFonts w:ascii="宋体" w:hAnsi="宋体" w:cs="宋体" w:hint="eastAsia"/>
                <w:kern w:val="0"/>
                <w:szCs w:val="21"/>
              </w:rPr>
              <w:t>18.00</w:t>
            </w:r>
          </w:p>
        </w:tc>
        <w:tc>
          <w:tcPr>
            <w:tcW w:w="2220" w:type="dxa"/>
            <w:tcBorders>
              <w:top w:val="nil"/>
              <w:left w:val="nil"/>
              <w:bottom w:val="single" w:sz="4" w:space="0" w:color="auto"/>
              <w:right w:val="single" w:sz="4" w:space="0" w:color="auto"/>
            </w:tcBorders>
            <w:vAlign w:val="bottom"/>
          </w:tcPr>
          <w:p w:rsidR="00F2337B" w:rsidRDefault="00F2337B" w:rsidP="00CD3E5D">
            <w:pPr>
              <w:widowControl/>
              <w:jc w:val="center"/>
              <w:rPr>
                <w:rFonts w:ascii="宋体" w:hAnsi="宋体" w:cs="宋体"/>
                <w:kern w:val="0"/>
                <w:szCs w:val="21"/>
              </w:rPr>
            </w:pPr>
            <w:r>
              <w:rPr>
                <w:rFonts w:ascii="宋体" w:hAnsi="宋体" w:cs="宋体" w:hint="eastAsia"/>
                <w:kern w:val="0"/>
                <w:szCs w:val="21"/>
              </w:rPr>
              <w:t>12.88</w:t>
            </w:r>
          </w:p>
        </w:tc>
      </w:tr>
    </w:tbl>
    <w:p w:rsidR="00F2337B" w:rsidRDefault="00F2337B" w:rsidP="00F2337B">
      <w:pPr>
        <w:spacing w:line="300" w:lineRule="exact"/>
        <w:rPr>
          <w:rFonts w:ascii="仿宋_GB2312" w:hAnsi="仿宋" w:hint="eastAsia"/>
          <w:sz w:val="21"/>
          <w:szCs w:val="21"/>
        </w:rPr>
      </w:pPr>
    </w:p>
    <w:p w:rsidR="00F2337B" w:rsidRDefault="00F2337B" w:rsidP="00F2337B">
      <w:pPr>
        <w:spacing w:line="300" w:lineRule="exact"/>
        <w:rPr>
          <w:rFonts w:ascii="黑体" w:eastAsia="黑体" w:hAnsi="黑体" w:hint="eastAsia"/>
          <w:szCs w:val="32"/>
        </w:rPr>
      </w:pPr>
      <w:r>
        <w:rPr>
          <w:rFonts w:ascii="仿宋_GB2312" w:hAnsi="仿宋" w:hint="eastAsia"/>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ascii="仿宋_GB2312" w:hAnsi="仿宋" w:hint="eastAsia"/>
          <w:szCs w:val="32"/>
        </w:rPr>
        <w:t xml:space="preserve">  </w:t>
      </w:r>
      <w:r>
        <w:rPr>
          <w:rFonts w:ascii="黑体" w:eastAsia="黑体" w:hAnsi="黑体" w:hint="eastAsia"/>
          <w:szCs w:val="32"/>
        </w:rPr>
        <w:t xml:space="preserve">                                    </w:t>
      </w:r>
    </w:p>
    <w:p w:rsidR="00F2337B" w:rsidRDefault="00F2337B" w:rsidP="00F2337B">
      <w:pPr>
        <w:rPr>
          <w:rFonts w:ascii="黑体" w:eastAsia="黑体" w:hAnsi="黑体" w:hint="eastAsia"/>
          <w:szCs w:val="32"/>
        </w:rPr>
      </w:pPr>
      <w:r>
        <w:rPr>
          <w:rFonts w:ascii="黑体" w:eastAsia="黑体" w:hAnsi="黑体"/>
          <w:szCs w:val="32"/>
        </w:rPr>
        <w:t xml:space="preserve">    </w:t>
      </w:r>
      <w:r>
        <w:rPr>
          <w:rFonts w:ascii="黑体" w:eastAsia="黑体" w:hAnsi="黑体" w:hint="eastAsia"/>
          <w:szCs w:val="32"/>
        </w:rPr>
        <w:t>二</w:t>
      </w:r>
      <w:r>
        <w:rPr>
          <w:rFonts w:ascii="黑体" w:eastAsia="黑体" w:hAnsi="黑体"/>
          <w:szCs w:val="32"/>
        </w:rPr>
        <w:t>、</w:t>
      </w:r>
      <w:r>
        <w:rPr>
          <w:rFonts w:ascii="黑体" w:eastAsia="黑体" w:hAnsi="黑体" w:hint="eastAsia"/>
          <w:szCs w:val="32"/>
        </w:rPr>
        <w:t>2024</w:t>
      </w:r>
      <w:r>
        <w:rPr>
          <w:rFonts w:ascii="黑体" w:eastAsia="黑体" w:hAnsi="黑体"/>
          <w:szCs w:val="32"/>
        </w:rPr>
        <w:t>年</w:t>
      </w:r>
      <w:r>
        <w:rPr>
          <w:rFonts w:ascii="黑体" w:eastAsia="黑体" w:hAnsi="黑体" w:hint="eastAsia"/>
          <w:szCs w:val="32"/>
        </w:rPr>
        <w:t>度一般公共预算财政拨款“三公”经费支出</w:t>
      </w:r>
      <w:r>
        <w:rPr>
          <w:rFonts w:ascii="黑体" w:eastAsia="黑体" w:hAnsi="黑体"/>
          <w:szCs w:val="32"/>
        </w:rPr>
        <w:t>情况说明</w:t>
      </w:r>
    </w:p>
    <w:p w:rsidR="00F2337B" w:rsidRDefault="00F2337B" w:rsidP="00F2337B">
      <w:pPr>
        <w:ind w:firstLineChars="200" w:firstLine="643"/>
        <w:rPr>
          <w:rFonts w:ascii="仿宋_GB2312" w:hAnsi="仿宋" w:hint="eastAsia"/>
          <w:b/>
          <w:szCs w:val="32"/>
        </w:rPr>
      </w:pPr>
      <w:r>
        <w:rPr>
          <w:rFonts w:ascii="仿宋_GB2312" w:hAnsi="仿宋" w:hint="eastAsia"/>
          <w:b/>
          <w:szCs w:val="32"/>
        </w:rPr>
        <w:t>（一）一般公共预算财政拨款“三公”经费支出决算总体情况说明。</w:t>
      </w:r>
    </w:p>
    <w:p w:rsidR="00F2337B" w:rsidRDefault="00F2337B" w:rsidP="00F2337B">
      <w:pPr>
        <w:ind w:firstLineChars="200" w:firstLine="640"/>
        <w:rPr>
          <w:rFonts w:ascii="楷体_GB2312" w:eastAsia="楷体_GB2312" w:hAnsi="仿宋" w:hint="eastAsia"/>
          <w:szCs w:val="32"/>
        </w:rPr>
      </w:pPr>
      <w:r>
        <w:rPr>
          <w:rFonts w:ascii="仿宋_GB2312" w:hAnsi="仿宋" w:hint="eastAsia"/>
          <w:szCs w:val="32"/>
        </w:rPr>
        <w:t>淮南市特种设备监督检验中心2024年度一般公共预算</w:t>
      </w:r>
      <w:r>
        <w:rPr>
          <w:rFonts w:ascii="仿宋_GB2312" w:hAnsi="仿宋" w:hint="eastAsia"/>
          <w:szCs w:val="32"/>
        </w:rPr>
        <w:lastRenderedPageBreak/>
        <w:t>财政拨款“三公”经费支出预算为18万元，支出决算为12.88万元，完成预算的71.56%，较上年减少5.1万元，减少28.37%。决算数小于预算数的主要原因是购车时在预算范围内选择车型。决算数较上年减少的主要原因是按财政要求，只能选择此价位的车辆。</w:t>
      </w:r>
    </w:p>
    <w:p w:rsidR="00F2337B" w:rsidRDefault="00F2337B" w:rsidP="00F2337B">
      <w:pPr>
        <w:ind w:firstLineChars="200" w:firstLine="643"/>
        <w:rPr>
          <w:rFonts w:ascii="仿宋_GB2312" w:hAnsi="仿宋" w:hint="eastAsia"/>
          <w:b/>
          <w:szCs w:val="32"/>
        </w:rPr>
      </w:pPr>
      <w:r>
        <w:rPr>
          <w:rFonts w:ascii="仿宋_GB2312" w:hAnsi="仿宋" w:hint="eastAsia"/>
          <w:b/>
          <w:bCs/>
          <w:szCs w:val="32"/>
        </w:rPr>
        <w:t>（二）</w:t>
      </w:r>
      <w:r>
        <w:rPr>
          <w:rFonts w:ascii="仿宋_GB2312" w:hAnsi="仿宋" w:hint="eastAsia"/>
          <w:b/>
          <w:szCs w:val="32"/>
        </w:rPr>
        <w:t>一般公共预算财政拨款“三公”经费支出决算具体情况说明。</w:t>
      </w:r>
    </w:p>
    <w:p w:rsidR="00F2337B" w:rsidRDefault="00F2337B" w:rsidP="00F2337B">
      <w:pPr>
        <w:ind w:firstLineChars="200" w:firstLine="640"/>
        <w:rPr>
          <w:rFonts w:ascii="仿宋_GB2312" w:hAnsi="仿宋" w:hint="eastAsia"/>
          <w:szCs w:val="32"/>
        </w:rPr>
      </w:pPr>
      <w:r>
        <w:rPr>
          <w:rFonts w:ascii="仿宋_GB2312" w:hAnsi="仿宋" w:hint="eastAsia"/>
          <w:szCs w:val="32"/>
        </w:rPr>
        <w:t>淮南市特种设备监督检验中心2024年度一般公共预算财政拨款“三公”经费支出决算中，因公出国（境）费支出决算0万元，占0%;公务接待费支出决算0万元，占0%；公务用车购置及运行维护费支出决算18万元，占100%。具体情况如下：</w:t>
      </w:r>
    </w:p>
    <w:p w:rsidR="00F2337B" w:rsidRDefault="00F2337B" w:rsidP="00F2337B">
      <w:pPr>
        <w:ind w:firstLine="628"/>
        <w:rPr>
          <w:rFonts w:ascii="仿宋_GB2312" w:hAnsi="仿宋" w:hint="eastAsia"/>
          <w:szCs w:val="32"/>
        </w:rPr>
      </w:pPr>
      <w:r>
        <w:rPr>
          <w:rFonts w:ascii="仿宋_GB2312" w:hAnsi="仿宋" w:hint="eastAsia"/>
          <w:b/>
          <w:bCs/>
          <w:szCs w:val="32"/>
        </w:rPr>
        <w:t>1.因公出国（境）费</w:t>
      </w:r>
      <w:r>
        <w:rPr>
          <w:rFonts w:ascii="仿宋_GB2312" w:hAnsi="仿宋" w:hint="eastAsia"/>
          <w:szCs w:val="32"/>
        </w:rPr>
        <w:t>预算为0万元，支出决算为0万元，完成预算的0%；较上年无增减。经费使用严格按照</w:t>
      </w:r>
      <w:r>
        <w:rPr>
          <w:rFonts w:ascii="仿宋" w:eastAsia="仿宋" w:hAnsi="仿宋" w:cs="仿宋" w:hint="eastAsia"/>
          <w:szCs w:val="32"/>
        </w:rPr>
        <w:t>《淮南市市直党政机关因公临时出国经费管理办法》（淮财行政〔2014〕65 号）等相关规定执行</w:t>
      </w:r>
      <w:r>
        <w:rPr>
          <w:rFonts w:ascii="仿宋_GB2312" w:hAnsi="仿宋" w:hint="eastAsia"/>
          <w:szCs w:val="32"/>
        </w:rPr>
        <w:t>。</w:t>
      </w:r>
    </w:p>
    <w:p w:rsidR="00F2337B" w:rsidRDefault="00F2337B" w:rsidP="00F2337B">
      <w:pPr>
        <w:ind w:firstLineChars="200" w:firstLine="643"/>
        <w:rPr>
          <w:rFonts w:ascii="仿宋_GB2312" w:hAnsi="仿宋" w:hint="eastAsia"/>
          <w:szCs w:val="32"/>
        </w:rPr>
      </w:pPr>
      <w:r>
        <w:rPr>
          <w:rFonts w:ascii="仿宋_GB2312" w:hAnsi="仿宋" w:hint="eastAsia"/>
          <w:b/>
          <w:bCs/>
          <w:szCs w:val="32"/>
        </w:rPr>
        <w:t>2.公务接待费</w:t>
      </w:r>
      <w:r>
        <w:rPr>
          <w:rFonts w:ascii="仿宋_GB2312" w:hAnsi="仿宋" w:hint="eastAsia"/>
          <w:szCs w:val="32"/>
        </w:rPr>
        <w:t>预算为0万元，支出决算为0万元，完成预算的0%；较上年无变动。决算数较上年减少的主要原因是按财政要求，自收自支单位公务接待费不再计入公务接待科目，应列支其他科目。经费使用贯彻</w:t>
      </w:r>
      <w:r>
        <w:rPr>
          <w:rFonts w:ascii="仿宋" w:eastAsia="仿宋" w:hAnsi="仿宋" w:cs="仿宋" w:hint="eastAsia"/>
          <w:szCs w:val="32"/>
        </w:rPr>
        <w:t>党中央八项规定、《党政机关厉行节约反对浪费条例》、市委市政府有关具体要求，严格执行《淮南市市直机关公务接待费管理暂行办法》（淮财行</w:t>
      </w:r>
      <w:r>
        <w:rPr>
          <w:rFonts w:ascii="仿宋" w:eastAsia="仿宋" w:hAnsi="仿宋" w:cs="仿宋" w:hint="eastAsia"/>
          <w:szCs w:val="32"/>
        </w:rPr>
        <w:lastRenderedPageBreak/>
        <w:t>政〔2014〕581 号）相关规定</w:t>
      </w:r>
      <w:r>
        <w:rPr>
          <w:rFonts w:ascii="仿宋_GB2312" w:hAnsi="仿宋" w:hint="eastAsia"/>
          <w:szCs w:val="32"/>
        </w:rPr>
        <w:t>。</w:t>
      </w:r>
    </w:p>
    <w:p w:rsidR="00764906" w:rsidRDefault="00F2337B" w:rsidP="00F2337B">
      <w:r>
        <w:rPr>
          <w:rFonts w:ascii="仿宋_GB2312" w:hAnsi="仿宋" w:hint="eastAsia"/>
          <w:b/>
          <w:bCs/>
          <w:szCs w:val="32"/>
        </w:rPr>
        <w:t>3.公务用车购置及运行维护费</w:t>
      </w:r>
      <w:r>
        <w:rPr>
          <w:rFonts w:ascii="仿宋_GB2312" w:hAnsi="仿宋" w:hint="eastAsia"/>
          <w:szCs w:val="32"/>
        </w:rPr>
        <w:t>预算为18万元，支出决算为  12.88万元，完成预算的71.56%；较上年无变化。决算数小于预算数的主要原因是按财政要求，只能选择此价位的车辆。决算数较上年无变动。其中，公务用车购置费预算为18万元，支出决算为12.88万元，完成预算的71.56%；较上年减少5.1万元，减少28.37%。决算数小于预算数的主要原因是按财政要求，只能选择此价位的车辆。决算数较上年无变动。2024年购置公务用车1辆</w:t>
      </w:r>
      <w:r>
        <w:rPr>
          <w:rFonts w:ascii="楷体_GB2312" w:eastAsia="楷体_GB2312" w:hAnsi="仿宋" w:hint="eastAsia"/>
          <w:szCs w:val="32"/>
        </w:rPr>
        <w:t>。</w:t>
      </w:r>
      <w:r>
        <w:rPr>
          <w:rFonts w:ascii="仿宋_GB2312" w:hAnsi="仿宋" w:hint="eastAsia"/>
          <w:szCs w:val="32"/>
        </w:rPr>
        <w:t>公务用车运行维护费预算为0万元，支出决算为0万元，完成预算的0%；较上年无变动。决算数较上年无变动。公务用车运行维护费，包括车辆燃料费、维修费、过路过桥费、保险费等支出，主要用于外出检验用车各项开销。截至2024年12月31日，淮南市特种设备监督检验中心开支财政拨款的公务用车保有量为11辆。</w:t>
      </w:r>
    </w:p>
    <w:sectPr w:rsidR="007649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996" w:rsidRDefault="00D51996" w:rsidP="00F2337B">
      <w:r>
        <w:separator/>
      </w:r>
    </w:p>
  </w:endnote>
  <w:endnote w:type="continuationSeparator" w:id="0">
    <w:p w:rsidR="00D51996" w:rsidRDefault="00D51996" w:rsidP="00F2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996" w:rsidRDefault="00D51996" w:rsidP="00F2337B">
      <w:r>
        <w:separator/>
      </w:r>
    </w:p>
  </w:footnote>
  <w:footnote w:type="continuationSeparator" w:id="0">
    <w:p w:rsidR="00D51996" w:rsidRDefault="00D51996" w:rsidP="00F23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5F"/>
    <w:rsid w:val="002D5141"/>
    <w:rsid w:val="00764906"/>
    <w:rsid w:val="0095005F"/>
    <w:rsid w:val="00D51996"/>
    <w:rsid w:val="00F23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C6AB5"/>
  <w15:chartTrackingRefBased/>
  <w15:docId w15:val="{04CB4293-2ABE-48A7-99E7-2B87D5BA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37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337B"/>
    <w:rPr>
      <w:sz w:val="18"/>
      <w:szCs w:val="18"/>
    </w:rPr>
  </w:style>
  <w:style w:type="paragraph" w:styleId="a5">
    <w:name w:val="footer"/>
    <w:basedOn w:val="a"/>
    <w:link w:val="a6"/>
    <w:uiPriority w:val="99"/>
    <w:unhideWhenUsed/>
    <w:rsid w:val="00F233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33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2025-07-31T10:38:00Z</dcterms:created>
  <dcterms:modified xsi:type="dcterms:W3CDTF">2025-07-31T10:39:00Z</dcterms:modified>
</cp:coreProperties>
</file>