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C233">
      <w:pPr>
        <w:tabs>
          <w:tab w:val="left" w:pos="3518"/>
        </w:tabs>
        <w:spacing w:before="190" w:line="168"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z w:val="44"/>
          <w:szCs w:val="44"/>
          <w:u w:val="none" w:color="auto"/>
          <w:lang w:eastAsia="zh-CN"/>
        </w:rPr>
        <w:t>淮南市</w:t>
      </w:r>
      <w:r>
        <w:rPr>
          <w:rFonts w:hint="eastAsia" w:ascii="方正小标宋简体" w:hAnsi="方正小标宋简体" w:eastAsia="方正小标宋简体" w:cs="方正小标宋简体"/>
          <w:spacing w:val="-2"/>
          <w:sz w:val="44"/>
          <w:szCs w:val="44"/>
          <w:u w:val="none" w:color="auto"/>
        </w:rPr>
        <w:t>市场监督管理局</w:t>
      </w:r>
    </w:p>
    <w:p w14:paraId="5C7A8D2F">
      <w:pPr>
        <w:spacing w:before="1" w:line="204"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pacing w:val="-2"/>
          <w:sz w:val="44"/>
          <w:szCs w:val="44"/>
          <w:u w:val="none" w:color="auto"/>
        </w:rPr>
        <w:t>行政处罚决定书</w:t>
      </w:r>
    </w:p>
    <w:p w14:paraId="7A99E85C">
      <w:pPr>
        <w:tabs>
          <w:tab w:val="left" w:pos="2725"/>
        </w:tabs>
        <w:spacing w:before="38" w:line="183" w:lineRule="auto"/>
        <w:ind w:firstLine="221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淮田市</w:t>
      </w:r>
      <w:r>
        <w:rPr>
          <w:rFonts w:hint="eastAsia" w:ascii="仿宋_GB2312" w:hAnsi="仿宋_GB2312" w:eastAsia="仿宋_GB2312" w:cs="仿宋_GB2312"/>
          <w:spacing w:val="-7"/>
          <w:sz w:val="32"/>
          <w:szCs w:val="32"/>
          <w:u w:val="none" w:color="auto"/>
        </w:rPr>
        <w:t>监</w:t>
      </w:r>
      <w:r>
        <w:rPr>
          <w:rFonts w:hint="eastAsia" w:ascii="仿宋_GB2312" w:hAnsi="仿宋_GB2312" w:eastAsia="仿宋_GB2312" w:cs="仿宋_GB2312"/>
          <w:spacing w:val="-7"/>
          <w:sz w:val="32"/>
          <w:szCs w:val="32"/>
          <w:u w:val="none" w:color="auto"/>
          <w:lang w:eastAsia="zh-CN"/>
        </w:rPr>
        <w:t>处罚</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color w:val="000000" w:themeColor="text1"/>
          <w:spacing w:val="-7"/>
          <w:sz w:val="32"/>
          <w:szCs w:val="32"/>
          <w:u w:val="none" w:color="auto"/>
          <w:lang w:val="en-US" w:eastAsia="zh-CN"/>
          <w14:textFill>
            <w14:solidFill>
              <w14:schemeClr w14:val="tx1"/>
            </w14:solidFill>
          </w14:textFill>
        </w:rPr>
        <w:t>283</w:t>
      </w:r>
      <w:r>
        <w:rPr>
          <w:rFonts w:hint="eastAsia" w:ascii="仿宋_GB2312" w:hAnsi="仿宋_GB2312" w:eastAsia="仿宋_GB2312" w:cs="仿宋_GB2312"/>
          <w:spacing w:val="-7"/>
          <w:sz w:val="32"/>
          <w:szCs w:val="32"/>
          <w:u w:val="none" w:color="auto"/>
        </w:rPr>
        <w:t>号</w:t>
      </w:r>
    </w:p>
    <w:p w14:paraId="0F9214CD">
      <w:pPr>
        <w:spacing w:line="240" w:lineRule="auto"/>
        <w:rPr>
          <w:rFonts w:ascii="Microsoft JhengHei"/>
          <w:sz w:val="21"/>
        </w:rPr>
      </w:pPr>
    </w:p>
    <w:p w14:paraId="2D259747">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当事人：</w:t>
      </w:r>
      <w:r>
        <w:rPr>
          <w:rFonts w:hint="eastAsia" w:ascii="仿宋_GB2312" w:hAnsi="仿宋_GB2312" w:eastAsia="仿宋_GB2312" w:cs="仿宋_GB2312"/>
          <w:b w:val="0"/>
          <w:bCs/>
          <w:color w:val="000000" w:themeColor="text1"/>
          <w:sz w:val="32"/>
          <w:szCs w:val="32"/>
          <w:u w:val="single" w:color="auto"/>
          <w:lang w:val="en-US" w:eastAsia="zh-CN"/>
          <w14:textFill>
            <w14:solidFill>
              <w14:schemeClr w14:val="tx1"/>
            </w14:solidFill>
          </w14:textFill>
        </w:rPr>
        <w:t>田家庵区永鲜一百超市</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bookmarkStart w:id="0" w:name="_GoBack"/>
      <w:bookmarkEnd w:id="0"/>
      <w:r>
        <w:rPr>
          <w:rFonts w:hint="eastAsia" w:ascii="仿宋_GB2312" w:hAnsi="仿宋_GB2312" w:eastAsia="仿宋_GB2312" w:cs="仿宋_GB2312"/>
          <w:spacing w:val="0"/>
          <w:w w:val="100"/>
          <w:sz w:val="32"/>
          <w:szCs w:val="32"/>
          <w:u w:val="none" w:color="auto"/>
        </w:rPr>
        <w:t xml:space="preserve">                </w:t>
      </w:r>
    </w:p>
    <w:p w14:paraId="6871910C">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主体资格证照名称：</w:t>
      </w:r>
      <w:r>
        <w:rPr>
          <w:rFonts w:hint="eastAsia" w:ascii="仿宋_GB2312" w:hAnsi="仿宋_GB2312" w:eastAsia="仿宋_GB2312" w:cs="仿宋_GB2312"/>
          <w:spacing w:val="0"/>
          <w:w w:val="100"/>
          <w:sz w:val="32"/>
          <w:szCs w:val="32"/>
          <w:u w:val="single" w:color="auto"/>
          <w:lang w:eastAsia="zh-CN"/>
        </w:rPr>
        <w:t>营业执照</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47D8470A">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spacing w:val="0"/>
          <w:w w:val="100"/>
          <w:sz w:val="32"/>
          <w:szCs w:val="32"/>
          <w:u w:val="none" w:color="auto"/>
        </w:rPr>
        <w:t>：</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92340403MA8PPYRF86</w:t>
      </w:r>
      <w:r>
        <w:rPr>
          <w:rFonts w:hint="eastAsia" w:ascii="仿宋_GB2312" w:hAnsi="仿宋_GB2312" w:eastAsia="仿宋_GB2312" w:cs="仿宋_GB2312"/>
          <w:spacing w:val="0"/>
          <w:w w:val="100"/>
          <w:sz w:val="32"/>
          <w:szCs w:val="32"/>
          <w:u w:val="none" w:color="auto"/>
        </w:rPr>
        <w:t xml:space="preserve">                       </w:t>
      </w:r>
    </w:p>
    <w:p w14:paraId="2D1B725A">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color w:val="000000"/>
          <w:spacing w:val="0"/>
          <w:w w:val="100"/>
          <w:sz w:val="32"/>
          <w:szCs w:val="32"/>
          <w:u w:val="single" w:color="auto"/>
          <w:lang w:val="en-US" w:eastAsia="zh-CN"/>
        </w:rPr>
        <w:t>淮南市田家庵区曹庵镇曹水社区镇政府东侧</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4B7AEB08">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法定代表人（负责人、经营者</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b w:val="0"/>
          <w:bCs/>
          <w:color w:val="000000" w:themeColor="text1"/>
          <w:sz w:val="32"/>
          <w:szCs w:val="32"/>
          <w:u w:val="single" w:color="auto"/>
          <w14:textFill>
            <w14:solidFill>
              <w14:schemeClr w14:val="tx1"/>
            </w14:solidFill>
          </w14:textFill>
        </w:rPr>
        <w:t>张</w:t>
      </w:r>
      <w:r>
        <w:rPr>
          <w:rFonts w:hint="eastAsia" w:ascii="仿宋_GB2312" w:hAnsi="仿宋_GB2312" w:eastAsia="仿宋_GB2312" w:cs="仿宋_GB2312"/>
          <w:b w:val="0"/>
          <w:bCs/>
          <w:color w:val="000000" w:themeColor="text1"/>
          <w:sz w:val="32"/>
          <w:szCs w:val="32"/>
          <w:u w:val="single" w:color="auto"/>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single" w:color="auto"/>
          <w14:textFill>
            <w14:solidFill>
              <w14:schemeClr w14:val="tx1"/>
            </w14:solidFill>
          </w14:textFill>
        </w:rPr>
        <w:t>杰</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43ABC09F">
      <w:pPr>
        <w:keepNext w:val="0"/>
        <w:keepLines w:val="0"/>
        <w:pageBreakBefore w:val="0"/>
        <w:wordWrap/>
        <w:overflowPunct/>
        <w:topLinePunct w:val="0"/>
        <w:bidi w:val="0"/>
        <w:spacing w:line="540" w:lineRule="exact"/>
        <w:ind w:left="0" w:right="0" w:firstLine="0"/>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身份证件号码：</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u w:val="none" w:color="auto"/>
        </w:rPr>
        <w:t xml:space="preserve">              </w:t>
      </w:r>
    </w:p>
    <w:p w14:paraId="122D0840">
      <w:pPr>
        <w:keepNext w:val="0"/>
        <w:keepLines w:val="0"/>
        <w:pageBreakBefore w:val="0"/>
        <w:wordWrap/>
        <w:overflowPunct/>
        <w:topLinePunct w:val="0"/>
        <w:bidi w:val="0"/>
        <w:spacing w:line="54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rPr>
        <w:t>***********</w:t>
      </w:r>
    </w:p>
    <w:p w14:paraId="31B6CDF1">
      <w:pPr>
        <w:keepNext w:val="0"/>
        <w:keepLines w:val="0"/>
        <w:pageBreakBefore w:val="0"/>
        <w:wordWrap/>
        <w:overflowPunct/>
        <w:topLinePunct w:val="0"/>
        <w:bidi w:val="0"/>
        <w:spacing w:line="540" w:lineRule="exact"/>
        <w:rPr>
          <w:rFonts w:hint="eastAsia" w:ascii="仿宋_GB2312" w:hAnsi="仿宋_GB2312" w:eastAsia="仿宋_GB2312" w:cs="仿宋_GB2312"/>
          <w:sz w:val="32"/>
          <w:szCs w:val="32"/>
          <w:u w:val="single"/>
          <w:lang w:val="en-US" w:eastAsia="zh-CN"/>
        </w:rPr>
      </w:pPr>
    </w:p>
    <w:p w14:paraId="3C9302B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2025年5月13日淮南市田家庵区市场监督管理局委托山东腾翔产品质量检测有限责任公司对田家庵区永鲜一百超市销售的“妙吉象精品航旅杯”（型号规格：235ml）进行监督抽验，经检验，检验结论为“不合格”。我局执法人员于2025年6月26日向当事人现场送达了《检验检测报告》（报告编号：TXZJ/20250513008），现场发现10包“妙吉象精品航旅杯”（规格：235ml、生产日期：2024年10月8日）。执法人员现场对上述产品实施了行政强制措施并下达《实施行政强制措施决定书》（淮市监田强制〔2025〕8-12号）、《财务清单》（淮市监田物字〔2025〕8-12号）。当事人销售不合格“妙吉象精品航旅杯”（规格：235ml、生产日期：2024年10月8日）的行为，涉嫌违反了《中华人民共和国产品质量法》第十三条第二款的规定。当事人在法定期限内未提出复检申请。我局于2025年6月26日立案调查，指定刘勇、常虹为办案人员，并于2025年7月9日依法对当事人进行了询问。</w:t>
      </w:r>
    </w:p>
    <w:p w14:paraId="0728E5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调查认定的事实：经查，当事人销售的产品名称：“妙吉象精品航旅杯”（规格：235ml、生产日期：2024年10月8日），经检验，负重性能项目不符合《塑料一次性餐饮具通用技术要求》（GB/T18006.1-2009）标准，检验结论为不合格。当事人于2025年1月14日在拼多多平台网店：妙吉象生活馆购进上述不合格批次的“妙吉象精品航旅杯”（规格：235ml、生产日期：2024年10月8日）共计80包，已售出68包，其中66包用于日常经营销售，2包用于抽检，未售出12包，其中2包封样留存。上述不合格批次“妙吉象精品航旅杯”进价1.4元/包，售价4.8元/包，共售出68包，货值金额共计384元，违法所得231.2元。</w:t>
      </w:r>
    </w:p>
    <w:p w14:paraId="4FD9BB2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上述事实，主要有以下证据证明：</w:t>
      </w:r>
    </w:p>
    <w:p w14:paraId="14658B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质量监督抽查/复查抽样单》（编号：T-004）一份，证明淮南市田家庵区市场监督管理局委托山东腾翔产品质量检测有限责任公司对田家庵区永鲜一百超市销售的“妙吉象精品航旅杯”（规格：235ml、生产日期：2024年10月8日）进行抽样的事实；</w:t>
      </w:r>
    </w:p>
    <w:p w14:paraId="17C31A3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2.《检验检测报告》（报告编号：TXZJ/20250513008）一份，证明当事人销售的“妙吉象精品航旅杯”（规格：235ml、生产日期：2024年10月8日）检验结论为不合格的事实；</w:t>
      </w:r>
    </w:p>
    <w:p w14:paraId="1C1EC5E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3.《现场笔录》《询问笔录》各一份，现场照片2张，证明当事人销售的不合格批次“妙吉象精品航旅杯”（规格：235ml、生产日期：2024年10月8日）货值金额、违法所得的事实;</w:t>
      </w:r>
    </w:p>
    <w:p w14:paraId="0CB5003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4.当事人的营业执照复印件1份，经营者身份证复印件1份，授权委托书1份，被授权人身份证复印件1份，证明当事人主体资格。</w:t>
      </w:r>
    </w:p>
    <w:p w14:paraId="4EBC8D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以上证据均经过了出证人的确认。</w:t>
      </w:r>
    </w:p>
    <w:p w14:paraId="1A60AE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本案采取行政强制措施，对照行政机关移送涉嫌犯罪案件的标准，尚不够移送追诉当事人刑事责任的条件。 </w:t>
      </w:r>
    </w:p>
    <w:p w14:paraId="456201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highlight w:val="none"/>
          <w:u w:val="none"/>
          <w:lang w:val="en-US" w:eastAsia="zh-CN"/>
        </w:rPr>
        <w:t>2025年7月24日，本局向当事人送达了</w:t>
      </w:r>
      <w:r>
        <w:rPr>
          <w:rFonts w:hint="eastAsia" w:ascii="仿宋_GB2312" w:hAnsi="仿宋_GB2312" w:eastAsia="仿宋_GB2312" w:cs="仿宋_GB2312"/>
          <w:spacing w:val="-7"/>
          <w:sz w:val="32"/>
          <w:szCs w:val="32"/>
          <w:u w:val="none" w:color="auto"/>
          <w:lang w:eastAsia="zh-CN"/>
        </w:rPr>
        <w:t>《</w:t>
      </w:r>
      <w:r>
        <w:rPr>
          <w:rFonts w:hint="eastAsia" w:ascii="仿宋_GB2312" w:hAnsi="仿宋_GB2312" w:eastAsia="仿宋_GB2312" w:cs="仿宋_GB2312"/>
          <w:color w:val="auto"/>
          <w:sz w:val="32"/>
          <w:szCs w:val="32"/>
          <w:highlight w:val="none"/>
          <w:u w:val="none"/>
          <w:lang w:val="en-US" w:eastAsia="zh-CN"/>
        </w:rPr>
        <w:t>行政处罚告知书</w:t>
      </w:r>
      <w:r>
        <w:rPr>
          <w:rFonts w:hint="eastAsia" w:ascii="仿宋_GB2312" w:hAnsi="仿宋_GB2312" w:eastAsia="仿宋_GB2312" w:cs="仿宋_GB2312"/>
          <w:spacing w:val="-7"/>
          <w:sz w:val="32"/>
          <w:szCs w:val="32"/>
          <w:u w:val="none" w:color="auto"/>
          <w:lang w:eastAsia="zh-CN"/>
        </w:rPr>
        <w:t>》（</w:t>
      </w:r>
      <w:r>
        <w:rPr>
          <w:rFonts w:hint="eastAsia" w:ascii="仿宋_GB2312" w:hAnsi="仿宋_GB2312" w:eastAsia="仿宋_GB2312" w:cs="仿宋_GB2312"/>
          <w:sz w:val="32"/>
          <w:szCs w:val="32"/>
          <w:u w:val="none" w:color="auto"/>
          <w:lang w:eastAsia="zh-CN"/>
        </w:rPr>
        <w:t>淮</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田</w:t>
      </w:r>
      <w:r>
        <w:rPr>
          <w:rFonts w:hint="eastAsia" w:ascii="仿宋_GB2312" w:hAnsi="仿宋_GB2312" w:eastAsia="仿宋_GB2312" w:cs="仿宋_GB2312"/>
          <w:spacing w:val="-7"/>
          <w:sz w:val="32"/>
          <w:szCs w:val="32"/>
          <w:u w:val="none" w:color="auto"/>
        </w:rPr>
        <w:t>罚告〔</w:t>
      </w:r>
      <w:r>
        <w:rPr>
          <w:rFonts w:hint="eastAsia" w:ascii="仿宋_GB2312" w:hAnsi="仿宋_GB2312" w:eastAsia="仿宋_GB2312" w:cs="仿宋_GB2312"/>
          <w:spacing w:val="-7"/>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7"/>
          <w:sz w:val="32"/>
          <w:szCs w:val="32"/>
          <w:u w:val="none" w:color="auto"/>
          <w:lang w:val="en-US" w:eastAsia="zh-CN"/>
        </w:rPr>
        <w:t>268</w:t>
      </w:r>
      <w:r>
        <w:rPr>
          <w:rFonts w:hint="eastAsia" w:ascii="仿宋_GB2312" w:hAnsi="仿宋_GB2312" w:eastAsia="仿宋_GB2312" w:cs="仿宋_GB2312"/>
          <w:spacing w:val="-7"/>
          <w:sz w:val="32"/>
          <w:szCs w:val="32"/>
          <w:u w:val="none" w:color="auto"/>
        </w:rPr>
        <w:t>号</w:t>
      </w:r>
      <w:r>
        <w:rPr>
          <w:rFonts w:hint="eastAsia" w:ascii="仿宋_GB2312" w:hAnsi="仿宋_GB2312" w:eastAsia="仿宋_GB2312" w:cs="仿宋_GB2312"/>
          <w:spacing w:val="-7"/>
          <w:sz w:val="32"/>
          <w:szCs w:val="32"/>
          <w:u w:val="none" w:color="auto"/>
          <w:lang w:eastAsia="zh-CN"/>
        </w:rPr>
        <w:t>）</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056853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当事人销售不合格产品的行为违反了《中华人民共和国产品质量法》第十三条第二款“禁止生产、销售不符合保障人体健康和人身、财产安全的标准和要求的工业产品。具体管理办法由国务院规定。”的规定。</w:t>
      </w:r>
    </w:p>
    <w:p w14:paraId="4F1D8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snapToGrid w:val="0"/>
          <w:color w:val="000000" w:themeColor="text1"/>
          <w:spacing w:val="0"/>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snapToGrid w:val="0"/>
          <w:color w:val="000000" w:themeColor="text1"/>
          <w:spacing w:val="0"/>
          <w:kern w:val="0"/>
          <w:sz w:val="32"/>
          <w:szCs w:val="32"/>
          <w:shd w:val="clear" w:color="auto" w:fill="FFFFFF"/>
          <w:lang w:eastAsia="zh-CN"/>
          <w14:textFill>
            <w14:solidFill>
              <w14:schemeClr w14:val="tx1"/>
            </w14:solidFill>
          </w14:textFill>
        </w:rPr>
        <w:t>鉴于“妙吉象精品航旅杯”（规格：235ml、生产日期：2024年10月8日）共计一个检验结果单项判定为不合格，当事人积极配合执法人员查处违法行为，主动减轻违法行为危害后果，依据《中华人民共和国产品质量法》第四十九条第一款“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中华人民共和国行政处罚法》第三十二条第一款第一项“当事人有下列情形之一的，应当依法从轻或者减轻行政处罚：（一）主动消除或者减轻违法行为危害后果的”的规定，参照《安徽省市场监督管理行政处罚裁量权基准》（2024年版）第六十六条第一款第一项第一目“【66】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一）有下列情形之一的，责令停止生产、销售；没收违法生产、销售的产品；处违法生产、销售产品货值金额值等值以上1.6倍以下的罚款；有违法所得的，并处没收违法所得：1.不合格项1项的。”之规定，我局决定责令当事人改正违法行为并予以处罚。</w:t>
      </w:r>
    </w:p>
    <w:p w14:paraId="2C6D231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eastAsia="zh-CN"/>
        </w:rPr>
        <w:t>综上，当事人的行为违反了</w:t>
      </w:r>
      <w:r>
        <w:rPr>
          <w:rFonts w:hint="eastAsia" w:ascii="仿宋_GB2312" w:hAnsi="仿宋_GB2312" w:eastAsia="仿宋_GB2312" w:cs="仿宋_GB2312"/>
          <w:color w:val="auto"/>
          <w:sz w:val="32"/>
          <w:szCs w:val="32"/>
        </w:rPr>
        <w:t>《中华人民共和国产品质量法》第</w:t>
      </w:r>
      <w:r>
        <w:rPr>
          <w:rFonts w:hint="eastAsia" w:ascii="仿宋_GB2312" w:hAnsi="仿宋_GB2312" w:eastAsia="仿宋_GB2312" w:cs="仿宋_GB2312"/>
          <w:b w:val="0"/>
          <w:bCs w:val="0"/>
          <w:color w:val="auto"/>
          <w:sz w:val="32"/>
          <w:szCs w:val="32"/>
          <w:lang w:val="en-US" w:eastAsia="zh-CN"/>
        </w:rPr>
        <w:t>十三条第二款的规定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依据《中华人民共和国产品质量法》第四十九条</w:t>
      </w:r>
      <w:r>
        <w:rPr>
          <w:rFonts w:hint="eastAsia" w:ascii="仿宋_GB2312" w:hAnsi="仿宋_GB2312" w:eastAsia="仿宋_GB2312" w:cs="仿宋_GB2312"/>
          <w:color w:val="auto"/>
          <w:sz w:val="32"/>
          <w:szCs w:val="32"/>
          <w:lang w:eastAsia="zh-CN"/>
        </w:rPr>
        <w:t>第一款、</w:t>
      </w:r>
      <w:r>
        <w:rPr>
          <w:rFonts w:hint="eastAsia" w:ascii="仿宋_GB2312" w:hAnsi="仿宋" w:eastAsia="仿宋_GB2312"/>
          <w:color w:val="000000"/>
          <w:sz w:val="32"/>
          <w:szCs w:val="32"/>
        </w:rPr>
        <w:t>《中华人民共和国行政处罚法》第</w:t>
      </w:r>
      <w:r>
        <w:rPr>
          <w:rFonts w:hint="eastAsia" w:ascii="仿宋_GB2312" w:hAnsi="仿宋" w:eastAsia="仿宋_GB2312"/>
          <w:color w:val="000000"/>
          <w:sz w:val="32"/>
          <w:szCs w:val="32"/>
          <w:lang w:eastAsia="zh-CN"/>
        </w:rPr>
        <w:t>三十二</w:t>
      </w:r>
      <w:r>
        <w:rPr>
          <w:rFonts w:hint="eastAsia" w:ascii="仿宋_GB2312" w:hAnsi="仿宋" w:eastAsia="仿宋_GB2312"/>
          <w:color w:val="000000"/>
          <w:sz w:val="32"/>
          <w:szCs w:val="32"/>
        </w:rPr>
        <w:t>条第一款</w:t>
      </w:r>
      <w:r>
        <w:rPr>
          <w:rFonts w:hint="eastAsia" w:ascii="仿宋_GB2312" w:hAnsi="仿宋" w:eastAsia="仿宋_GB2312"/>
          <w:color w:val="000000"/>
          <w:sz w:val="32"/>
          <w:szCs w:val="32"/>
          <w:lang w:val="en-US" w:eastAsia="zh-CN"/>
        </w:rPr>
        <w:t>第一项</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rPr>
        <w:t>，参照《安徽省市场监督管理行政处罚裁量权基准》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2024年版）</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六十六</w:t>
      </w:r>
      <w:r>
        <w:rPr>
          <w:rFonts w:hint="eastAsia" w:ascii="仿宋_GB2312" w:hAnsi="仿宋_GB2312" w:eastAsia="仿宋_GB2312" w:cs="仿宋_GB2312"/>
          <w:color w:val="auto"/>
          <w:sz w:val="32"/>
          <w:szCs w:val="32"/>
        </w:rPr>
        <w:t>条第一款第一项第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目之规定，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责令当事人立即改正违法行为并对当事人处罚如下：</w:t>
      </w:r>
    </w:p>
    <w:p w14:paraId="38B81E3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1、没收违法所得231.2元；</w:t>
      </w:r>
    </w:p>
    <w:p w14:paraId="5E1BBF5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2、罚款人民币</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14:paraId="38FFAF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3、没收12包</w:t>
      </w:r>
      <w:r>
        <w:rPr>
          <w:rFonts w:hint="eastAsia" w:ascii="仿宋_GB2312" w:hAnsi="仿宋_GB2312" w:eastAsia="仿宋_GB2312" w:cs="仿宋_GB2312"/>
          <w:color w:val="auto"/>
          <w:sz w:val="32"/>
          <w:szCs w:val="32"/>
          <w:lang w:eastAsia="zh-CN"/>
        </w:rPr>
        <w:t>妙吉象精品航旅杯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规格：235ml</w:t>
      </w:r>
      <w:r>
        <w:rPr>
          <w:rFonts w:hint="eastAsia" w:ascii="仿宋_GB2312" w:hAnsi="仿宋_GB2312" w:eastAsia="仿宋_GB2312" w:cs="仿宋_GB2312"/>
          <w:color w:val="auto"/>
          <w:sz w:val="32"/>
          <w:szCs w:val="32"/>
          <w:lang w:eastAsia="zh-CN"/>
        </w:rPr>
        <w:t>、生产日期：</w:t>
      </w:r>
      <w:r>
        <w:rPr>
          <w:rFonts w:hint="eastAsia" w:ascii="仿宋_GB2312" w:hAnsi="仿宋_GB2312" w:eastAsia="仿宋_GB2312" w:cs="仿宋_GB2312"/>
          <w:color w:val="auto"/>
          <w:sz w:val="32"/>
          <w:szCs w:val="32"/>
          <w:lang w:val="en-US" w:eastAsia="zh-CN"/>
        </w:rPr>
        <w:t>2024年10月8日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4B92BF43">
      <w:pPr>
        <w:keepNext w:val="0"/>
        <w:keepLines w:val="0"/>
        <w:pageBreakBefore w:val="0"/>
        <w:widowControl w:val="0"/>
        <w:tabs>
          <w:tab w:val="left" w:pos="8405"/>
        </w:tabs>
        <w:kinsoku/>
        <w:wordWrap/>
        <w:overflowPunct/>
        <w:topLinePunct w:val="0"/>
        <w:autoSpaceDE w:val="0"/>
        <w:autoSpaceDN w:val="0"/>
        <w:bidi w:val="0"/>
        <w:adjustRightInd w:val="0"/>
        <w:snapToGrid/>
        <w:spacing w:line="540" w:lineRule="exact"/>
        <w:ind w:firstLine="627" w:firstLineChars="196"/>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当事人应当自收到本处罚决定书之日起十五日内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当事人逾期不履行行政处罚决定的，本局将依照《中华人民共和国行政处罚法》第七十二条的规定，每日按罚款数额的百分之三加处罚款，并将依法申请人民法院强制执行。</w:t>
      </w:r>
    </w:p>
    <w:p w14:paraId="1CD08FE3">
      <w:pPr>
        <w:keepNext w:val="0"/>
        <w:keepLines w:val="0"/>
        <w:pageBreakBefore w:val="0"/>
        <w:widowControl w:val="0"/>
        <w:tabs>
          <w:tab w:val="left" w:pos="8405"/>
        </w:tabs>
        <w:kinsoku/>
        <w:wordWrap/>
        <w:overflowPunct/>
        <w:topLinePunct w:val="0"/>
        <w:autoSpaceDE w:val="0"/>
        <w:autoSpaceDN w:val="0"/>
        <w:bidi w:val="0"/>
        <w:adjustRightInd w:val="0"/>
        <w:snapToGrid/>
        <w:spacing w:line="540" w:lineRule="exact"/>
        <w:ind w:firstLine="627" w:firstLineChars="196"/>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7661C7F4">
      <w:pPr>
        <w:keepNext w:val="0"/>
        <w:keepLines w:val="0"/>
        <w:pageBreakBefore w:val="0"/>
        <w:widowControl w:val="0"/>
        <w:tabs>
          <w:tab w:val="left" w:pos="8405"/>
        </w:tabs>
        <w:kinsoku/>
        <w:wordWrap/>
        <w:overflowPunct/>
        <w:topLinePunct w:val="0"/>
        <w:autoSpaceDE w:val="0"/>
        <w:autoSpaceDN w:val="0"/>
        <w:bidi w:val="0"/>
        <w:adjustRightInd w:val="0"/>
        <w:snapToGrid/>
        <w:spacing w:line="540" w:lineRule="exact"/>
        <w:ind w:firstLine="627" w:firstLineChars="196"/>
        <w:jc w:val="left"/>
        <w:textAlignment w:val="auto"/>
        <w:rPr>
          <w:rFonts w:hint="eastAsia" w:ascii="仿宋_GB2312" w:hAnsi="仿宋_GB2312" w:eastAsia="仿宋_GB2312" w:cs="仿宋_GB2312"/>
          <w:color w:val="000000"/>
          <w:kern w:val="0"/>
          <w:sz w:val="32"/>
          <w:szCs w:val="32"/>
          <w:lang w:val="en-US" w:eastAsia="zh-CN" w:bidi="ar-SA"/>
        </w:rPr>
      </w:pPr>
    </w:p>
    <w:p w14:paraId="0EAE8C23">
      <w:pPr>
        <w:keepNext w:val="0"/>
        <w:keepLines w:val="0"/>
        <w:pageBreakBefore w:val="0"/>
        <w:tabs>
          <w:tab w:val="left" w:pos="5667"/>
        </w:tabs>
        <w:wordWrap/>
        <w:overflowPunct/>
        <w:topLinePunct w:val="0"/>
        <w:bidi w:val="0"/>
        <w:spacing w:line="540" w:lineRule="exact"/>
        <w:ind w:left="0" w:right="0" w:firstLine="0"/>
        <w:jc w:val="right"/>
        <w:rPr>
          <w:rFonts w:hint="eastAsia" w:ascii="仿宋_GB2312" w:hAnsi="仿宋_GB2312" w:eastAsia="仿宋_GB2312" w:cs="仿宋_GB2312"/>
          <w:sz w:val="32"/>
          <w:szCs w:val="32"/>
          <w:u w:val="none" w:color="auto"/>
          <w:lang w:eastAsia="zh-CN"/>
        </w:rPr>
      </w:pPr>
    </w:p>
    <w:p w14:paraId="047A3397">
      <w:pPr>
        <w:keepNext w:val="0"/>
        <w:keepLines w:val="0"/>
        <w:pageBreakBefore w:val="0"/>
        <w:tabs>
          <w:tab w:val="left" w:pos="5667"/>
        </w:tabs>
        <w:wordWrap/>
        <w:overflowPunct/>
        <w:topLinePunct w:val="0"/>
        <w:bidi w:val="0"/>
        <w:spacing w:line="540" w:lineRule="exac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lang w:eastAsia="zh-CN"/>
        </w:rPr>
        <w:t>淮南市</w:t>
      </w:r>
      <w:r>
        <w:rPr>
          <w:rFonts w:hint="eastAsia" w:ascii="仿宋_GB2312" w:hAnsi="仿宋_GB2312" w:eastAsia="仿宋_GB2312" w:cs="仿宋_GB2312"/>
          <w:spacing w:val="-4"/>
          <w:sz w:val="32"/>
          <w:szCs w:val="32"/>
        </w:rPr>
        <w:t>市场监督管理局</w:t>
      </w:r>
      <w:r>
        <w:rPr>
          <w:rFonts w:hint="eastAsia" w:ascii="仿宋_GB2312" w:hAnsi="仿宋_GB2312" w:eastAsia="仿宋_GB2312" w:cs="仿宋_GB2312"/>
          <w:sz w:val="32"/>
          <w:szCs w:val="32"/>
        </w:rPr>
        <w:t xml:space="preserve"> </w:t>
      </w:r>
    </w:p>
    <w:p w14:paraId="755450DC">
      <w:pPr>
        <w:keepNext w:val="0"/>
        <w:keepLines w:val="0"/>
        <w:pageBreakBefore w:val="0"/>
        <w:wordWrap/>
        <w:overflowPunct/>
        <w:topLinePunct w:val="0"/>
        <w:bidi w:val="0"/>
        <w:spacing w:line="540" w:lineRule="exact"/>
        <w:jc w:val="center"/>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 xml:space="preserve">                                            2025年8月1日</w:t>
      </w:r>
    </w:p>
    <w:p w14:paraId="08AD54FA">
      <w:pPr>
        <w:keepNext w:val="0"/>
        <w:keepLines w:val="0"/>
        <w:pageBreakBefore w:val="0"/>
        <w:wordWrap/>
        <w:overflowPunct/>
        <w:topLinePunct w:val="0"/>
        <w:bidi w:val="0"/>
        <w:spacing w:line="540" w:lineRule="exact"/>
        <w:jc w:val="right"/>
        <w:rPr>
          <w:rFonts w:hint="eastAsia" w:ascii="仿宋_GB2312" w:hAnsi="仿宋_GB2312" w:eastAsia="仿宋_GB2312" w:cs="仿宋_GB2312"/>
          <w:spacing w:val="-16"/>
          <w:sz w:val="32"/>
          <w:szCs w:val="32"/>
          <w:lang w:val="en-US" w:eastAsia="zh-CN"/>
        </w:rPr>
      </w:pPr>
    </w:p>
    <w:p w14:paraId="476E4AE9">
      <w:pPr>
        <w:keepNext w:val="0"/>
        <w:keepLines w:val="0"/>
        <w:pageBreakBefore w:val="0"/>
        <w:wordWrap/>
        <w:overflowPunct/>
        <w:topLinePunct w:val="0"/>
        <w:bidi w:val="0"/>
        <w:spacing w:line="540" w:lineRule="exact"/>
        <w:jc w:val="both"/>
        <w:rPr>
          <w:rFonts w:hint="eastAsia" w:ascii="仿宋_GB2312" w:hAnsi="仿宋_GB2312" w:eastAsia="仿宋_GB2312" w:cs="仿宋_GB2312"/>
          <w:spacing w:val="-16"/>
          <w:sz w:val="32"/>
          <w:szCs w:val="32"/>
          <w:lang w:val="en-US" w:eastAsia="zh-CN"/>
        </w:rPr>
      </w:pPr>
    </w:p>
    <w:p w14:paraId="7A2E164D">
      <w:pPr>
        <w:pStyle w:val="2"/>
        <w:keepNext w:val="0"/>
        <w:keepLines w:val="0"/>
        <w:pageBreakBefore w:val="0"/>
        <w:wordWrap/>
        <w:overflowPunct/>
        <w:topLinePunct w:val="0"/>
        <w:bidi w:val="0"/>
        <w:spacing w:before="1" w:line="540" w:lineRule="exact"/>
        <w:ind w:left="163"/>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231F20"/>
          <w:spacing w:val="-16"/>
          <w:sz w:val="32"/>
          <w:szCs w:val="32"/>
          <w:lang w:val="en-US" w:eastAsia="zh-CN"/>
        </w:rPr>
        <w:t>（市场监督管理部门将依法向社会公示本行政处罚决定信息）</w:t>
      </w:r>
    </w:p>
    <w:p w14:paraId="5772FB94">
      <w:pPr>
        <w:keepNext w:val="0"/>
        <w:keepLines w:val="0"/>
        <w:pageBreakBefore w:val="0"/>
        <w:widowControl w:val="0"/>
        <w:kinsoku/>
        <w:wordWrap/>
        <w:overflowPunct/>
        <w:topLinePunct w:val="0"/>
        <w:bidi w:val="0"/>
        <w:snapToGrid w:val="0"/>
        <w:spacing w:line="54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Fm9m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DR4p2+/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由办案机构留存</w:t>
      </w:r>
      <w:r>
        <w:rPr>
          <w:rFonts w:hint="eastAsia" w:ascii="仿宋_GB2312" w:hAnsi="仿宋_GB2312" w:eastAsia="仿宋_GB2312" w:cs="仿宋_GB2312"/>
          <w:color w:val="000000"/>
          <w:sz w:val="32"/>
          <w:szCs w:val="32"/>
        </w:rPr>
        <w:t>。</w:t>
      </w:r>
    </w:p>
    <w:p w14:paraId="6498F071"/>
    <w:p w14:paraId="142D0C5A"/>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4E01">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903D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6903D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A95B">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4E15"/>
    <w:rsid w:val="38822AC1"/>
    <w:rsid w:val="7BB1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2025-08-01T09:21:00Z</dcterms:created>
  <dc:creator>盗梦空间般的人生</dc:creator>
  <cp:lastModifiedBy>盗梦空间般的人生</cp:lastModifiedBy>
  <dcterms:modified xsi:type="dcterms:W3CDTF">2025-08-01T09:22:50Z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35CA87AF46C8480C87D8B1A97F54DF64_11</vt:lpwstr>
  </property>
  <property fmtid="{D5CDD505-2E9C-101B-9397-08002B2CF9AE}" pid="4" name="KSOTemplateDocerSaveRecord">
    <vt:lpwstr>eyJoZGlkIjoiYmE5OTY3NzQzYzk4YTZkOTdjMTkwOWEwOGVlNmU1YTAiLCJ1c2VySWQiOiIzMDk4NjYxOTQifQ==</vt:lpwstr>
  </property>
</Properties>
</file>