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0F53C">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eastAsia="zh-CN"/>
        </w:rPr>
        <w:t>淮南市</w:t>
      </w:r>
      <w:r>
        <w:rPr>
          <w:rFonts w:hint="eastAsia" w:ascii="方正小标宋简体" w:hAnsi="方正小标宋简体" w:eastAsia="方正小标宋简体" w:cs="方正小标宋简体"/>
          <w:bCs/>
          <w:sz w:val="44"/>
          <w:szCs w:val="44"/>
        </w:rPr>
        <w:t>市场监督管理局</w:t>
      </w:r>
    </w:p>
    <w:p w14:paraId="0F4EA0F1">
      <w:pPr>
        <w:spacing w:line="560" w:lineRule="exact"/>
        <w:jc w:val="center"/>
        <w:rPr>
          <w:rFonts w:ascii="Times New Roman" w:hAnsi="Times New Roman"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p>
    <w:p w14:paraId="69822E29">
      <w:pPr>
        <w:keepNext w:val="0"/>
        <w:keepLines w:val="0"/>
        <w:pageBreakBefore w:val="0"/>
        <w:widowControl/>
        <w:kinsoku/>
        <w:wordWrap w:val="0"/>
        <w:overflowPunct/>
        <w:topLinePunct w:val="0"/>
        <w:autoSpaceDE/>
        <w:autoSpaceDN/>
        <w:bidi w:val="0"/>
        <w:adjustRightInd/>
        <w:snapToGrid w:val="0"/>
        <w:spacing w:line="380" w:lineRule="exact"/>
        <w:ind w:right="55"/>
        <w:jc w:val="center"/>
        <w:textAlignment w:val="auto"/>
        <w:rPr>
          <w:rFonts w:hint="eastAsia" w:ascii="仿宋_GB2312" w:hAnsi="仿宋_GB2312" w:eastAsia="仿宋_GB2312" w:cs="仿宋_GB2312"/>
          <w:b/>
          <w:bCs w:val="0"/>
          <w:color w:val="FF0000"/>
          <w:spacing w:val="0"/>
          <w:kern w:val="1"/>
          <w:sz w:val="32"/>
          <w:szCs w:val="32"/>
        </w:rPr>
      </w:pPr>
      <w:r>
        <w:rPr>
          <w:rFonts w:hint="eastAsia" w:ascii="仿宋_GB2312" w:hAnsi="仿宋_GB2312" w:eastAsia="仿宋_GB2312" w:cs="仿宋_GB2312"/>
          <w:b/>
          <w:bCs w:val="0"/>
          <w:color w:val="000000"/>
          <w:spacing w:val="0"/>
          <w:sz w:val="32"/>
          <w:szCs w:val="32"/>
          <w:lang w:eastAsia="zh-CN"/>
        </w:rPr>
        <w:t>淮田</w:t>
      </w:r>
      <w:r>
        <w:rPr>
          <w:rFonts w:hint="eastAsia" w:ascii="仿宋_GB2312" w:hAnsi="仿宋_GB2312" w:eastAsia="仿宋_GB2312" w:cs="仿宋_GB2312"/>
          <w:b/>
          <w:bCs w:val="0"/>
          <w:color w:val="000000"/>
          <w:spacing w:val="0"/>
          <w:sz w:val="32"/>
          <w:szCs w:val="32"/>
        </w:rPr>
        <w:t>市监</w:t>
      </w:r>
      <w:r>
        <w:rPr>
          <w:rFonts w:hint="eastAsia" w:ascii="仿宋_GB2312" w:hAnsi="仿宋_GB2312" w:eastAsia="仿宋_GB2312" w:cs="仿宋_GB2312"/>
          <w:b/>
          <w:bCs w:val="0"/>
          <w:color w:val="000000"/>
          <w:spacing w:val="0"/>
          <w:sz w:val="32"/>
          <w:szCs w:val="32"/>
          <w:lang w:eastAsia="zh-CN"/>
        </w:rPr>
        <w:t>处罚</w:t>
      </w:r>
      <w:r>
        <w:rPr>
          <w:rFonts w:hint="eastAsia" w:ascii="仿宋_GB2312" w:hAnsi="仿宋_GB2312" w:eastAsia="仿宋_GB2312" w:cs="仿宋_GB2312"/>
          <w:b/>
          <w:bCs w:val="0"/>
          <w:color w:val="auto"/>
          <w:spacing w:val="0"/>
          <w:sz w:val="32"/>
          <w:szCs w:val="32"/>
        </w:rPr>
        <w:t>〔</w:t>
      </w:r>
      <w:r>
        <w:rPr>
          <w:rFonts w:hint="eastAsia" w:ascii="仿宋_GB2312" w:hAnsi="仿宋_GB2312" w:eastAsia="仿宋_GB2312" w:cs="仿宋_GB2312"/>
          <w:b/>
          <w:bCs w:val="0"/>
          <w:color w:val="auto"/>
          <w:spacing w:val="0"/>
          <w:sz w:val="32"/>
          <w:szCs w:val="32"/>
          <w:lang w:val="en-US" w:eastAsia="zh-CN"/>
        </w:rPr>
        <w:t>2025</w:t>
      </w:r>
      <w:r>
        <w:rPr>
          <w:rFonts w:hint="eastAsia" w:ascii="仿宋_GB2312" w:hAnsi="仿宋_GB2312" w:eastAsia="仿宋_GB2312" w:cs="仿宋_GB2312"/>
          <w:b/>
          <w:bCs w:val="0"/>
          <w:color w:val="auto"/>
          <w:spacing w:val="0"/>
          <w:sz w:val="32"/>
          <w:szCs w:val="32"/>
        </w:rPr>
        <w:t>〕</w:t>
      </w:r>
      <w:r>
        <w:rPr>
          <w:rFonts w:hint="eastAsia" w:ascii="仿宋_GB2312" w:hAnsi="仿宋_GB2312" w:eastAsia="仿宋_GB2312" w:cs="仿宋_GB2312"/>
          <w:b/>
          <w:bCs w:val="0"/>
          <w:color w:val="auto"/>
          <w:spacing w:val="0"/>
          <w:sz w:val="32"/>
          <w:szCs w:val="32"/>
          <w:lang w:val="en-US" w:eastAsia="zh-CN"/>
        </w:rPr>
        <w:t>356号</w:t>
      </w:r>
    </w:p>
    <w:p w14:paraId="78D718AE">
      <w:pPr>
        <w:keepNext w:val="0"/>
        <w:keepLines w:val="0"/>
        <w:pageBreakBefore w:val="0"/>
        <w:widowControl/>
        <w:kinsoku/>
        <w:wordWrap w:val="0"/>
        <w:overflowPunct/>
        <w:topLinePunct/>
        <w:bidi w:val="0"/>
        <w:snapToGrid w:val="0"/>
        <w:spacing w:line="380" w:lineRule="exact"/>
        <w:ind w:right="55"/>
        <w:rPr>
          <w:rFonts w:hint="eastAsia" w:ascii="仿宋_GB2312" w:hAnsi="仿宋_GB2312" w:eastAsia="仿宋_GB2312" w:cs="仿宋_GB2312"/>
          <w:bCs/>
          <w:kern w:val="1"/>
          <w:sz w:val="32"/>
          <w:szCs w:val="32"/>
        </w:rPr>
      </w:pPr>
    </w:p>
    <w:p w14:paraId="09C5FE5B">
      <w:pPr>
        <w:keepNext w:val="0"/>
        <w:keepLines w:val="0"/>
        <w:pageBreakBefore w:val="0"/>
        <w:widowControl w:val="0"/>
        <w:kinsoku/>
        <w:wordWrap w:val="0"/>
        <w:overflowPunct w:val="0"/>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当事人：</w:t>
      </w:r>
      <w:r>
        <w:rPr>
          <w:rFonts w:hint="eastAsia" w:ascii="仿宋_GB2312" w:hAnsi="仿宋_GB2312" w:eastAsia="仿宋_GB2312" w:cs="仿宋_GB2312"/>
          <w:color w:val="000000"/>
          <w:sz w:val="32"/>
          <w:szCs w:val="32"/>
          <w:lang w:val="en-US" w:eastAsia="zh-CN"/>
        </w:rPr>
        <w:t>淮南突破商贸有限公司</w:t>
      </w:r>
    </w:p>
    <w:p w14:paraId="51AA1025">
      <w:pPr>
        <w:keepNext w:val="0"/>
        <w:keepLines w:val="0"/>
        <w:pageBreakBefore w:val="0"/>
        <w:widowControl w:val="0"/>
        <w:kinsoku/>
        <w:wordWrap w:val="0"/>
        <w:overflowPunct w:val="0"/>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主体证照资格名称：营业执照</w:t>
      </w:r>
    </w:p>
    <w:p w14:paraId="548A0432">
      <w:pPr>
        <w:keepNext w:val="0"/>
        <w:keepLines w:val="0"/>
        <w:pageBreakBefore w:val="0"/>
        <w:widowControl w:val="0"/>
        <w:kinsoku/>
        <w:wordWrap w:val="0"/>
        <w:overflowPunct w:val="0"/>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Cs/>
          <w:sz w:val="32"/>
          <w:szCs w:val="32"/>
          <w:highlight w:val="none"/>
          <w:u w:val="none"/>
          <w:lang w:eastAsia="zh-CN"/>
        </w:rPr>
      </w:pPr>
      <w:r>
        <w:rPr>
          <w:rFonts w:hint="eastAsia" w:ascii="仿宋_GB2312" w:hAnsi="仿宋_GB2312" w:eastAsia="仿宋_GB2312" w:cs="仿宋_GB2312"/>
          <w:color w:val="000000"/>
          <w:sz w:val="32"/>
          <w:szCs w:val="32"/>
          <w:lang w:val="en-US" w:eastAsia="zh-CN"/>
        </w:rPr>
        <w:t>统一社会信用代码：91340403MAD5HAX561</w:t>
      </w:r>
    </w:p>
    <w:p w14:paraId="27E02F60">
      <w:pPr>
        <w:keepNext w:val="0"/>
        <w:keepLines w:val="0"/>
        <w:pageBreakBefore w:val="0"/>
        <w:widowControl w:val="0"/>
        <w:kinsoku/>
        <w:wordWrap w:val="0"/>
        <w:overflowPunct w:val="0"/>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住所（住址）：</w:t>
      </w:r>
      <w:r>
        <w:rPr>
          <w:rFonts w:hint="eastAsia" w:ascii="仿宋_GB2312" w:hAnsi="仿宋_GB2312" w:eastAsia="仿宋_GB2312" w:cs="仿宋_GB2312"/>
          <w:color w:val="000000"/>
          <w:sz w:val="32"/>
          <w:szCs w:val="32"/>
          <w:lang w:val="en-US" w:eastAsia="zh-CN"/>
        </w:rPr>
        <w:t>安徽省淮南市田家庵区朝阳街道朝阳东路D壹街区6＃107号商铺</w:t>
      </w:r>
    </w:p>
    <w:p w14:paraId="0BC7F8D4">
      <w:pPr>
        <w:keepNext w:val="0"/>
        <w:keepLines w:val="0"/>
        <w:pageBreakBefore w:val="0"/>
        <w:widowControl w:val="0"/>
        <w:kinsoku/>
        <w:wordWrap w:val="0"/>
        <w:overflowPunct w:val="0"/>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法定代表人（负责人、经营者）：</w:t>
      </w:r>
      <w:r>
        <w:rPr>
          <w:rFonts w:hint="eastAsia" w:ascii="仿宋_GB2312" w:hAnsi="仿宋_GB2312" w:eastAsia="仿宋_GB2312" w:cs="仿宋_GB2312"/>
          <w:color w:val="000000"/>
          <w:sz w:val="32"/>
          <w:szCs w:val="32"/>
          <w:lang w:val="en-US" w:eastAsia="zh-CN"/>
        </w:rPr>
        <w:t>程*苗</w:t>
      </w:r>
      <w:bookmarkStart w:id="1" w:name="_GoBack"/>
      <w:bookmarkEnd w:id="1"/>
    </w:p>
    <w:p w14:paraId="50F4DBD2">
      <w:pPr>
        <w:keepNext w:val="0"/>
        <w:keepLines w:val="0"/>
        <w:pageBreakBefore w:val="0"/>
        <w:widowControl w:val="0"/>
        <w:kinsoku/>
        <w:wordWrap w:val="0"/>
        <w:overflowPunct w:val="0"/>
        <w:topLinePunct w:val="0"/>
        <w:autoSpaceDE/>
        <w:autoSpaceDN/>
        <w:bidi w:val="0"/>
        <w:adjustRightInd w:val="0"/>
        <w:snapToGrid w:val="0"/>
        <w:spacing w:line="52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bCs/>
          <w:sz w:val="32"/>
          <w:szCs w:val="32"/>
          <w:highlight w:val="none"/>
          <w:lang w:eastAsia="zh-CN"/>
        </w:rPr>
        <w:t>身份证件号码：</w:t>
      </w:r>
      <w:r>
        <w:rPr>
          <w:rFonts w:hint="eastAsia" w:ascii="仿宋_GB2312" w:hAnsi="仿宋_GB2312" w:eastAsia="仿宋_GB2312" w:cs="仿宋_GB2312"/>
          <w:color w:val="000000"/>
          <w:sz w:val="32"/>
          <w:szCs w:val="32"/>
          <w:lang w:val="en-US" w:eastAsia="zh-CN"/>
        </w:rPr>
        <w:t>******************</w:t>
      </w:r>
    </w:p>
    <w:p w14:paraId="76D836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14:paraId="3DD675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2025年7月25日，我局执法人员对当事人进行检查，发现当事人正在销售的三辆电动自行车（车辆整车编码分别为：329222550329722、329222550329704、305322550006100）的外观均与配套的产品合格证上的车辆外观示意图不一致。当事人现场承认，对以上三辆电动自行车的座椅、遮丑板、货架、靠背板进行了改装。当事人涉嫌非法改装电动自行车。本局于2025年7月25日立案调查，2025年7月25日依法对当事人进行了询问。</w:t>
      </w:r>
    </w:p>
    <w:p w14:paraId="4A388E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经查明，</w:t>
      </w:r>
      <w:r>
        <w:rPr>
          <w:rFonts w:hint="eastAsia" w:ascii="仿宋_GB2312" w:hAnsi="仿宋_GB2312" w:eastAsia="仿宋_GB2312" w:cs="仿宋_GB2312"/>
          <w:sz w:val="32"/>
          <w:szCs w:val="32"/>
          <w:lang w:eastAsia="zh-CN"/>
        </w:rPr>
        <w:t>当事人正在销售的车辆编码分别为</w:t>
      </w:r>
      <w:r>
        <w:rPr>
          <w:rFonts w:hint="eastAsia" w:ascii="仿宋_GB2312" w:hAnsi="仿宋_GB2312" w:eastAsia="仿宋_GB2312" w:cs="仿宋_GB2312"/>
          <w:color w:val="000000"/>
          <w:sz w:val="32"/>
          <w:szCs w:val="32"/>
          <w:lang w:val="en-US" w:eastAsia="zh-CN"/>
        </w:rPr>
        <w:t>329222550329722、3292</w:t>
      </w:r>
      <w:r>
        <w:rPr>
          <w:rFonts w:hint="eastAsia" w:ascii="仿宋_GB2312" w:hAnsi="仿宋_GB2312" w:eastAsia="仿宋_GB2312" w:cs="仿宋_GB2312"/>
          <w:sz w:val="32"/>
          <w:szCs w:val="32"/>
          <w:lang w:val="en-US" w:eastAsia="zh-CN"/>
        </w:rPr>
        <w:t>22550329704、305322550006100的电动自行车，是当事人于7月中旬从厂家直接购进的。购进时车辆外观均与产品合格证一致，后续当事人在店内对其进行了改装，对车辆编码为</w:t>
      </w:r>
      <w:r>
        <w:rPr>
          <w:rFonts w:hint="eastAsia" w:ascii="仿宋_GB2312" w:hAnsi="仿宋_GB2312" w:eastAsia="仿宋_GB2312" w:cs="仿宋_GB2312"/>
          <w:color w:val="000000"/>
          <w:sz w:val="32"/>
          <w:szCs w:val="32"/>
          <w:lang w:val="en-US" w:eastAsia="zh-CN"/>
        </w:rPr>
        <w:t>329222550329722、3292</w:t>
      </w:r>
      <w:r>
        <w:rPr>
          <w:rFonts w:hint="eastAsia" w:ascii="仿宋_GB2312" w:hAnsi="仿宋_GB2312" w:eastAsia="仿宋_GB2312" w:cs="仿宋_GB2312"/>
          <w:sz w:val="32"/>
          <w:szCs w:val="32"/>
          <w:lang w:val="en-US" w:eastAsia="zh-CN"/>
        </w:rPr>
        <w:t>22550329704的电动自行车的鞍座、遮丑板、座位后货架进行了改装，对车辆编码为305322550006100的电动自行车的鞍座、遮丑板、座位靠背板进行了改装。改装后三辆电动自行车的鞍座长度、整车质量均</w:t>
      </w:r>
      <w:r>
        <w:rPr>
          <w:rFonts w:hint="eastAsia" w:ascii="仿宋_GB2312" w:hAnsi="仿宋_GB2312" w:eastAsia="仿宋_GB2312" w:cs="仿宋_GB2312"/>
          <w:sz w:val="32"/>
          <w:szCs w:val="32"/>
        </w:rPr>
        <w:t>不符合《电动自行车安全技术规范》（GB17761-2018）</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6.1.3整车质量、6.1.5尺寸限值</w:t>
      </w:r>
      <w:r>
        <w:rPr>
          <w:rFonts w:hint="eastAsia" w:ascii="仿宋_GB2312" w:hAnsi="仿宋_GB2312" w:eastAsia="仿宋_GB2312" w:cs="仿宋_GB2312"/>
          <w:sz w:val="32"/>
          <w:szCs w:val="32"/>
        </w:rPr>
        <w:t>的要求，不符合强制性国家标准</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强制性认证产品的一致性要求。当事人已销售非法改装电动自行车一辆，购进价格2499元/辆，销售价格2699元/辆，违法所得200元</w:t>
      </w:r>
      <w:r>
        <w:rPr>
          <w:rFonts w:hint="eastAsia" w:ascii="仿宋_GB2312" w:hAnsi="仿宋_GB2312" w:eastAsia="仿宋_GB2312" w:cs="仿宋_GB2312"/>
          <w:sz w:val="32"/>
          <w:szCs w:val="32"/>
        </w:rPr>
        <w:t>。</w:t>
      </w:r>
    </w:p>
    <w:p w14:paraId="2EA0EB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eastAsia="仿宋_GB2312" w:asciiTheme="minorHAnsi" w:hAnsiTheme="minorHAnsi" w:cstheme="minorBidi"/>
          <w:sz w:val="32"/>
          <w:szCs w:val="32"/>
          <w:lang w:eastAsia="zh-CN"/>
        </w:rPr>
        <w:t>上述事实，主要有以下证据证明：</w:t>
      </w:r>
    </w:p>
    <w:p w14:paraId="6B7885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cs="仿宋_GB2312"/>
          <w:b w:val="0"/>
          <w:bCs w:val="0"/>
          <w:sz w:val="32"/>
          <w:szCs w:val="32"/>
          <w:u w:val="none"/>
        </w:rPr>
      </w:pPr>
      <w:r>
        <w:rPr>
          <w:rFonts w:hint="eastAsia" w:ascii="仿宋_GB2312" w:hAnsi="Times New Roman" w:eastAsia="仿宋_GB2312" w:cs="仿宋_GB2312"/>
          <w:b w:val="0"/>
          <w:bCs w:val="0"/>
          <w:sz w:val="32"/>
          <w:szCs w:val="32"/>
          <w:u w:val="none"/>
          <w:lang w:val="en-US" w:eastAsia="zh-CN"/>
        </w:rPr>
        <w:t>1.</w:t>
      </w:r>
      <w:r>
        <w:rPr>
          <w:rFonts w:hint="eastAsia" w:ascii="仿宋_GB2312" w:hAnsi="仿宋_GB2312" w:eastAsia="仿宋_GB2312" w:cs="仿宋_GB2312"/>
          <w:b w:val="0"/>
          <w:bCs/>
          <w:sz w:val="32"/>
          <w:szCs w:val="32"/>
          <w:highlight w:val="none"/>
          <w:lang w:val="en-US" w:eastAsia="zh-CN"/>
        </w:rPr>
        <w:t>《现场笔录》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询问笔录</w:t>
      </w:r>
      <w:r>
        <w:rPr>
          <w:rFonts w:hint="eastAsia" w:ascii="仿宋_GB2312" w:hAnsi="仿宋_GB2312" w:eastAsia="仿宋_GB2312" w:cs="仿宋_GB2312"/>
          <w:sz w:val="32"/>
          <w:szCs w:val="32"/>
          <w:lang w:eastAsia="zh-CN"/>
        </w:rPr>
        <w:t>》</w:t>
      </w:r>
      <w:r>
        <w:rPr>
          <w:rFonts w:hint="eastAsia" w:ascii="仿宋_GB2312" w:hAnsi="Times New Roman" w:eastAsia="仿宋_GB2312" w:cs="仿宋_GB2312"/>
          <w:b w:val="0"/>
          <w:bCs w:val="0"/>
          <w:sz w:val="32"/>
          <w:szCs w:val="32"/>
          <w:u w:val="none"/>
        </w:rPr>
        <w:t>各</w:t>
      </w:r>
      <w:r>
        <w:rPr>
          <w:rFonts w:hint="eastAsia" w:ascii="仿宋_GB2312" w:hAnsi="Times New Roman" w:eastAsia="仿宋_GB2312" w:cs="仿宋_GB2312"/>
          <w:b w:val="0"/>
          <w:bCs w:val="0"/>
          <w:sz w:val="32"/>
          <w:szCs w:val="32"/>
          <w:u w:val="none"/>
          <w:lang w:val="en-US" w:eastAsia="zh-CN"/>
        </w:rPr>
        <w:t>1</w:t>
      </w:r>
      <w:r>
        <w:rPr>
          <w:rFonts w:hint="eastAsia" w:ascii="仿宋_GB2312" w:hAnsi="Times New Roman" w:eastAsia="仿宋_GB2312" w:cs="仿宋_GB2312"/>
          <w:b w:val="0"/>
          <w:bCs w:val="0"/>
          <w:sz w:val="32"/>
          <w:szCs w:val="32"/>
          <w:u w:val="none"/>
        </w:rPr>
        <w:t>份，证明当事人</w:t>
      </w:r>
      <w:r>
        <w:rPr>
          <w:rFonts w:hint="eastAsia" w:ascii="仿宋_GB2312" w:hAnsi="Times New Roman" w:eastAsia="仿宋_GB2312" w:cs="仿宋_GB2312"/>
          <w:b w:val="0"/>
          <w:bCs w:val="0"/>
          <w:sz w:val="32"/>
          <w:szCs w:val="32"/>
          <w:u w:val="none"/>
          <w:lang w:eastAsia="zh-CN"/>
        </w:rPr>
        <w:t>涉嫌非法改装电动自行车的事实</w:t>
      </w:r>
      <w:r>
        <w:rPr>
          <w:rFonts w:hint="eastAsia" w:ascii="仿宋_GB2312" w:hAnsi="Times New Roman" w:eastAsia="仿宋_GB2312" w:cs="仿宋_GB2312"/>
          <w:b w:val="0"/>
          <w:bCs w:val="0"/>
          <w:sz w:val="32"/>
          <w:szCs w:val="32"/>
          <w:u w:val="none"/>
        </w:rPr>
        <w:t>；</w:t>
      </w:r>
    </w:p>
    <w:p w14:paraId="168A1F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Times New Roman" w:eastAsia="仿宋_GB2312" w:cs="仿宋_GB2312"/>
          <w:b w:val="0"/>
          <w:bCs w:val="0"/>
          <w:sz w:val="32"/>
          <w:szCs w:val="32"/>
          <w:u w:val="none"/>
          <w:lang w:val="en-US" w:eastAsia="zh-CN"/>
        </w:rPr>
        <w:t>2.</w:t>
      </w:r>
      <w:r>
        <w:rPr>
          <w:rFonts w:hint="eastAsia" w:ascii="仿宋_GB2312" w:hAnsi="仿宋_GB2312" w:eastAsia="仿宋_GB2312" w:cs="仿宋_GB2312"/>
          <w:sz w:val="32"/>
          <w:szCs w:val="32"/>
          <w:u w:val="none"/>
        </w:rPr>
        <w:t>当事人的《营业执照》</w:t>
      </w:r>
      <w:r>
        <w:rPr>
          <w:rFonts w:hint="eastAsia" w:ascii="仿宋_GB2312" w:hAnsi="仿宋_GB2312" w:eastAsia="仿宋_GB2312" w:cs="仿宋_GB2312"/>
          <w:sz w:val="32"/>
          <w:szCs w:val="32"/>
          <w:u w:val="none"/>
          <w:lang w:eastAsia="zh-CN"/>
        </w:rPr>
        <w:t>复印件</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lang w:eastAsia="zh-CN"/>
        </w:rPr>
        <w:t>份，</w:t>
      </w:r>
      <w:r>
        <w:rPr>
          <w:rFonts w:hint="eastAsia" w:ascii="仿宋_GB2312" w:hAnsi="仿宋_GB2312" w:eastAsia="仿宋_GB2312" w:cs="仿宋_GB2312"/>
          <w:b w:val="0"/>
          <w:bCs/>
          <w:sz w:val="32"/>
          <w:szCs w:val="32"/>
          <w:highlight w:val="none"/>
          <w:u w:val="none"/>
          <w:lang w:val="en-US" w:eastAsia="zh-CN"/>
        </w:rPr>
        <w:t>法定代表人的身份证复印件1份，</w:t>
      </w:r>
      <w:r>
        <w:rPr>
          <w:rFonts w:hint="eastAsia" w:ascii="仿宋_GB2312" w:hAnsi="仿宋_GB2312" w:eastAsia="仿宋_GB2312" w:cs="仿宋_GB2312"/>
          <w:sz w:val="32"/>
          <w:szCs w:val="32"/>
          <w:u w:val="none"/>
        </w:rPr>
        <w:t>证明当事人的市场主体资格</w:t>
      </w:r>
      <w:r>
        <w:rPr>
          <w:rFonts w:hint="eastAsia" w:ascii="仿宋_GB2312" w:hAnsi="仿宋_GB2312" w:eastAsia="仿宋_GB2312" w:cs="仿宋_GB2312"/>
          <w:sz w:val="32"/>
          <w:szCs w:val="32"/>
          <w:u w:val="none"/>
          <w:lang w:eastAsia="zh-CN"/>
        </w:rPr>
        <w:t>；</w:t>
      </w:r>
    </w:p>
    <w:p w14:paraId="789B9F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cs="仿宋_GB2312"/>
          <w:b w:val="0"/>
          <w:bCs w:val="0"/>
          <w:sz w:val="32"/>
          <w:szCs w:val="32"/>
          <w:u w:val="none"/>
        </w:rPr>
      </w:pPr>
      <w:r>
        <w:rPr>
          <w:rFonts w:hint="eastAsia" w:ascii="仿宋_GB2312" w:hAnsi="Times New Roman" w:eastAsia="仿宋_GB2312" w:cs="仿宋_GB2312"/>
          <w:b w:val="0"/>
          <w:bCs w:val="0"/>
          <w:sz w:val="32"/>
          <w:szCs w:val="32"/>
          <w:u w:val="none"/>
          <w:lang w:val="en-US" w:eastAsia="zh-CN"/>
        </w:rPr>
        <w:t>3.三辆</w:t>
      </w:r>
      <w:r>
        <w:rPr>
          <w:rFonts w:hint="eastAsia" w:ascii="仿宋_GB2312" w:hAnsi="Times New Roman" w:eastAsia="仿宋_GB2312" w:cs="仿宋_GB2312"/>
          <w:b w:val="0"/>
          <w:bCs w:val="0"/>
          <w:sz w:val="32"/>
          <w:szCs w:val="32"/>
          <w:u w:val="none"/>
          <w:lang w:eastAsia="zh-CN"/>
        </w:rPr>
        <w:t>涉案电动自行车产品合格证复印件各</w:t>
      </w:r>
      <w:r>
        <w:rPr>
          <w:rFonts w:hint="eastAsia" w:ascii="仿宋_GB2312" w:hAnsi="Times New Roman" w:eastAsia="仿宋_GB2312" w:cs="仿宋_GB2312"/>
          <w:b w:val="0"/>
          <w:bCs w:val="0"/>
          <w:sz w:val="32"/>
          <w:szCs w:val="32"/>
          <w:u w:val="none"/>
          <w:lang w:val="en-US" w:eastAsia="zh-CN"/>
        </w:rPr>
        <w:t>1份，涉案车辆车架号照片3张，证明当事人销售的涉案电动自行车与产品合格证对应的事实</w:t>
      </w:r>
      <w:r>
        <w:rPr>
          <w:rFonts w:hint="eastAsia" w:ascii="仿宋_GB2312" w:hAnsi="Times New Roman" w:eastAsia="仿宋_GB2312" w:cs="仿宋_GB2312"/>
          <w:b w:val="0"/>
          <w:bCs w:val="0"/>
          <w:sz w:val="32"/>
          <w:szCs w:val="32"/>
          <w:u w:val="none"/>
        </w:rPr>
        <w:t>；</w:t>
      </w:r>
    </w:p>
    <w:p w14:paraId="18467F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现场检查照片</w:t>
      </w:r>
      <w:r>
        <w:rPr>
          <w:rFonts w:hint="eastAsia" w:ascii="仿宋_GB2312" w:hAnsi="仿宋_GB2312" w:eastAsia="仿宋_GB2312" w:cs="仿宋_GB2312"/>
          <w:sz w:val="32"/>
          <w:szCs w:val="32"/>
          <w:lang w:val="en-US" w:eastAsia="zh-CN"/>
        </w:rPr>
        <w:t>4张</w:t>
      </w:r>
      <w:r>
        <w:rPr>
          <w:rFonts w:hint="eastAsia" w:ascii="仿宋_GB2312" w:hAnsi="仿宋_GB2312" w:eastAsia="仿宋_GB2312" w:cs="仿宋_GB2312"/>
          <w:sz w:val="32"/>
          <w:szCs w:val="32"/>
        </w:rPr>
        <w:t>，证明当事人</w:t>
      </w:r>
      <w:r>
        <w:rPr>
          <w:rFonts w:hint="eastAsia" w:ascii="仿宋_GB2312" w:hAnsi="仿宋_GB2312" w:eastAsia="仿宋_GB2312" w:cs="仿宋_GB2312"/>
          <w:sz w:val="32"/>
          <w:szCs w:val="32"/>
          <w:lang w:eastAsia="zh-CN"/>
        </w:rPr>
        <w:t>涉嫌</w:t>
      </w:r>
      <w:r>
        <w:rPr>
          <w:rFonts w:hint="eastAsia" w:ascii="仿宋_GB2312" w:hAnsi="仿宋_GB2312" w:eastAsia="仿宋_GB2312" w:cs="仿宋_GB2312"/>
          <w:sz w:val="32"/>
          <w:szCs w:val="32"/>
        </w:rPr>
        <w:t>非法改装电动自行车</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事实</w:t>
      </w:r>
      <w:r>
        <w:rPr>
          <w:rFonts w:hint="eastAsia" w:ascii="仿宋_GB2312" w:hAnsi="仿宋_GB2312" w:eastAsia="仿宋_GB2312" w:cs="仿宋_GB2312"/>
          <w:sz w:val="32"/>
          <w:szCs w:val="32"/>
          <w:lang w:eastAsia="zh-CN"/>
        </w:rPr>
        <w:t>；</w:t>
      </w:r>
    </w:p>
    <w:p w14:paraId="251A16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5.入库单及销售票据复印件各1张，证明当事人涉嫌销售</w:t>
      </w:r>
      <w:r>
        <w:rPr>
          <w:rFonts w:hint="eastAsia" w:ascii="仿宋_GB2312" w:hAnsi="仿宋_GB2312" w:eastAsia="仿宋_GB2312" w:cs="仿宋_GB2312"/>
          <w:sz w:val="32"/>
          <w:szCs w:val="32"/>
        </w:rPr>
        <w:t>非法改装电动自行车</w:t>
      </w:r>
      <w:r>
        <w:rPr>
          <w:rFonts w:hint="eastAsia" w:ascii="仿宋_GB2312" w:hAnsi="仿宋_GB2312" w:eastAsia="仿宋_GB2312" w:cs="仿宋_GB2312"/>
          <w:sz w:val="32"/>
          <w:szCs w:val="32"/>
          <w:lang w:eastAsia="zh-CN"/>
        </w:rPr>
        <w:t>违法所得的事实。</w:t>
      </w:r>
    </w:p>
    <w:p w14:paraId="3B7B3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以上证据经过了出证人的确认。 </w:t>
      </w:r>
    </w:p>
    <w:p w14:paraId="4B42192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本案未采取行政强制措施，对照移送涉嫌犯罪案件的标准，不够移送追诉当事人刑事责任的条件。</w:t>
      </w:r>
    </w:p>
    <w:p w14:paraId="376DBDA9">
      <w:pPr>
        <w:keepNext w:val="0"/>
        <w:keepLines w:val="0"/>
        <w:pageBreakBefore w:val="0"/>
        <w:widowControl w:val="0"/>
        <w:kinsoku/>
        <w:wordWrap/>
        <w:overflowPunct w:val="0"/>
        <w:topLinePunct w:val="0"/>
        <w:autoSpaceDE w:val="0"/>
        <w:autoSpaceDN w:val="0"/>
        <w:bidi w:val="0"/>
        <w:spacing w:line="520" w:lineRule="exact"/>
        <w:ind w:firstLine="640" w:firstLineChars="200"/>
        <w:textAlignment w:val="auto"/>
        <w:rPr>
          <w:rFonts w:hint="eastAsia" w:ascii="Calibri" w:hAnsi="Calibri" w:eastAsia="仿宋_GB2312" w:cs="Times New Roman"/>
          <w:sz w:val="32"/>
          <w:szCs w:val="32"/>
          <w:lang w:eastAsia="zh-CN"/>
        </w:rPr>
      </w:pPr>
      <w:r>
        <w:rPr>
          <w:rFonts w:hint="eastAsia" w:ascii="Calibri" w:hAnsi="Calibri" w:eastAsia="仿宋_GB2312" w:cs="Times New Roman"/>
          <w:sz w:val="32"/>
          <w:szCs w:val="32"/>
          <w:lang w:eastAsia="zh-CN"/>
        </w:rPr>
        <w:t>202</w:t>
      </w:r>
      <w:r>
        <w:rPr>
          <w:rFonts w:hint="eastAsia" w:ascii="Calibri" w:hAnsi="Calibri" w:eastAsia="仿宋_GB2312" w:cs="Times New Roman"/>
          <w:sz w:val="32"/>
          <w:szCs w:val="32"/>
          <w:lang w:val="en-US" w:eastAsia="zh-CN"/>
        </w:rPr>
        <w:t>5</w:t>
      </w:r>
      <w:r>
        <w:rPr>
          <w:rFonts w:hint="eastAsia" w:ascii="Calibri" w:hAnsi="Calibri" w:eastAsia="仿宋_GB2312" w:cs="Times New Roman"/>
          <w:sz w:val="32"/>
          <w:szCs w:val="32"/>
          <w:lang w:eastAsia="zh-CN"/>
        </w:rPr>
        <w:t>年</w:t>
      </w:r>
      <w:r>
        <w:rPr>
          <w:rFonts w:hint="eastAsia" w:ascii="Calibri" w:hAnsi="Calibri" w:eastAsia="仿宋_GB2312" w:cs="Times New Roman"/>
          <w:sz w:val="32"/>
          <w:szCs w:val="32"/>
          <w:lang w:val="en-US" w:eastAsia="zh-CN"/>
        </w:rPr>
        <w:t>9</w:t>
      </w:r>
      <w:r>
        <w:rPr>
          <w:rFonts w:hint="eastAsia" w:ascii="Calibri" w:hAnsi="Calibri" w:eastAsia="仿宋_GB2312" w:cs="Times New Roman"/>
          <w:sz w:val="32"/>
          <w:szCs w:val="32"/>
          <w:lang w:eastAsia="zh-CN"/>
        </w:rPr>
        <w:t>月</w:t>
      </w:r>
      <w:r>
        <w:rPr>
          <w:rFonts w:hint="eastAsia" w:ascii="Calibri" w:hAnsi="Calibri" w:eastAsia="仿宋_GB2312" w:cs="Times New Roman"/>
          <w:sz w:val="32"/>
          <w:szCs w:val="32"/>
          <w:lang w:val="en-US" w:eastAsia="zh-CN"/>
        </w:rPr>
        <w:t>2</w:t>
      </w:r>
      <w:r>
        <w:rPr>
          <w:rFonts w:hint="eastAsia" w:ascii="Calibri" w:hAnsi="Calibri" w:eastAsia="仿宋_GB2312" w:cs="Times New Roman"/>
          <w:sz w:val="32"/>
          <w:szCs w:val="32"/>
          <w:lang w:eastAsia="zh-CN"/>
        </w:rPr>
        <w:t>日，本局向当事人送达了淮市监田罚告〔</w:t>
      </w:r>
      <w:r>
        <w:rPr>
          <w:rFonts w:hint="eastAsia" w:ascii="Calibri" w:hAnsi="Calibri" w:eastAsia="仿宋_GB2312" w:cs="Times New Roman"/>
          <w:sz w:val="32"/>
          <w:szCs w:val="32"/>
          <w:lang w:val="en-US" w:eastAsia="zh-CN"/>
        </w:rPr>
        <w:t>2025</w:t>
      </w:r>
      <w:r>
        <w:rPr>
          <w:rFonts w:hint="eastAsia" w:ascii="Calibri" w:hAnsi="Calibri" w:eastAsia="仿宋_GB2312" w:cs="Times New Roman"/>
          <w:sz w:val="32"/>
          <w:szCs w:val="32"/>
          <w:lang w:eastAsia="zh-CN"/>
        </w:rPr>
        <w:t>〕</w:t>
      </w:r>
      <w:r>
        <w:rPr>
          <w:rFonts w:hint="eastAsia" w:ascii="Calibri" w:hAnsi="Calibri" w:eastAsia="仿宋_GB2312" w:cs="Times New Roman"/>
          <w:sz w:val="32"/>
          <w:szCs w:val="32"/>
          <w:lang w:val="en-US" w:eastAsia="zh-CN"/>
        </w:rPr>
        <w:t>312</w:t>
      </w:r>
      <w:r>
        <w:rPr>
          <w:rFonts w:hint="eastAsia" w:ascii="Calibri" w:hAnsi="Calibri" w:eastAsia="仿宋_GB2312" w:cs="Times New Roman"/>
          <w:sz w:val="32"/>
          <w:szCs w:val="32"/>
          <w:lang w:eastAsia="zh-CN"/>
        </w:rPr>
        <w:t>号行政处罚告知书，已告知当事人</w:t>
      </w:r>
      <w:r>
        <w:rPr>
          <w:rFonts w:hint="eastAsia" w:ascii="仿宋_GB2312" w:hAnsi="仿宋_GB2312" w:eastAsia="仿宋_GB2312" w:cs="仿宋_GB2312"/>
          <w:spacing w:val="-10"/>
          <w:sz w:val="32"/>
          <w:szCs w:val="32"/>
        </w:rPr>
        <w:t>有权进行陈述、</w:t>
      </w:r>
      <w:r>
        <w:rPr>
          <w:rFonts w:hint="eastAsia" w:ascii="仿宋_GB2312" w:hAnsi="仿宋_GB2312" w:eastAsia="仿宋_GB2312" w:cs="仿宋_GB2312"/>
          <w:spacing w:val="-93"/>
          <w:sz w:val="32"/>
          <w:szCs w:val="32"/>
        </w:rPr>
        <w:t xml:space="preserve"> </w:t>
      </w:r>
      <w:r>
        <w:rPr>
          <w:rFonts w:hint="eastAsia" w:ascii="仿宋_GB2312" w:hAnsi="仿宋_GB2312" w:eastAsia="仿宋_GB2312" w:cs="仿宋_GB2312"/>
          <w:spacing w:val="-10"/>
          <w:sz w:val="32"/>
          <w:szCs w:val="32"/>
        </w:rPr>
        <w:t>申辩</w:t>
      </w:r>
      <w:r>
        <w:rPr>
          <w:rFonts w:hint="eastAsia" w:ascii="仿宋_GB2312" w:hAnsi="仿宋_GB2312" w:eastAsia="仿宋_GB2312" w:cs="仿宋_GB2312"/>
          <w:sz w:val="32"/>
          <w:szCs w:val="32"/>
        </w:rPr>
        <w:t>，但当事人在法定期限内未提出陈述、申辩的要求。</w:t>
      </w:r>
    </w:p>
    <w:p w14:paraId="3D8223F1">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Calibri" w:hAnsi="Calibri" w:eastAsia="仿宋_GB2312" w:cs="Times New Roman"/>
          <w:sz w:val="32"/>
          <w:szCs w:val="32"/>
          <w:lang w:eastAsia="zh-CN"/>
        </w:rPr>
        <w:t>本局认为，</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eastAsia="zh-CN"/>
        </w:rPr>
        <w:t>的行为</w:t>
      </w:r>
      <w:r>
        <w:rPr>
          <w:rFonts w:hint="eastAsia" w:ascii="仿宋_GB2312" w:hAnsi="仿宋_GB2312" w:eastAsia="仿宋_GB2312" w:cs="仿宋_GB2312"/>
          <w:sz w:val="32"/>
          <w:szCs w:val="32"/>
        </w:rPr>
        <w:t>违反了《安徽省电动自行车管理条例》第十一条第一款“任何单位和个人不得实施下列影响电动自行车质量和道路交通安全的行为：”第（二）项“加装、改装或者更换电动机、蓄电池等动力装置，导致电动自行车不符合强制性国家标准；”之规定，</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构成非法改装电动自行车的违法行为。</w:t>
      </w:r>
      <w:bookmarkStart w:id="0" w:name="_Hlk156228977"/>
    </w:p>
    <w:p w14:paraId="7E6F9C3F">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u w:val="none"/>
        </w:rPr>
        <w:t>鉴于当事人在</w:t>
      </w:r>
      <w:r>
        <w:rPr>
          <w:rFonts w:hint="eastAsia" w:ascii="仿宋_GB2312" w:hAnsi="仿宋_GB2312" w:eastAsia="仿宋_GB2312" w:cs="仿宋_GB2312"/>
          <w:sz w:val="32"/>
          <w:szCs w:val="32"/>
          <w:u w:val="none"/>
        </w:rPr>
        <w:t>本案调查过程中能够积极配合执法人员查处违法行为</w:t>
      </w:r>
      <w:r>
        <w:rPr>
          <w:rFonts w:hint="eastAsia" w:ascii="仿宋_GB2312" w:hAnsi="仿宋_GB2312" w:eastAsia="仿宋_GB2312" w:cs="仿宋_GB2312"/>
          <w:sz w:val="32"/>
          <w:szCs w:val="32"/>
          <w:u w:val="none"/>
          <w:lang w:val="en-US" w:eastAsia="zh-CN"/>
        </w:rPr>
        <w:t>，得知违法行为后立即整改，消除违法行为危害后果。依据《中华人民共和国行政处罚法》第三十二条第一款“当事人有下列情形之一的，应当依法从轻或者减轻行政处罚：”第(一)项“（一）主动消除或者减轻违法行为危害后果的；”以及《安徽省电动自行车管理条例》第三十七条“违反本条例第十一条第一款规定，从事拼装、加装、改装电动自行车经营性活动的，由市场监督管理部门责令改正，处二千元以上二万元以下罚款；有违法所得的，没收违法所得。”之规定，</w:t>
      </w:r>
      <w:bookmarkEnd w:id="0"/>
      <w:r>
        <w:rPr>
          <w:rFonts w:hint="eastAsia" w:ascii="仿宋_GB2312" w:hAnsi="仿宋_GB2312" w:eastAsia="仿宋_GB2312" w:cs="仿宋_GB2312"/>
          <w:sz w:val="32"/>
          <w:szCs w:val="32"/>
          <w:u w:val="none"/>
          <w:lang w:val="en-US" w:eastAsia="zh-CN"/>
        </w:rPr>
        <w:t>责令当事人改正违法行为，并予以从轻处罚</w:t>
      </w:r>
      <w:r>
        <w:rPr>
          <w:rFonts w:hint="eastAsia" w:ascii="仿宋_GB2312" w:hAnsi="仿宋_GB2312" w:eastAsia="仿宋_GB2312" w:cs="仿宋_GB2312"/>
          <w:sz w:val="32"/>
          <w:szCs w:val="32"/>
          <w:lang w:val="en-US" w:eastAsia="zh-CN"/>
        </w:rPr>
        <w:t>。</w:t>
      </w:r>
    </w:p>
    <w:p w14:paraId="56B556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综上所述，</w:t>
      </w:r>
      <w:r>
        <w:rPr>
          <w:rFonts w:hint="eastAsia" w:ascii="仿宋_GB2312" w:hAnsi="仿宋_GB2312" w:eastAsia="仿宋_GB2312" w:cs="仿宋_GB2312"/>
          <w:sz w:val="32"/>
          <w:szCs w:val="32"/>
          <w:lang w:val="en-US" w:eastAsia="zh-CN"/>
        </w:rPr>
        <w:t>当事人的行为违反了《安徽省电动自行车管理条例》第十一条第一款的规定，依据《中华人民共和国行政处罚法》第三十二条第一款及《安徽省电动自行车管理条例》第三十七条“违反本条例第十一条第一款的规定，本局决定</w:t>
      </w:r>
      <w:r>
        <w:rPr>
          <w:rFonts w:hint="eastAsia" w:ascii="仿宋_GB2312" w:hAnsi="仿宋_GB2312" w:eastAsia="仿宋_GB2312" w:cs="仿宋_GB2312"/>
          <w:sz w:val="32"/>
          <w:szCs w:val="32"/>
        </w:rPr>
        <w:t>责令当事人改正违法行为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并予以</w:t>
      </w:r>
      <w:r>
        <w:rPr>
          <w:rFonts w:hint="eastAsia" w:ascii="仿宋_GB2312" w:hAnsi="仿宋_GB2312" w:eastAsia="仿宋_GB2312" w:cs="仿宋_GB2312"/>
          <w:sz w:val="32"/>
          <w:szCs w:val="32"/>
          <w:lang w:eastAsia="zh-CN"/>
        </w:rPr>
        <w:t>从轻</w:t>
      </w:r>
      <w:r>
        <w:rPr>
          <w:rFonts w:hint="eastAsia" w:ascii="仿宋_GB2312" w:hAnsi="仿宋_GB2312" w:eastAsia="仿宋_GB2312" w:cs="仿宋_GB2312"/>
          <w:sz w:val="32"/>
          <w:szCs w:val="32"/>
        </w:rPr>
        <w:t>处罚如下：</w:t>
      </w:r>
    </w:p>
    <w:p w14:paraId="44823439">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eastAsia="zh-CN"/>
        </w:rPr>
        <w:t>人民币</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000.00元</w:t>
      </w:r>
      <w:r>
        <w:rPr>
          <w:rFonts w:hint="eastAsia" w:ascii="仿宋_GB2312" w:hAnsi="仿宋_GB2312" w:eastAsia="仿宋_GB2312" w:cs="仿宋_GB2312"/>
          <w:sz w:val="32"/>
          <w:szCs w:val="32"/>
          <w:lang w:eastAsia="zh-CN"/>
        </w:rPr>
        <w:t>；</w:t>
      </w:r>
    </w:p>
    <w:p w14:paraId="41380F51">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没收违法所得</w:t>
      </w:r>
      <w:r>
        <w:rPr>
          <w:rFonts w:hint="eastAsia" w:ascii="仿宋_GB2312" w:hAnsi="仿宋_GB2312" w:eastAsia="仿宋_GB2312" w:cs="仿宋_GB2312"/>
          <w:sz w:val="32"/>
          <w:szCs w:val="32"/>
          <w:lang w:val="en-US" w:eastAsia="zh-CN"/>
        </w:rPr>
        <w:t>200.00元。</w:t>
      </w:r>
    </w:p>
    <w:p w14:paraId="40C5952B">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default" w:eastAsia="仿宋_GB2312" w:asciiTheme="minorHAnsi" w:hAnsiTheme="minorHAnsi" w:cstheme="minorBidi"/>
          <w:sz w:val="32"/>
          <w:szCs w:val="32"/>
          <w:lang w:val="en-US" w:eastAsia="zh-CN"/>
        </w:rPr>
        <w:t>当事人应当自收到本行政处罚决定书之日起十五日内，将罚没款缴至中国农业银行股份有限公司淮南分行（收款单位：淮南市田家庵区财政局；账号：12609001040020813；地址：淮南市田家庵区龙湖南路），或者通过安徽省统一公共支付平台电子支付系统缴纳（缴纳方式为：请访问安徽省政府服务网统一支付平台pay.ahzwfw.gov.cn）。到期不缴纳罚款的，依据《中华人民共和国行政处罚法》第七十二条的规定，本局将每日按罚款数额的百分之三加处罚款，并依法申请人民法院强制执行。</w:t>
      </w:r>
    </w:p>
    <w:p w14:paraId="3DA08C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当事人</w:t>
      </w:r>
      <w:r>
        <w:rPr>
          <w:rFonts w:hint="eastAsia" w:ascii="仿宋_GB2312" w:hAnsi="仿宋_GB2312" w:eastAsia="仿宋_GB2312" w:cs="仿宋_GB2312"/>
          <w:color w:val="000000"/>
          <w:sz w:val="32"/>
          <w:szCs w:val="32"/>
        </w:rPr>
        <w:t>如对本行政处罚决定不服，可于收到本决定书之日起六十日内向淮南市人民政府申请复议，也可以于六个月内依法向田家庵区人民法院提起行政诉讼。当事人对行政处罚决定不服，申请行政复议或者提起行政诉讼的，行政处罚不停止执行。</w:t>
      </w:r>
    </w:p>
    <w:p w14:paraId="1B088BFE">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p>
    <w:p w14:paraId="24567228">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p>
    <w:p w14:paraId="715A9701">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p>
    <w:p w14:paraId="18D655AD">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p>
    <w:p w14:paraId="1E276B88">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p>
    <w:p w14:paraId="2B8DE5E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Calibri" w:hAnsi="Calibri" w:eastAsia="仿宋_GB2312" w:cs="Times New Roman"/>
          <w:sz w:val="32"/>
          <w:szCs w:val="32"/>
          <w:lang w:eastAsia="zh-CN"/>
        </w:rPr>
      </w:pPr>
    </w:p>
    <w:p w14:paraId="469BDBE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Calibri" w:hAnsi="Calibri" w:eastAsia="仿宋_GB2312" w:cs="Times New Roman"/>
          <w:sz w:val="32"/>
          <w:szCs w:val="32"/>
          <w:lang w:val="en-US" w:eastAsia="zh-CN"/>
        </w:rPr>
      </w:pPr>
      <w:r>
        <w:rPr>
          <w:rFonts w:hint="eastAsia" w:ascii="Calibri" w:hAnsi="Calibri" w:eastAsia="仿宋_GB2312" w:cs="Times New Roman"/>
          <w:sz w:val="32"/>
          <w:szCs w:val="32"/>
          <w:lang w:eastAsia="zh-CN"/>
        </w:rPr>
        <w:t xml:space="preserve">淮南市市场监督管理局  </w:t>
      </w:r>
      <w:r>
        <w:rPr>
          <w:rFonts w:hint="eastAsia" w:ascii="Calibri" w:hAnsi="Calibri" w:eastAsia="仿宋_GB2312" w:cs="Times New Roman"/>
          <w:sz w:val="32"/>
          <w:szCs w:val="32"/>
          <w:lang w:val="en-US" w:eastAsia="zh-CN"/>
        </w:rPr>
        <w:t xml:space="preserve"> </w:t>
      </w:r>
    </w:p>
    <w:p w14:paraId="7D3A1096">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center"/>
        <w:textAlignment w:val="auto"/>
        <w:rPr>
          <w:rFonts w:hint="eastAsia" w:ascii="Calibri" w:hAnsi="Calibri" w:eastAsia="仿宋_GB2312" w:cs="Times New Roman"/>
          <w:sz w:val="32"/>
          <w:szCs w:val="32"/>
          <w:lang w:eastAsia="zh-CN"/>
        </w:rPr>
      </w:pPr>
      <w:r>
        <w:rPr>
          <w:rFonts w:hint="eastAsia" w:ascii="Calibri" w:hAnsi="Calibri" w:eastAsia="仿宋_GB2312" w:cs="Times New Roman"/>
          <w:sz w:val="32"/>
          <w:szCs w:val="32"/>
          <w:lang w:val="en-US" w:eastAsia="zh-CN"/>
        </w:rPr>
        <w:t xml:space="preserve">                         2025</w:t>
      </w:r>
      <w:r>
        <w:rPr>
          <w:rFonts w:hint="eastAsia" w:ascii="Calibri" w:hAnsi="Calibri" w:eastAsia="仿宋_GB2312" w:cs="Times New Roman"/>
          <w:sz w:val="32"/>
          <w:szCs w:val="32"/>
          <w:lang w:eastAsia="zh-CN"/>
        </w:rPr>
        <w:t>年</w:t>
      </w:r>
      <w:r>
        <w:rPr>
          <w:rFonts w:hint="eastAsia" w:ascii="Calibri" w:hAnsi="Calibri" w:eastAsia="仿宋_GB2312" w:cs="Times New Roman"/>
          <w:sz w:val="32"/>
          <w:szCs w:val="32"/>
          <w:lang w:val="en-US" w:eastAsia="zh-CN"/>
        </w:rPr>
        <w:t>9</w:t>
      </w:r>
      <w:r>
        <w:rPr>
          <w:rFonts w:hint="eastAsia" w:ascii="Calibri" w:hAnsi="Calibri" w:eastAsia="仿宋_GB2312" w:cs="Times New Roman"/>
          <w:sz w:val="32"/>
          <w:szCs w:val="32"/>
          <w:lang w:eastAsia="zh-CN"/>
        </w:rPr>
        <w:t>月</w:t>
      </w:r>
      <w:r>
        <w:rPr>
          <w:rFonts w:hint="eastAsia" w:ascii="Calibri" w:hAnsi="Calibri" w:eastAsia="仿宋_GB2312" w:cs="Times New Roman"/>
          <w:sz w:val="32"/>
          <w:szCs w:val="32"/>
          <w:lang w:val="en-US" w:eastAsia="zh-CN"/>
        </w:rPr>
        <w:t>10</w:t>
      </w:r>
      <w:r>
        <w:rPr>
          <w:rFonts w:hint="eastAsia" w:ascii="Calibri" w:hAnsi="Calibri" w:eastAsia="仿宋_GB2312" w:cs="Times New Roman"/>
          <w:sz w:val="32"/>
          <w:szCs w:val="32"/>
          <w:lang w:eastAsia="zh-CN"/>
        </w:rPr>
        <w:t xml:space="preserve">日  </w:t>
      </w:r>
    </w:p>
    <w:p w14:paraId="072CBA1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center"/>
        <w:textAlignment w:val="auto"/>
        <w:rPr>
          <w:rFonts w:hint="eastAsia" w:ascii="Calibri" w:hAnsi="Calibri" w:eastAsia="仿宋_GB2312" w:cs="Times New Roman"/>
          <w:sz w:val="32"/>
          <w:szCs w:val="32"/>
          <w:lang w:eastAsia="zh-CN"/>
        </w:rPr>
      </w:pPr>
    </w:p>
    <w:p w14:paraId="0B64332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center"/>
        <w:textAlignment w:val="auto"/>
        <w:rPr>
          <w:rFonts w:hint="eastAsia" w:ascii="Calibri" w:hAnsi="Calibri" w:eastAsia="仿宋_GB2312" w:cs="Times New Roman"/>
          <w:sz w:val="32"/>
          <w:szCs w:val="32"/>
          <w:lang w:eastAsia="zh-CN"/>
        </w:rPr>
      </w:pPr>
    </w:p>
    <w:p w14:paraId="5C3DFC1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center"/>
        <w:textAlignment w:val="auto"/>
        <w:rPr>
          <w:rFonts w:hint="eastAsia" w:ascii="Calibri" w:hAnsi="Calibri" w:eastAsia="仿宋_GB2312" w:cs="Times New Roman"/>
          <w:sz w:val="32"/>
          <w:szCs w:val="32"/>
          <w:lang w:eastAsia="zh-CN"/>
        </w:rPr>
      </w:pPr>
    </w:p>
    <w:p w14:paraId="38BA5A9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Calibri" w:hAnsi="Calibri" w:eastAsia="仿宋_GB2312" w:cs="Times New Roman"/>
          <w:sz w:val="32"/>
          <w:szCs w:val="32"/>
          <w:lang w:eastAsia="zh-CN"/>
        </w:rPr>
      </w:pPr>
      <w:r>
        <w:rPr>
          <w:rFonts w:hint="eastAsia" w:ascii="Calibri" w:hAnsi="Calibri" w:eastAsia="仿宋_GB2312" w:cs="Times New Roman"/>
          <w:sz w:val="32"/>
          <w:szCs w:val="32"/>
          <w:lang w:eastAsia="zh-CN"/>
        </w:rPr>
        <w:t xml:space="preserve"> </w:t>
      </w:r>
    </w:p>
    <w:p w14:paraId="2DA099B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Calibri" w:hAnsi="Calibri" w:eastAsia="仿宋_GB2312" w:cs="Times New Roman"/>
          <w:sz w:val="32"/>
          <w:szCs w:val="32"/>
          <w:lang w:val="en-US" w:eastAsia="zh-CN"/>
        </w:rPr>
      </w:pPr>
    </w:p>
    <w:p w14:paraId="52092EA3">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eastAsia="仿宋_GB2312" w:cs="Mongolian Baiti"/>
          <w:bCs/>
          <w:spacing w:val="0"/>
          <w:sz w:val="32"/>
          <w:szCs w:val="32"/>
        </w:rPr>
      </w:pPr>
      <w:r>
        <w:rPr>
          <w:rFonts w:hint="eastAsia" w:ascii="Calibri" w:hAnsi="Calibri" w:eastAsia="仿宋_GB2312" w:cs="Times New Roman"/>
          <w:sz w:val="32"/>
          <w:szCs w:val="32"/>
          <w:lang w:val="en-US" w:eastAsia="zh-CN"/>
        </w:rPr>
        <w:t xml:space="preserve"> </w:t>
      </w:r>
    </w:p>
    <w:p w14:paraId="05C35733">
      <w:pPr>
        <w:keepNext w:val="0"/>
        <w:keepLines w:val="0"/>
        <w:pageBreakBefore w:val="0"/>
        <w:widowControl/>
        <w:tabs>
          <w:tab w:val="left" w:pos="7560"/>
        </w:tabs>
        <w:kinsoku/>
        <w:wordWrap/>
        <w:overflowPunct/>
        <w:topLinePunct w:val="0"/>
        <w:autoSpaceDE/>
        <w:autoSpaceDN/>
        <w:bidi w:val="0"/>
        <w:adjustRightInd/>
        <w:snapToGrid w:val="0"/>
        <w:spacing w:line="520" w:lineRule="exact"/>
        <w:ind w:right="-313" w:rightChars="0"/>
        <w:jc w:val="center"/>
        <w:textAlignment w:val="auto"/>
        <w:rPr>
          <w:rFonts w:hint="eastAsia" w:ascii="黑体" w:hAnsi="黑体" w:eastAsia="黑体"/>
          <w:color w:val="231F20"/>
          <w:spacing w:val="0"/>
          <w:sz w:val="32"/>
          <w:szCs w:val="32"/>
        </w:rPr>
      </w:pPr>
      <w:r>
        <w:rPr>
          <w:rFonts w:hint="eastAsia" w:ascii="黑体" w:hAnsi="黑体" w:eastAsia="黑体"/>
          <w:color w:val="231F20"/>
          <w:spacing w:val="0"/>
          <w:sz w:val="32"/>
          <w:szCs w:val="32"/>
        </w:rPr>
        <w:t>（市场监督管理部门将依法向社会</w:t>
      </w:r>
      <w:r>
        <w:rPr>
          <w:rFonts w:hint="eastAsia" w:ascii="黑体" w:hAnsi="黑体" w:eastAsia="黑体"/>
          <w:color w:val="231F20"/>
          <w:spacing w:val="0"/>
          <w:sz w:val="32"/>
          <w:szCs w:val="32"/>
          <w:lang w:eastAsia="zh-CN"/>
        </w:rPr>
        <w:t>公开行政处罚决定信息</w:t>
      </w:r>
      <w:r>
        <w:rPr>
          <w:rFonts w:hint="eastAsia" w:ascii="黑体" w:hAnsi="黑体" w:eastAsia="黑体"/>
          <w:color w:val="231F20"/>
          <w:spacing w:val="0"/>
          <w:sz w:val="32"/>
          <w:szCs w:val="32"/>
        </w:rPr>
        <w:t>）</w:t>
      </w:r>
    </w:p>
    <w:p w14:paraId="06AF3A5F">
      <w:pPr>
        <w:keepNext w:val="0"/>
        <w:keepLines w:val="0"/>
        <w:pageBreakBefore w:val="0"/>
        <w:widowControl/>
        <w:kinsoku/>
        <w:wordWrap w:val="0"/>
        <w:overflowPunct/>
        <w:topLinePunct w:val="0"/>
        <w:autoSpaceDE/>
        <w:autoSpaceDN/>
        <w:bidi w:val="0"/>
        <w:adjustRightInd/>
        <w:snapToGrid w:val="0"/>
        <w:spacing w:line="520" w:lineRule="exact"/>
        <w:ind w:right="640" w:firstLine="320" w:firstLineChars="100"/>
        <w:jc w:val="both"/>
        <w:textAlignment w:val="auto"/>
        <w:rPr>
          <w:rFonts w:hint="eastAsia" w:ascii="黑体" w:hAnsi="黑体" w:eastAsia="黑体"/>
          <w:color w:val="231F20"/>
          <w:spacing w:val="0"/>
          <w:sz w:val="32"/>
          <w:szCs w:val="32"/>
        </w:rPr>
      </w:pPr>
      <w:r>
        <w:rPr>
          <w:rFonts w:ascii="Times New Roman" w:hAnsi="Times New Roman" w:eastAsia="仿宋_GB2312"/>
          <w:spacing w:val="0"/>
          <w:sz w:val="32"/>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127635</wp:posOffset>
                </wp:positionV>
                <wp:extent cx="5550535" cy="635"/>
                <wp:effectExtent l="0" t="7620" r="12065" b="14605"/>
                <wp:wrapNone/>
                <wp:docPr id="2"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55pt;margin-top:10.05pt;height:0.05pt;width:437.05pt;z-index:251660288;mso-width-relative:page;mso-height-relative:page;" filled="f" stroked="t" coordsize="21600,21600" o:gfxdata="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cXcLNYA&#10;AAAHAQAADwAAAAAAAAABACAAAAAiAAAAZHJzL2Rvd25yZXYueG1sUEsBAhQAFAAAAAgAh07iQBU9&#10;3Z3oAQAA3gMAAA4AAAAAAAAAAQAgAAAAJQEAAGRycy9lMm9Eb2MueG1sUEsFBgAAAAAGAAYAWQEA&#10;AH8FAAAAAA==&#10;">
                <v:fill on="f" focussize="0,0"/>
                <v:stroke weight="1.25pt" color="#000000" joinstyle="round"/>
                <v:imagedata o:title=""/>
                <o:lock v:ext="edit" aspectratio="f"/>
              </v:line>
            </w:pict>
          </mc:Fallback>
        </mc:AlternateContent>
      </w:r>
    </w:p>
    <w:p w14:paraId="1DBC704E">
      <w:pPr>
        <w:keepNext w:val="0"/>
        <w:keepLines w:val="0"/>
        <w:pageBreakBefore w:val="0"/>
        <w:kinsoku/>
        <w:wordWrap w:val="0"/>
        <w:overflowPunct/>
        <w:topLinePunct w:val="0"/>
        <w:autoSpaceDE/>
        <w:autoSpaceDN/>
        <w:bidi w:val="0"/>
        <w:adjustRightInd/>
        <w:spacing w:line="520" w:lineRule="exact"/>
        <w:ind w:right="-313" w:rightChars="-149"/>
        <w:textAlignment w:val="auto"/>
        <w:rPr>
          <w:rFonts w:hint="eastAsia" w:ascii="Times New Roman" w:hAnsi="Times New Roman" w:eastAsia="仿宋_GB2312" w:cs="Mongolian Baiti"/>
          <w:bCs/>
          <w:spacing w:val="0"/>
          <w:sz w:val="32"/>
          <w:szCs w:val="32"/>
          <w:lang w:eastAsia="zh-CN"/>
        </w:rPr>
      </w:pPr>
      <w:r>
        <w:rPr>
          <w:rFonts w:ascii="Times New Roman" w:hAnsi="Times New Roman" w:eastAsia="仿宋_GB2312" w:cs="仿宋"/>
          <w:bCs/>
          <w:color w:val="000000"/>
          <w:spacing w:val="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7/OR1wAAAAoBAAAPAAAAAAAAAAEAIAAAACIAAABkcnMvZG93bnJldi54bWxQSwECFAAUAAAACACH&#10;TuJA86HIVOwBAADcAwAADgAAAAAAAAABACAAAAAmAQAAZHJzL2Uyb0RvYy54bWxQSwUGAAAAAAYA&#10;BgBZAQAAh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pacing w:val="0"/>
          <w:sz w:val="32"/>
          <w:szCs w:val="32"/>
        </w:rPr>
        <w:t>本文书一式</w:t>
      </w:r>
      <w:r>
        <w:rPr>
          <w:rFonts w:hint="eastAsia" w:ascii="Times New Roman" w:hAnsi="Times New Roman" w:eastAsia="仿宋_GB2312" w:cs="仿宋"/>
          <w:color w:val="000000"/>
          <w:spacing w:val="0"/>
          <w:sz w:val="32"/>
          <w:szCs w:val="32"/>
          <w:u w:val="single"/>
        </w:rPr>
        <w:t xml:space="preserve"> </w:t>
      </w:r>
      <w:r>
        <w:rPr>
          <w:rFonts w:hint="eastAsia" w:ascii="Times New Roman" w:hAnsi="Times New Roman" w:eastAsia="仿宋_GB2312" w:cs="仿宋"/>
          <w:color w:val="000000"/>
          <w:spacing w:val="0"/>
          <w:sz w:val="32"/>
          <w:szCs w:val="32"/>
          <w:u w:val="single"/>
          <w:lang w:eastAsia="zh-CN"/>
        </w:rPr>
        <w:t>二</w:t>
      </w:r>
      <w:r>
        <w:rPr>
          <w:rFonts w:hint="eastAsia" w:ascii="Times New Roman" w:hAnsi="Times New Roman" w:eastAsia="仿宋_GB2312" w:cs="仿宋"/>
          <w:color w:val="000000"/>
          <w:spacing w:val="0"/>
          <w:sz w:val="32"/>
          <w:szCs w:val="32"/>
          <w:u w:val="single"/>
        </w:rPr>
        <w:t xml:space="preserve"> </w:t>
      </w:r>
      <w:r>
        <w:rPr>
          <w:rFonts w:hint="eastAsia" w:ascii="Times New Roman" w:hAnsi="Times New Roman" w:eastAsia="仿宋_GB2312" w:cs="仿宋"/>
          <w:color w:val="000000"/>
          <w:spacing w:val="0"/>
          <w:sz w:val="32"/>
          <w:szCs w:val="32"/>
        </w:rPr>
        <w:t>份，</w:t>
      </w:r>
      <w:r>
        <w:rPr>
          <w:rFonts w:hint="eastAsia" w:ascii="Times New Roman" w:hAnsi="Times New Roman" w:eastAsia="仿宋_GB2312" w:cs="仿宋"/>
          <w:color w:val="000000"/>
          <w:spacing w:val="0"/>
          <w:sz w:val="32"/>
          <w:szCs w:val="32"/>
          <w:u w:val="single"/>
        </w:rPr>
        <w:t xml:space="preserve"> </w:t>
      </w:r>
      <w:r>
        <w:rPr>
          <w:rFonts w:hint="eastAsia" w:ascii="Times New Roman" w:hAnsi="Times New Roman" w:eastAsia="仿宋_GB2312" w:cs="仿宋"/>
          <w:color w:val="000000"/>
          <w:spacing w:val="0"/>
          <w:sz w:val="32"/>
          <w:szCs w:val="32"/>
          <w:u w:val="single"/>
          <w:lang w:eastAsia="zh-CN"/>
        </w:rPr>
        <w:t>一</w:t>
      </w:r>
      <w:r>
        <w:rPr>
          <w:rFonts w:hint="eastAsia" w:ascii="Times New Roman" w:hAnsi="Times New Roman" w:eastAsia="仿宋_GB2312" w:cs="仿宋"/>
          <w:color w:val="000000"/>
          <w:spacing w:val="0"/>
          <w:sz w:val="32"/>
          <w:szCs w:val="32"/>
          <w:u w:val="single"/>
          <w:lang w:val="en-US" w:eastAsia="zh-CN"/>
        </w:rPr>
        <w:t xml:space="preserve"> </w:t>
      </w:r>
      <w:r>
        <w:rPr>
          <w:rFonts w:hint="eastAsia" w:ascii="Times New Roman" w:hAnsi="Times New Roman" w:eastAsia="仿宋_GB2312" w:cs="仿宋"/>
          <w:color w:val="000000"/>
          <w:spacing w:val="0"/>
          <w:sz w:val="32"/>
          <w:szCs w:val="32"/>
        </w:rPr>
        <w:t>份送达，</w:t>
      </w:r>
      <w:r>
        <w:rPr>
          <w:rFonts w:hint="eastAsia" w:ascii="Times New Roman" w:hAnsi="Times New Roman" w:eastAsia="仿宋_GB2312" w:cs="仿宋"/>
          <w:color w:val="000000"/>
          <w:spacing w:val="0"/>
          <w:sz w:val="32"/>
          <w:szCs w:val="32"/>
          <w:u w:val="single"/>
        </w:rPr>
        <w:t>一</w:t>
      </w:r>
      <w:r>
        <w:rPr>
          <w:rFonts w:hint="eastAsia" w:ascii="Times New Roman" w:hAnsi="Times New Roman" w:eastAsia="仿宋_GB2312" w:cs="仿宋"/>
          <w:color w:val="000000"/>
          <w:spacing w:val="0"/>
          <w:sz w:val="32"/>
          <w:szCs w:val="32"/>
        </w:rPr>
        <w:t>份归档</w:t>
      </w:r>
      <w:r>
        <w:rPr>
          <w:rFonts w:hint="eastAsia" w:eastAsia="仿宋_GB2312" w:cs="仿宋"/>
          <w:color w:val="000000"/>
          <w:spacing w:val="0"/>
          <w:sz w:val="32"/>
          <w:szCs w:val="32"/>
          <w:u w:val="none"/>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B70B1"/>
    <w:multiLevelType w:val="singleLevel"/>
    <w:tmpl w:val="949B70B1"/>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NDUzMzljOTY2MDQ4ZDVmZGYzOWYzYzE0MGYyNzIifQ=="/>
  </w:docVars>
  <w:rsids>
    <w:rsidRoot w:val="00094473"/>
    <w:rsid w:val="00094473"/>
    <w:rsid w:val="000F0415"/>
    <w:rsid w:val="00196A4C"/>
    <w:rsid w:val="001E527E"/>
    <w:rsid w:val="00221E4C"/>
    <w:rsid w:val="002E7066"/>
    <w:rsid w:val="003A0DEB"/>
    <w:rsid w:val="003D25F3"/>
    <w:rsid w:val="003D30C2"/>
    <w:rsid w:val="003D5204"/>
    <w:rsid w:val="0042254C"/>
    <w:rsid w:val="004A156F"/>
    <w:rsid w:val="00515BD1"/>
    <w:rsid w:val="00571C67"/>
    <w:rsid w:val="005D3D1F"/>
    <w:rsid w:val="00637F79"/>
    <w:rsid w:val="006476C4"/>
    <w:rsid w:val="006A04BA"/>
    <w:rsid w:val="006B7E7C"/>
    <w:rsid w:val="007B1B9C"/>
    <w:rsid w:val="0081434C"/>
    <w:rsid w:val="008554D2"/>
    <w:rsid w:val="008632C9"/>
    <w:rsid w:val="00931A06"/>
    <w:rsid w:val="009C2E48"/>
    <w:rsid w:val="009C6AB9"/>
    <w:rsid w:val="00AA0596"/>
    <w:rsid w:val="00AA5FAB"/>
    <w:rsid w:val="00B75120"/>
    <w:rsid w:val="00BA5E27"/>
    <w:rsid w:val="00BF16AD"/>
    <w:rsid w:val="00C9254B"/>
    <w:rsid w:val="00CC612E"/>
    <w:rsid w:val="00DD312F"/>
    <w:rsid w:val="00DE4BEA"/>
    <w:rsid w:val="00DF26E3"/>
    <w:rsid w:val="00E358D8"/>
    <w:rsid w:val="00E77F3D"/>
    <w:rsid w:val="00E81F4B"/>
    <w:rsid w:val="00EA588F"/>
    <w:rsid w:val="00FB7C24"/>
    <w:rsid w:val="00FC1BE2"/>
    <w:rsid w:val="015D2961"/>
    <w:rsid w:val="01896978"/>
    <w:rsid w:val="02320C03"/>
    <w:rsid w:val="02573D33"/>
    <w:rsid w:val="02744A71"/>
    <w:rsid w:val="027D3BC1"/>
    <w:rsid w:val="039C4395"/>
    <w:rsid w:val="048246C2"/>
    <w:rsid w:val="04EF2814"/>
    <w:rsid w:val="052A3623"/>
    <w:rsid w:val="05F0338B"/>
    <w:rsid w:val="065310FB"/>
    <w:rsid w:val="06A63D7F"/>
    <w:rsid w:val="08990182"/>
    <w:rsid w:val="08DD3849"/>
    <w:rsid w:val="09257A4A"/>
    <w:rsid w:val="0BE27AAB"/>
    <w:rsid w:val="0C156B94"/>
    <w:rsid w:val="0E5E0019"/>
    <w:rsid w:val="0EA50FA2"/>
    <w:rsid w:val="0F693A4D"/>
    <w:rsid w:val="10206C1E"/>
    <w:rsid w:val="12866CF3"/>
    <w:rsid w:val="12AB706F"/>
    <w:rsid w:val="12D00908"/>
    <w:rsid w:val="130031CE"/>
    <w:rsid w:val="16D13E4D"/>
    <w:rsid w:val="1752531F"/>
    <w:rsid w:val="199A3C4D"/>
    <w:rsid w:val="19BA3D9A"/>
    <w:rsid w:val="1A3140B7"/>
    <w:rsid w:val="1ADA0296"/>
    <w:rsid w:val="1B3C333B"/>
    <w:rsid w:val="1C5A3B4D"/>
    <w:rsid w:val="1C60602A"/>
    <w:rsid w:val="1F353C2F"/>
    <w:rsid w:val="214E5B76"/>
    <w:rsid w:val="21C10A3D"/>
    <w:rsid w:val="23967A17"/>
    <w:rsid w:val="25B17B00"/>
    <w:rsid w:val="26867447"/>
    <w:rsid w:val="26DC3C24"/>
    <w:rsid w:val="270F6563"/>
    <w:rsid w:val="2767499D"/>
    <w:rsid w:val="279466C1"/>
    <w:rsid w:val="29193C04"/>
    <w:rsid w:val="2CAC641B"/>
    <w:rsid w:val="2F2D07B2"/>
    <w:rsid w:val="2FB568A0"/>
    <w:rsid w:val="332D6D58"/>
    <w:rsid w:val="36F92B1E"/>
    <w:rsid w:val="37177E68"/>
    <w:rsid w:val="38D53522"/>
    <w:rsid w:val="3AD054AD"/>
    <w:rsid w:val="3B245EA1"/>
    <w:rsid w:val="3B512779"/>
    <w:rsid w:val="3CAD1E92"/>
    <w:rsid w:val="3CB7061B"/>
    <w:rsid w:val="40634831"/>
    <w:rsid w:val="421F113C"/>
    <w:rsid w:val="43195B8C"/>
    <w:rsid w:val="432E715D"/>
    <w:rsid w:val="442347E8"/>
    <w:rsid w:val="442E1B0B"/>
    <w:rsid w:val="4488746D"/>
    <w:rsid w:val="47D76160"/>
    <w:rsid w:val="48B92A6C"/>
    <w:rsid w:val="49197229"/>
    <w:rsid w:val="4975798F"/>
    <w:rsid w:val="49B128B4"/>
    <w:rsid w:val="4A652A89"/>
    <w:rsid w:val="4CAE5A95"/>
    <w:rsid w:val="4DAB1AD6"/>
    <w:rsid w:val="4DE561C7"/>
    <w:rsid w:val="4E0336C0"/>
    <w:rsid w:val="4E19399A"/>
    <w:rsid w:val="4E840B76"/>
    <w:rsid w:val="4EE43E21"/>
    <w:rsid w:val="50955230"/>
    <w:rsid w:val="511D1789"/>
    <w:rsid w:val="52A843D3"/>
    <w:rsid w:val="52D73DB9"/>
    <w:rsid w:val="52FC19D3"/>
    <w:rsid w:val="53123753"/>
    <w:rsid w:val="533311DB"/>
    <w:rsid w:val="5373126A"/>
    <w:rsid w:val="56AC43B9"/>
    <w:rsid w:val="58891A21"/>
    <w:rsid w:val="59205004"/>
    <w:rsid w:val="59623196"/>
    <w:rsid w:val="5A61576C"/>
    <w:rsid w:val="5B9F2139"/>
    <w:rsid w:val="5C241342"/>
    <w:rsid w:val="5C3451BA"/>
    <w:rsid w:val="5C49332D"/>
    <w:rsid w:val="5CC83E87"/>
    <w:rsid w:val="5D066D29"/>
    <w:rsid w:val="5EB961BE"/>
    <w:rsid w:val="5EC54A0E"/>
    <w:rsid w:val="5F772160"/>
    <w:rsid w:val="5FB17043"/>
    <w:rsid w:val="616C7003"/>
    <w:rsid w:val="6275556D"/>
    <w:rsid w:val="62BA6A6F"/>
    <w:rsid w:val="633966EA"/>
    <w:rsid w:val="636174F9"/>
    <w:rsid w:val="63867D42"/>
    <w:rsid w:val="63EA6129"/>
    <w:rsid w:val="6699657F"/>
    <w:rsid w:val="682D05AC"/>
    <w:rsid w:val="688E20AC"/>
    <w:rsid w:val="68BD770F"/>
    <w:rsid w:val="6B285D3B"/>
    <w:rsid w:val="6B29341D"/>
    <w:rsid w:val="6B4863D2"/>
    <w:rsid w:val="6C574B1A"/>
    <w:rsid w:val="6D2F20B2"/>
    <w:rsid w:val="6D7C2053"/>
    <w:rsid w:val="6DFC0CE0"/>
    <w:rsid w:val="6E6E0227"/>
    <w:rsid w:val="6F3C7712"/>
    <w:rsid w:val="6F833516"/>
    <w:rsid w:val="703B2806"/>
    <w:rsid w:val="71250990"/>
    <w:rsid w:val="71374F99"/>
    <w:rsid w:val="722214A3"/>
    <w:rsid w:val="7331320F"/>
    <w:rsid w:val="74343DC9"/>
    <w:rsid w:val="745F73F0"/>
    <w:rsid w:val="754701AF"/>
    <w:rsid w:val="75583A65"/>
    <w:rsid w:val="75C946D5"/>
    <w:rsid w:val="76272F74"/>
    <w:rsid w:val="76EE14BE"/>
    <w:rsid w:val="77592DB6"/>
    <w:rsid w:val="78B601DC"/>
    <w:rsid w:val="7913429B"/>
    <w:rsid w:val="7A0E7443"/>
    <w:rsid w:val="7B734529"/>
    <w:rsid w:val="7C043D60"/>
    <w:rsid w:val="7C1F5263"/>
    <w:rsid w:val="7D4B2ECB"/>
    <w:rsid w:val="7E5C5BA4"/>
    <w:rsid w:val="7EA42677"/>
    <w:rsid w:val="7ED603AA"/>
    <w:rsid w:val="7EF27A11"/>
    <w:rsid w:val="7FE92879"/>
    <w:rsid w:val="7FF831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3">
    <w:name w:val="Body Text"/>
    <w:basedOn w:val="1"/>
    <w:link w:val="10"/>
    <w:autoRedefine/>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4">
    <w:name w:val="footer"/>
    <w:basedOn w:val="1"/>
    <w:link w:val="11"/>
    <w:autoRedefine/>
    <w:unhideWhenUsed/>
    <w:qFormat/>
    <w:uiPriority w:val="0"/>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rPr>
      <w:sz w:val="24"/>
    </w:rPr>
  </w:style>
  <w:style w:type="character" w:customStyle="1" w:styleId="9">
    <w:name w:val="标题 1 Char"/>
    <w:basedOn w:val="8"/>
    <w:link w:val="2"/>
    <w:autoRedefine/>
    <w:qFormat/>
    <w:uiPriority w:val="0"/>
    <w:rPr>
      <w:rFonts w:ascii="Times New Roman" w:hAnsi="Times New Roman" w:cs="Mangal"/>
      <w:color w:val="00000A"/>
      <w:kern w:val="2"/>
      <w:sz w:val="24"/>
      <w:szCs w:val="24"/>
      <w:lang w:val="zh-CN" w:bidi="hi-IN"/>
    </w:rPr>
  </w:style>
  <w:style w:type="character" w:customStyle="1" w:styleId="10">
    <w:name w:val="正文文本 Char"/>
    <w:basedOn w:val="8"/>
    <w:link w:val="3"/>
    <w:autoRedefine/>
    <w:qFormat/>
    <w:uiPriority w:val="1"/>
    <w:rPr>
      <w:rFonts w:ascii="Arial Unicode MS" w:hAnsi="Times New Roman" w:eastAsia="Arial Unicode MS" w:cs="Arial Unicode MS"/>
      <w:sz w:val="32"/>
      <w:szCs w:val="32"/>
    </w:rPr>
  </w:style>
  <w:style w:type="character" w:customStyle="1" w:styleId="11">
    <w:name w:val="页脚 Char"/>
    <w:basedOn w:val="8"/>
    <w:link w:val="4"/>
    <w:autoRedefine/>
    <w:qFormat/>
    <w:uiPriority w:val="0"/>
    <w:rPr>
      <w:sz w:val="18"/>
      <w:szCs w:val="18"/>
    </w:rPr>
  </w:style>
  <w:style w:type="character" w:customStyle="1" w:styleId="12">
    <w:name w:val="页眉 Char"/>
    <w:basedOn w:val="8"/>
    <w:link w:val="5"/>
    <w:autoRedefine/>
    <w:semiHidden/>
    <w:qFormat/>
    <w:uiPriority w:val="99"/>
    <w:rPr>
      <w:sz w:val="18"/>
      <w:szCs w:val="18"/>
    </w:rPr>
  </w:style>
  <w:style w:type="paragraph" w:customStyle="1" w:styleId="13">
    <w:name w:val="Table Paragraph"/>
    <w:basedOn w:val="1"/>
    <w:autoRedefine/>
    <w:qFormat/>
    <w:uiPriority w:val="1"/>
    <w:pPr>
      <w:autoSpaceDE w:val="0"/>
      <w:autoSpaceDN w:val="0"/>
      <w:adjustRightInd w:val="0"/>
      <w:jc w:val="left"/>
    </w:pPr>
    <w:rPr>
      <w:rFonts w:ascii="Arial Unicode MS" w:hAnsi="Times New Roman" w:eastAsia="Arial Unicode MS" w:cs="Arial Unicode MS"/>
      <w:kern w:val="0"/>
      <w:sz w:val="24"/>
    </w:rPr>
  </w:style>
  <w:style w:type="paragraph" w:customStyle="1" w:styleId="14">
    <w:name w:val="内文"/>
    <w:basedOn w:val="15"/>
    <w:autoRedefine/>
    <w:qFormat/>
    <w:uiPriority w:val="99"/>
    <w:pPr>
      <w:ind w:firstLine="567"/>
    </w:pPr>
  </w:style>
  <w:style w:type="paragraph" w:customStyle="1" w:styleId="15">
    <w:name w:val="段落样式1"/>
    <w:basedOn w:val="16"/>
    <w:autoRedefine/>
    <w:qFormat/>
    <w:uiPriority w:val="99"/>
    <w:pPr>
      <w:spacing w:line="460" w:lineRule="atLeast"/>
    </w:pPr>
    <w:rPr>
      <w:sz w:val="30"/>
      <w:szCs w:val="30"/>
    </w:rPr>
  </w:style>
  <w:style w:type="paragraph" w:customStyle="1" w:styleId="16">
    <w:name w:val="[无段落样式]"/>
    <w:autoRedefine/>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1838</Words>
  <Characters>2103</Characters>
  <Lines>12</Lines>
  <Paragraphs>3</Paragraphs>
  <TotalTime>10</TotalTime>
  <ScaleCrop>false</ScaleCrop>
  <LinksUpToDate>false</LinksUpToDate>
  <CharactersWithSpaces>2141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2019-03-29T11:48:00Z</dcterms:created>
  <dc:creator>孙苏</dc:creator>
  <dc:description>根据市场监管总局关于印发《市场监督管理行政处罚文书格式范本》的通知（国市监法〔2019〕55号）校对制作</dc:description>
  <cp:lastModifiedBy>驭兕</cp:lastModifiedBy>
  <cp:lastPrinted>2023-11-21T02:34:00Z</cp:lastPrinted>
  <dcterms:modified xsi:type="dcterms:W3CDTF">2025-09-18T08:59:29Z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33C9187A72934DE4873FCA4FEC973109_13</vt:lpwstr>
  </property>
  <property fmtid="{D5CDD505-2E9C-101B-9397-08002B2CF9AE}" pid="4" name="KSOTemplateDocerSaveRecord">
    <vt:lpwstr>eyJoZGlkIjoiMWQwZTI3YmUyY2FmZWE2NGRjMjlmNmEwYTU5ZWFiZWUiLCJ1c2VySWQiOiI3MTk1ODk1NDMifQ==</vt:lpwstr>
  </property>
</Properties>
</file>