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71D6">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14:paraId="4F26DA2E">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14:paraId="2BDAC600">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淮田市</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361</w:t>
      </w:r>
      <w:r>
        <w:rPr>
          <w:rFonts w:hint="eastAsia" w:ascii="仿宋_GB2312" w:hAnsi="仿宋_GB2312" w:eastAsia="仿宋_GB2312" w:cs="仿宋_GB2312"/>
          <w:sz w:val="32"/>
          <w:szCs w:val="32"/>
        </w:rPr>
        <w:t>号</w:t>
      </w:r>
    </w:p>
    <w:p w14:paraId="5D899447">
      <w:pPr>
        <w:pStyle w:val="6"/>
      </w:pPr>
    </w:p>
    <w:p w14:paraId="16C3CAE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邓*</w:t>
      </w:r>
      <w:bookmarkStart w:id="0" w:name="_GoBack"/>
      <w:bookmarkEnd w:id="0"/>
      <w:r>
        <w:rPr>
          <w:rFonts w:hint="eastAsia" w:ascii="仿宋_GB2312" w:hAnsi="仿宋_GB2312" w:eastAsia="仿宋_GB2312" w:cs="仿宋_GB2312"/>
          <w:sz w:val="32"/>
          <w:szCs w:val="32"/>
          <w:u w:val="single"/>
          <w:lang w:val="en-US" w:eastAsia="zh-CN"/>
        </w:rPr>
        <w:t>俊</w:t>
      </w:r>
      <w:r>
        <w:rPr>
          <w:rFonts w:hint="eastAsia" w:ascii="仿宋_GB2312" w:hAnsi="仿宋_GB2312" w:eastAsia="仿宋_GB2312" w:cs="仿宋_GB2312"/>
          <w:sz w:val="32"/>
          <w:szCs w:val="32"/>
          <w:u w:val="single"/>
        </w:rPr>
        <w:t xml:space="preserve">                                       </w:t>
      </w:r>
    </w:p>
    <w:p w14:paraId="6E8DD700">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主体资格证照名称</w:t>
      </w:r>
      <w:r>
        <w:rPr>
          <w:rFonts w:hint="eastAsia" w:ascii="仿宋_GB2312" w:hAnsi="仿宋_GB2312" w:eastAsia="仿宋_GB2312" w:cs="仿宋_GB2312"/>
          <w:sz w:val="32"/>
          <w:szCs w:val="32"/>
          <w:u w:val="single"/>
        </w:rPr>
        <w:t>：营业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14:paraId="5F3E3533">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92340400MA2PJ5X00Q</w:t>
      </w:r>
      <w:r>
        <w:rPr>
          <w:rFonts w:hint="eastAsia" w:ascii="仿宋_GB2312" w:hAnsi="仿宋_GB2312" w:eastAsia="仿宋_GB2312" w:cs="仿宋_GB2312"/>
          <w:sz w:val="32"/>
          <w:szCs w:val="32"/>
          <w:u w:val="single"/>
        </w:rPr>
        <w:t xml:space="preserve">                 </w:t>
      </w:r>
    </w:p>
    <w:p w14:paraId="65CB0F9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w w:val="90"/>
          <w:sz w:val="28"/>
          <w:szCs w:val="28"/>
          <w:u w:val="singl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淮南市田家庵区史院乡街道</w:t>
      </w:r>
      <w:r>
        <w:rPr>
          <w:rFonts w:hint="eastAsia" w:ascii="仿宋_GB2312" w:hAnsi="仿宋_GB2312" w:eastAsia="仿宋_GB2312" w:cs="仿宋_GB2312"/>
          <w:sz w:val="32"/>
          <w:szCs w:val="32"/>
          <w:u w:val="none"/>
          <w:lang w:val="en-US" w:eastAsia="zh-CN"/>
        </w:rPr>
        <w:t xml:space="preserve"> </w:t>
      </w:r>
    </w:p>
    <w:p w14:paraId="2267257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邓*俊</w:t>
      </w:r>
      <w:r>
        <w:rPr>
          <w:rFonts w:hint="eastAsia" w:ascii="仿宋_GB2312" w:hAnsi="仿宋_GB2312" w:eastAsia="仿宋_GB2312" w:cs="仿宋_GB2312"/>
          <w:sz w:val="32"/>
          <w:szCs w:val="32"/>
          <w:u w:val="single"/>
        </w:rPr>
        <w:t xml:space="preserve">                     </w:t>
      </w:r>
    </w:p>
    <w:p w14:paraId="653A9C4B">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身份证（其他有效证件）号码</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p>
    <w:p w14:paraId="567D3DC0">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lang w:val="en-US" w:eastAsia="zh-CN"/>
        </w:rPr>
      </w:pPr>
    </w:p>
    <w:p w14:paraId="3FF4147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2025年6月12日，淮南市田家庵区市场监督管理局委托山东腾翔产品质量检测有限责任公司对当事人销售的“粒状过磷酸钙”（型号规格：有效P</w:t>
      </w:r>
      <w:r>
        <w:rPr>
          <w:rFonts w:hint="eastAsia" w:ascii="仿宋_GB2312" w:hAnsi="仿宋_GB2312" w:eastAsia="仿宋_GB2312" w:cs="仿宋_GB2312"/>
          <w:b w:val="0"/>
          <w:bCs w:val="0"/>
          <w:color w:val="auto"/>
          <w:sz w:val="32"/>
          <w:szCs w:val="32"/>
          <w:vertAlign w:val="subscript"/>
          <w:lang w:val="en-US" w:eastAsia="zh-CN"/>
        </w:rPr>
        <w:t>2</w:t>
      </w:r>
      <w:r>
        <w:rPr>
          <w:rFonts w:hint="eastAsia" w:ascii="仿宋_GB2312" w:hAnsi="仿宋_GB2312" w:eastAsia="仿宋_GB2312" w:cs="仿宋_GB2312"/>
          <w:b w:val="0"/>
          <w:bCs w:val="0"/>
          <w:color w:val="auto"/>
          <w:sz w:val="32"/>
          <w:szCs w:val="32"/>
          <w:lang w:val="en-US" w:eastAsia="zh-CN"/>
        </w:rPr>
        <w:t>O</w:t>
      </w:r>
      <w:r>
        <w:rPr>
          <w:rFonts w:hint="eastAsia" w:ascii="仿宋_GB2312" w:hAnsi="仿宋_GB2312" w:eastAsia="仿宋_GB2312" w:cs="仿宋_GB2312"/>
          <w:b w:val="0"/>
          <w:bCs w:val="0"/>
          <w:color w:val="auto"/>
          <w:sz w:val="32"/>
          <w:szCs w:val="32"/>
          <w:vertAlign w:val="subscript"/>
          <w:lang w:val="en-US" w:eastAsia="zh-CN"/>
        </w:rPr>
        <w:t>5</w:t>
      </w:r>
      <w:r>
        <w:rPr>
          <w:rFonts w:hint="eastAsia" w:ascii="仿宋_GB2312" w:hAnsi="仿宋_GB2312" w:eastAsia="仿宋_GB2312" w:cs="仿宋_GB2312"/>
          <w:b w:val="0"/>
          <w:bCs w:val="0"/>
          <w:color w:val="auto"/>
          <w:sz w:val="32"/>
          <w:szCs w:val="32"/>
          <w:lang w:val="en-US" w:eastAsia="zh-CN"/>
        </w:rPr>
        <w:t>:≥12.0%，水溶性磷：≥7.0%、硫：≥8.0%、钙：≥10.0%）进行监督抽验，经检验，检验结论为“不合格”。我局执法人员于2025年7月29日向当事人现场送达其销售的标称生产企业“铜陵市金禾肥业有限责任公司”、无生产日期的粒状过磷酸钙的《检验检测报告》（报告编号：TXZJ/20250612309），</w:t>
      </w:r>
      <w:r>
        <w:rPr>
          <w:rFonts w:hint="eastAsia" w:ascii="仿宋_GB2312" w:hAnsi="仿宋_GB2312" w:eastAsia="仿宋_GB2312" w:cs="仿宋_GB2312"/>
          <w:sz w:val="32"/>
          <w:szCs w:val="32"/>
          <w:highlight w:val="none"/>
          <w:lang w:val="en-US" w:eastAsia="zh-CN"/>
        </w:rPr>
        <w:t>现场未发现该批次</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rPr>
        <w:t>当事人销售不合格“粒状过磷酸钙”的行为，</w:t>
      </w:r>
      <w:r>
        <w:rPr>
          <w:rFonts w:hint="eastAsia" w:ascii="仿宋_GB2312" w:hAnsi="仿宋_GB2312" w:eastAsia="仿宋_GB2312" w:cs="仿宋_GB2312"/>
          <w:b w:val="0"/>
          <w:bCs w:val="0"/>
          <w:color w:val="auto"/>
          <w:sz w:val="32"/>
          <w:szCs w:val="32"/>
          <w:lang w:val="en-US" w:eastAsia="zh-CN"/>
        </w:rPr>
        <w:t>涉嫌违反了《中华人民共和国产品质量法》第三十九条的规定。当事人在法定期限内未提出复检申请。</w:t>
      </w:r>
      <w:r>
        <w:rPr>
          <w:rFonts w:hint="eastAsia" w:ascii="仿宋_GB2312" w:hAnsi="仿宋_GB2312" w:eastAsia="仿宋_GB2312" w:cs="仿宋_GB2312"/>
          <w:color w:val="auto"/>
          <w:sz w:val="32"/>
          <w:szCs w:val="32"/>
          <w:highlight w:val="none"/>
          <w:lang w:val="en-US" w:eastAsia="zh-CN"/>
        </w:rPr>
        <w:t>我局于2025年7月29日立案调查，</w:t>
      </w:r>
      <w:r>
        <w:rPr>
          <w:rFonts w:hint="default" w:ascii="Times New Roman" w:hAnsi="Times New Roman" w:eastAsia="仿宋_GB2312" w:cs="Times New Roman"/>
          <w:color w:val="auto"/>
          <w:spacing w:val="11"/>
          <w:sz w:val="32"/>
          <w:szCs w:val="32"/>
          <w:u w:val="none"/>
        </w:rPr>
        <w:t>指定</w:t>
      </w:r>
      <w:r>
        <w:rPr>
          <w:rFonts w:hint="default" w:ascii="Times New Roman" w:hAnsi="Times New Roman" w:eastAsia="仿宋_GB2312" w:cs="Times New Roman"/>
          <w:color w:val="auto"/>
          <w:spacing w:val="11"/>
          <w:sz w:val="32"/>
          <w:szCs w:val="32"/>
          <w:u w:val="none"/>
          <w:lang w:val="en-US" w:eastAsia="zh-CN"/>
        </w:rPr>
        <w:t>刘勇、常虹</w:t>
      </w:r>
      <w:r>
        <w:rPr>
          <w:rFonts w:hint="default" w:ascii="Times New Roman" w:hAnsi="Times New Roman" w:eastAsia="仿宋_GB2312" w:cs="Times New Roman"/>
          <w:color w:val="auto"/>
          <w:spacing w:val="11"/>
          <w:sz w:val="32"/>
          <w:szCs w:val="32"/>
          <w:u w:val="none"/>
        </w:rPr>
        <w:t>为办案人员</w:t>
      </w:r>
      <w:r>
        <w:rPr>
          <w:rFonts w:hint="eastAsia" w:eastAsia="仿宋_GB2312" w:cs="Times New Roman"/>
          <w:color w:val="auto"/>
          <w:spacing w:val="11"/>
          <w:sz w:val="32"/>
          <w:szCs w:val="32"/>
          <w:u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u w:val="none"/>
          <w:lang w:val="en-US" w:eastAsia="zh-CN"/>
        </w:rPr>
        <w:t>于</w:t>
      </w:r>
      <w:r>
        <w:rPr>
          <w:rFonts w:hint="eastAsia" w:ascii="仿宋_GB2312" w:hAnsi="仿宋_GB2312" w:eastAsia="仿宋_GB2312" w:cs="仿宋_GB2312"/>
          <w:color w:val="auto"/>
          <w:sz w:val="32"/>
          <w:szCs w:val="32"/>
          <w:highlight w:val="none"/>
          <w:lang w:val="en-US" w:eastAsia="zh-CN"/>
        </w:rPr>
        <w:t>2025年8月8日依法对当事人进行了询问。</w:t>
      </w:r>
    </w:p>
    <w:p w14:paraId="4B52B35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经查，当事人销售的</w:t>
      </w:r>
      <w:r>
        <w:rPr>
          <w:rFonts w:hint="eastAsia" w:ascii="仿宋_GB2312" w:hAnsi="仿宋_GB2312" w:eastAsia="仿宋_GB2312" w:cs="仿宋_GB2312"/>
          <w:b w:val="0"/>
          <w:bCs w:val="0"/>
          <w:color w:val="auto"/>
          <w:sz w:val="32"/>
          <w:szCs w:val="32"/>
          <w:lang w:val="en-US" w:eastAsia="zh-CN"/>
        </w:rPr>
        <w:t>标称生产企业“铜陵市金禾肥业有限责任公司”的粒状过磷酸钙（型号规格：有效</w:t>
      </w:r>
      <w:r>
        <w:rPr>
          <w:rFonts w:hint="eastAsia" w:ascii="仿宋_GB2312" w:hAnsi="仿宋_GB2312" w:eastAsia="仿宋_GB2312" w:cs="仿宋_GB2312"/>
          <w:color w:val="auto"/>
          <w:sz w:val="32"/>
          <w:szCs w:val="32"/>
        </w:rPr>
        <w:t>P</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O</w:t>
      </w:r>
      <w:r>
        <w:rPr>
          <w:rFonts w:hint="eastAsia" w:ascii="仿宋_GB2312" w:hAnsi="仿宋_GB2312" w:eastAsia="仿宋_GB2312" w:cs="仿宋_GB2312"/>
          <w:color w:val="auto"/>
          <w:sz w:val="32"/>
          <w:szCs w:val="32"/>
          <w:vertAlign w:val="subscript"/>
        </w:rPr>
        <w:t>5</w:t>
      </w:r>
      <w:r>
        <w:rPr>
          <w:rFonts w:hint="eastAsia" w:ascii="仿宋_GB2312" w:hAnsi="仿宋_GB2312" w:eastAsia="仿宋_GB2312" w:cs="仿宋_GB2312"/>
          <w:b w:val="0"/>
          <w:bCs w:val="0"/>
          <w:color w:val="auto"/>
          <w:sz w:val="32"/>
          <w:szCs w:val="32"/>
          <w:lang w:val="en-US" w:eastAsia="zh-CN"/>
        </w:rPr>
        <w:t>:≥12.0%，水溶性磷：≥7.0%、硫：≥8.0%、钙：≥10.0%）</w:t>
      </w:r>
      <w:r>
        <w:rPr>
          <w:rFonts w:hint="eastAsia" w:ascii="仿宋_GB2312" w:hAnsi="仿宋_GB2312" w:eastAsia="仿宋_GB2312" w:cs="仿宋_GB2312"/>
          <w:color w:val="auto"/>
          <w:sz w:val="32"/>
          <w:szCs w:val="32"/>
        </w:rPr>
        <w:t>，经检验，检测项目</w:t>
      </w:r>
      <w:r>
        <w:rPr>
          <w:rFonts w:hint="eastAsia" w:ascii="仿宋_GB2312" w:hAnsi="仿宋_GB2312" w:eastAsia="仿宋_GB2312" w:cs="仿宋_GB2312"/>
          <w:color w:val="auto"/>
          <w:sz w:val="32"/>
          <w:szCs w:val="32"/>
          <w:lang w:eastAsia="zh-CN"/>
        </w:rPr>
        <w:t>水溶性磷（以</w:t>
      </w:r>
      <w:r>
        <w:rPr>
          <w:rFonts w:hint="eastAsia" w:ascii="仿宋_GB2312" w:hAnsi="仿宋_GB2312" w:eastAsia="仿宋_GB2312" w:cs="仿宋_GB2312"/>
          <w:color w:val="auto"/>
          <w:sz w:val="32"/>
          <w:szCs w:val="32"/>
        </w:rPr>
        <w:t>P</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O</w:t>
      </w:r>
      <w:r>
        <w:rPr>
          <w:rFonts w:hint="eastAsia" w:ascii="仿宋_GB2312" w:hAnsi="仿宋_GB2312" w:eastAsia="仿宋_GB2312" w:cs="仿宋_GB2312"/>
          <w:color w:val="auto"/>
          <w:sz w:val="32"/>
          <w:szCs w:val="32"/>
          <w:vertAlign w:val="subscript"/>
        </w:rPr>
        <w:t>5</w:t>
      </w:r>
      <w:r>
        <w:rPr>
          <w:rFonts w:hint="eastAsia" w:ascii="仿宋_GB2312" w:hAnsi="仿宋_GB2312" w:eastAsia="仿宋_GB2312" w:cs="仿宋_GB2312"/>
          <w:color w:val="auto"/>
          <w:sz w:val="32"/>
          <w:szCs w:val="32"/>
          <w:vertAlign w:val="baseline"/>
          <w:lang w:eastAsia="zh-CN"/>
        </w:rPr>
        <w:t>计</w:t>
      </w:r>
      <w:r>
        <w:rPr>
          <w:rFonts w:hint="eastAsia" w:ascii="仿宋_GB2312" w:hAnsi="仿宋_GB2312" w:eastAsia="仿宋_GB2312" w:cs="仿宋_GB2312"/>
          <w:color w:val="auto"/>
          <w:sz w:val="32"/>
          <w:szCs w:val="32"/>
          <w:lang w:eastAsia="zh-CN"/>
        </w:rPr>
        <w:t>）的质量分数</w:t>
      </w:r>
      <w:r>
        <w:rPr>
          <w:rFonts w:hint="eastAsia" w:ascii="仿宋_GB2312" w:hAnsi="仿宋_GB2312" w:eastAsia="仿宋_GB2312" w:cs="仿宋_GB2312"/>
          <w:color w:val="auto"/>
          <w:sz w:val="32"/>
          <w:szCs w:val="32"/>
        </w:rPr>
        <w:t>/%的检验结果为</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（技术要求为≥</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、游离水的质量分数</w:t>
      </w:r>
      <w:r>
        <w:rPr>
          <w:rFonts w:hint="eastAsia" w:ascii="仿宋_GB2312" w:hAnsi="仿宋_GB2312" w:eastAsia="仿宋_GB2312" w:cs="仿宋_GB2312"/>
          <w:color w:val="auto"/>
          <w:sz w:val="32"/>
          <w:szCs w:val="32"/>
        </w:rPr>
        <w:t>/%的检验结果为</w:t>
      </w:r>
      <w:r>
        <w:rPr>
          <w:rFonts w:hint="eastAsia" w:ascii="仿宋_GB2312" w:hAnsi="仿宋_GB2312" w:eastAsia="仿宋_GB2312" w:cs="仿宋_GB2312"/>
          <w:color w:val="auto"/>
          <w:sz w:val="32"/>
          <w:szCs w:val="32"/>
          <w:lang w:val="en-US" w:eastAsia="zh-CN"/>
        </w:rPr>
        <w:t>13.9</w:t>
      </w:r>
      <w:r>
        <w:rPr>
          <w:rFonts w:hint="eastAsia" w:ascii="仿宋_GB2312" w:hAnsi="仿宋_GB2312" w:eastAsia="仿宋_GB2312" w:cs="仿宋_GB2312"/>
          <w:color w:val="auto"/>
          <w:sz w:val="32"/>
          <w:szCs w:val="32"/>
        </w:rPr>
        <w:t>（技术要求为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、粒度（1.00mm～4.75mm）</w:t>
      </w:r>
      <w:r>
        <w:rPr>
          <w:rFonts w:hint="eastAsia" w:ascii="仿宋_GB2312" w:hAnsi="仿宋_GB2312" w:eastAsia="仿宋_GB2312" w:cs="仿宋_GB2312"/>
          <w:color w:val="auto"/>
          <w:sz w:val="32"/>
          <w:szCs w:val="32"/>
        </w:rPr>
        <w:t>检验结果为</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（技术要求为≥</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），不符合《</w:t>
      </w:r>
      <w:r>
        <w:rPr>
          <w:rFonts w:hint="eastAsia" w:ascii="仿宋_GB2312" w:hAnsi="仿宋_GB2312" w:eastAsia="仿宋_GB2312" w:cs="仿宋_GB2312"/>
          <w:color w:val="auto"/>
          <w:sz w:val="32"/>
          <w:szCs w:val="32"/>
          <w:lang w:eastAsia="zh-CN"/>
        </w:rPr>
        <w:t>过磷酸钙</w:t>
      </w:r>
      <w:r>
        <w:rPr>
          <w:rFonts w:hint="eastAsia"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20413-2017</w:t>
      </w:r>
      <w:r>
        <w:rPr>
          <w:rFonts w:hint="eastAsia" w:ascii="仿宋_GB2312" w:hAnsi="仿宋_GB2312" w:eastAsia="仿宋_GB2312" w:cs="仿宋_GB2312"/>
          <w:color w:val="auto"/>
          <w:sz w:val="32"/>
          <w:szCs w:val="32"/>
        </w:rPr>
        <w:t>）标准要求，结论为不合格。</w:t>
      </w:r>
      <w:r>
        <w:rPr>
          <w:rFonts w:hint="eastAsia" w:ascii="仿宋_GB2312" w:hAnsi="仿宋_GB2312" w:eastAsia="仿宋_GB2312" w:cs="仿宋_GB2312"/>
          <w:color w:val="auto"/>
          <w:sz w:val="32"/>
          <w:szCs w:val="32"/>
          <w:u w:val="none"/>
          <w:lang w:val="en-US" w:eastAsia="zh-CN"/>
        </w:rPr>
        <w:t>当事人从流动肥料销售商处，</w:t>
      </w:r>
      <w:r>
        <w:rPr>
          <w:rFonts w:hint="eastAsia" w:ascii="仿宋_GB2312" w:hAnsi="仿宋_GB2312" w:eastAsia="仿宋_GB2312" w:cs="仿宋_GB2312"/>
          <w:color w:val="auto"/>
          <w:sz w:val="32"/>
          <w:szCs w:val="32"/>
          <w:u w:val="none"/>
          <w:lang w:eastAsia="zh-CN"/>
        </w:rPr>
        <w:t>购进</w:t>
      </w:r>
      <w:r>
        <w:rPr>
          <w:rFonts w:hint="eastAsia" w:ascii="仿宋_GB2312" w:hAnsi="仿宋_GB2312" w:eastAsia="仿宋_GB2312" w:cs="仿宋_GB2312"/>
          <w:color w:val="auto"/>
          <w:sz w:val="32"/>
          <w:szCs w:val="32"/>
          <w:u w:val="none"/>
        </w:rPr>
        <w:t>上述不合格</w:t>
      </w:r>
      <w:r>
        <w:rPr>
          <w:rFonts w:hint="eastAsia" w:ascii="仿宋_GB2312" w:hAnsi="仿宋_GB2312" w:eastAsia="仿宋_GB2312" w:cs="仿宋_GB2312"/>
          <w:color w:val="auto"/>
          <w:sz w:val="32"/>
          <w:szCs w:val="32"/>
          <w:u w:val="none"/>
          <w:lang w:eastAsia="zh-CN"/>
        </w:rPr>
        <w:t>批次</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b w:val="0"/>
          <w:bCs w:val="0"/>
          <w:color w:val="auto"/>
          <w:sz w:val="32"/>
          <w:szCs w:val="32"/>
          <w:lang w:val="en-US" w:eastAsia="zh-CN"/>
        </w:rPr>
        <w:t>“粒状过磷酸钙”共计60袋，每袋净含量：40kg，</w:t>
      </w:r>
      <w:r>
        <w:rPr>
          <w:rFonts w:hint="eastAsia" w:ascii="仿宋_GB2312" w:hAnsi="仿宋" w:eastAsia="仿宋_GB2312"/>
          <w:color w:val="auto"/>
          <w:sz w:val="32"/>
          <w:szCs w:val="28"/>
          <w:u w:val="none"/>
          <w:lang w:val="en-US" w:eastAsia="zh-CN"/>
        </w:rPr>
        <w:t>已全部售出</w:t>
      </w:r>
      <w:r>
        <w:rPr>
          <w:rFonts w:hint="eastAsia" w:ascii="仿宋_GB2312" w:hAnsi="仿宋_GB2312" w:eastAsia="仿宋_GB2312" w:cs="仿宋_GB2312"/>
          <w:color w:val="auto"/>
          <w:sz w:val="32"/>
          <w:szCs w:val="32"/>
        </w:rPr>
        <w:t>。上述</w:t>
      </w:r>
      <w:r>
        <w:rPr>
          <w:rFonts w:hint="eastAsia" w:ascii="仿宋_GB2312" w:hAnsi="仿宋_GB2312" w:eastAsia="仿宋_GB2312" w:cs="仿宋_GB2312"/>
          <w:b w:val="0"/>
          <w:bCs w:val="0"/>
          <w:color w:val="auto"/>
          <w:sz w:val="32"/>
          <w:szCs w:val="32"/>
          <w:lang w:val="en-US" w:eastAsia="zh-CN"/>
        </w:rPr>
        <w:t>“粒状过磷酸钙”的</w:t>
      </w:r>
      <w:r>
        <w:rPr>
          <w:rFonts w:hint="eastAsia" w:ascii="仿宋_GB2312" w:hAnsi="仿宋" w:eastAsia="仿宋_GB2312"/>
          <w:color w:val="auto"/>
          <w:sz w:val="32"/>
          <w:szCs w:val="28"/>
          <w:u w:val="none"/>
          <w:lang w:val="en-US" w:eastAsia="zh-CN"/>
        </w:rPr>
        <w:t>进价为22元/袋，售价为25元/袋，货值金额1500元，违法所得180元。</w:t>
      </w:r>
    </w:p>
    <w:p w14:paraId="126B504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14:paraId="2C1153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1.《产品质量监督抽查/复查抽样单》（编号：TX0091755）1份，证明淮南市田家庵区市场监督管理局委托山东腾翔产品质量检测有限责任公司对当事人销售的“粒状过磷酸钙”</w:t>
      </w:r>
      <w:r>
        <w:rPr>
          <w:rFonts w:hint="eastAsia" w:ascii="仿宋_GB2312" w:hAnsi="仿宋_GB2312" w:eastAsia="仿宋_GB2312" w:cs="仿宋_GB2312"/>
          <w:sz w:val="32"/>
          <w:szCs w:val="32"/>
        </w:rPr>
        <w:t>进行抽样的事实；</w:t>
      </w:r>
    </w:p>
    <w:p w14:paraId="630DB9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《检验检测报告》（报告编号：TXZJ/20250612309）1</w:t>
      </w:r>
      <w:r>
        <w:rPr>
          <w:rFonts w:hint="eastAsia" w:ascii="仿宋_GB2312" w:hAnsi="仿宋_GB2312" w:eastAsia="仿宋_GB2312" w:cs="仿宋_GB2312"/>
          <w:sz w:val="32"/>
          <w:szCs w:val="32"/>
        </w:rPr>
        <w:t>份，证明当事人销售的</w:t>
      </w:r>
      <w:r>
        <w:rPr>
          <w:rFonts w:hint="eastAsia" w:ascii="仿宋_GB2312" w:hAnsi="仿宋_GB2312" w:eastAsia="仿宋_GB2312" w:cs="仿宋_GB2312"/>
          <w:sz w:val="32"/>
          <w:szCs w:val="32"/>
          <w:lang w:val="en-US" w:eastAsia="zh-CN"/>
        </w:rPr>
        <w:t>“粒状过磷酸钙”</w:t>
      </w:r>
      <w:r>
        <w:rPr>
          <w:rFonts w:hint="eastAsia" w:ascii="仿宋_GB2312" w:hAnsi="仿宋_GB2312" w:eastAsia="仿宋_GB2312" w:cs="仿宋_GB2312"/>
          <w:sz w:val="32"/>
          <w:szCs w:val="32"/>
        </w:rPr>
        <w:t>检验结论为不合格的事实；</w:t>
      </w:r>
    </w:p>
    <w:p w14:paraId="7CF305E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.《现场笔录》《询问笔录》各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证明当事人销售的不合格批次</w:t>
      </w:r>
      <w:r>
        <w:rPr>
          <w:rFonts w:hint="eastAsia" w:ascii="仿宋_GB2312" w:hAnsi="仿宋_GB2312" w:eastAsia="仿宋_GB2312" w:cs="仿宋_GB2312"/>
          <w:sz w:val="32"/>
          <w:szCs w:val="32"/>
          <w:lang w:val="en-US" w:eastAsia="zh-CN"/>
        </w:rPr>
        <w:t>“粒状过磷酸钙”货值金额、违法所得的事实;</w:t>
      </w:r>
    </w:p>
    <w:p w14:paraId="50E4CA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当事人的营业执照复印件1份</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身份证复印件1份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证明当事人主体资格。</w:t>
      </w:r>
    </w:p>
    <w:p w14:paraId="4C92AD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14:paraId="3C1E67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14:paraId="1DF544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604C1F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当事人销售不合格肥料的行为违反了《中华人民共和国产品质量法》第三十九条“销售者销售产品，不得掺杂、掺假，不得以假充真、以次充好，不得以不合格产品冒充合格产品。”的规定。</w:t>
      </w:r>
    </w:p>
    <w:p w14:paraId="7EFFF04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当事人销售的</w:t>
      </w:r>
      <w:r>
        <w:rPr>
          <w:rFonts w:hint="eastAsia" w:ascii="仿宋_GB2312" w:hAnsi="仿宋_GB2312" w:eastAsia="仿宋_GB2312" w:cs="仿宋_GB2312"/>
          <w:color w:val="auto"/>
          <w:sz w:val="32"/>
          <w:szCs w:val="32"/>
          <w:lang w:val="en-US" w:eastAsia="zh-CN"/>
        </w:rPr>
        <w:t>“粒状过磷酸钙”共计三个检验项目结果判定为不合格，鉴于当事人积极配合调查，</w:t>
      </w:r>
      <w:r>
        <w:rPr>
          <w:rFonts w:hint="eastAsia" w:ascii="仿宋_GB2312" w:hAnsi="仿宋_GB2312" w:eastAsia="仿宋_GB2312" w:cs="仿宋_GB2312"/>
          <w:color w:val="auto"/>
          <w:sz w:val="32"/>
          <w:szCs w:val="32"/>
        </w:rPr>
        <w:t>依据《中华人民共和国产品质量法》第</w:t>
      </w:r>
      <w:r>
        <w:rPr>
          <w:rFonts w:hint="eastAsia" w:ascii="仿宋_GB2312" w:hAnsi="仿宋_GB2312" w:eastAsia="仿宋_GB2312" w:cs="仿宋_GB2312"/>
          <w:color w:val="auto"/>
          <w:sz w:val="32"/>
          <w:szCs w:val="32"/>
          <w:lang w:eastAsia="zh-CN"/>
        </w:rPr>
        <w:t>五十</w:t>
      </w:r>
      <w:r>
        <w:rPr>
          <w:rFonts w:hint="eastAsia" w:ascii="仿宋_GB2312" w:hAnsi="仿宋_GB2312" w:eastAsia="仿宋_GB2312" w:cs="仿宋_GB2312"/>
          <w:color w:val="auto"/>
          <w:sz w:val="32"/>
          <w:szCs w:val="32"/>
        </w:rPr>
        <w:t>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w:t>
      </w:r>
      <w:r>
        <w:rPr>
          <w:rFonts w:hint="eastAsia" w:ascii="仿宋_GB2312" w:hAnsi="仿宋_GB2312" w:eastAsia="仿宋_GB2312" w:cs="仿宋_GB2312"/>
          <w:color w:val="auto"/>
          <w:sz w:val="32"/>
          <w:szCs w:val="32"/>
          <w:lang w:val="en-US" w:eastAsia="zh-CN"/>
        </w:rPr>
        <w:t>参照《安徽省市场监督管理行政处罚裁量权基准》（2024年版）第六十七条第一款第三项第一目“【67】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三）有以下情形之一的，责令停止生产、销售；没收违法生产、销售的产品；处违法生产、销售产品货值金额2.25倍以上3倍以下的罚款；有违法所得的，并处没收违法所得：1.不合格项3项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rPr>
        <w:t>停止销售</w:t>
      </w:r>
      <w:r>
        <w:rPr>
          <w:rFonts w:hint="eastAsia" w:ascii="仿宋_GB2312" w:hAnsi="仿宋_GB2312" w:eastAsia="仿宋_GB2312" w:cs="仿宋_GB2312"/>
          <w:color w:val="auto"/>
          <w:sz w:val="32"/>
          <w:szCs w:val="32"/>
          <w:lang w:val="en-US" w:eastAsia="zh-CN"/>
        </w:rPr>
        <w:t>不合格产品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并予以处罚。</w:t>
      </w:r>
    </w:p>
    <w:p w14:paraId="4B723D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综上，当事人的行为违反了</w:t>
      </w:r>
      <w:r>
        <w:rPr>
          <w:rFonts w:hint="eastAsia" w:ascii="仿宋_GB2312" w:hAnsi="仿宋_GB2312" w:eastAsia="仿宋_GB2312" w:cs="仿宋_GB2312"/>
          <w:color w:val="auto"/>
          <w:sz w:val="32"/>
          <w:szCs w:val="32"/>
        </w:rPr>
        <w:t>《中华人民共和国产品质量法》第</w:t>
      </w:r>
      <w:r>
        <w:rPr>
          <w:rFonts w:hint="eastAsia" w:ascii="仿宋_GB2312" w:hAnsi="仿宋_GB2312" w:eastAsia="仿宋_GB2312" w:cs="仿宋_GB2312"/>
          <w:b w:val="0"/>
          <w:bCs w:val="0"/>
          <w:color w:val="auto"/>
          <w:sz w:val="32"/>
          <w:szCs w:val="32"/>
          <w:lang w:val="en-US" w:eastAsia="zh-CN"/>
        </w:rPr>
        <w:t>三十九条的规定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依据《中华人民共和国产品质量法》第</w:t>
      </w:r>
      <w:r>
        <w:rPr>
          <w:rFonts w:hint="eastAsia" w:ascii="仿宋_GB2312" w:hAnsi="仿宋_GB2312" w:eastAsia="仿宋_GB2312" w:cs="仿宋_GB2312"/>
          <w:color w:val="auto"/>
          <w:sz w:val="32"/>
          <w:szCs w:val="32"/>
          <w:lang w:eastAsia="zh-CN"/>
        </w:rPr>
        <w:t>五十条</w:t>
      </w:r>
      <w:r>
        <w:rPr>
          <w:rFonts w:hint="eastAsia" w:ascii="仿宋_GB2312" w:hAnsi="仿宋_GB2312" w:eastAsia="仿宋_GB2312" w:cs="仿宋_GB2312"/>
          <w:color w:val="auto"/>
          <w:sz w:val="32"/>
          <w:szCs w:val="32"/>
        </w:rPr>
        <w:t>，参照《安徽省市场监督管理行政处罚裁量权基准》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六十七</w:t>
      </w:r>
      <w:r>
        <w:rPr>
          <w:rFonts w:hint="eastAsia" w:ascii="仿宋_GB2312" w:hAnsi="仿宋_GB2312" w:eastAsia="仿宋_GB2312" w:cs="仿宋_GB2312"/>
          <w:color w:val="auto"/>
          <w:sz w:val="32"/>
          <w:szCs w:val="32"/>
        </w:rPr>
        <w:t>条第一款第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项第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rPr>
        <w:t>停止销售</w:t>
      </w:r>
      <w:r>
        <w:rPr>
          <w:rFonts w:hint="eastAsia" w:ascii="仿宋_GB2312" w:hAnsi="仿宋_GB2312" w:eastAsia="仿宋_GB2312" w:cs="仿宋_GB2312"/>
          <w:color w:val="auto"/>
          <w:sz w:val="32"/>
          <w:szCs w:val="32"/>
          <w:lang w:val="en-US" w:eastAsia="zh-CN"/>
        </w:rPr>
        <w:t>不合格产品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并对当事人处罚如下：</w:t>
      </w:r>
    </w:p>
    <w:p w14:paraId="6D5A96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元；</w:t>
      </w:r>
    </w:p>
    <w:p w14:paraId="337CE5D6">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2、罚款人民币</w:t>
      </w:r>
      <w:r>
        <w:rPr>
          <w:rFonts w:hint="eastAsia" w:ascii="仿宋_GB2312" w:hAnsi="仿宋_GB2312" w:eastAsia="仿宋_GB2312" w:cs="仿宋_GB2312"/>
          <w:color w:val="auto"/>
          <w:sz w:val="32"/>
          <w:szCs w:val="32"/>
          <w:lang w:val="en-US" w:eastAsia="zh-CN"/>
        </w:rPr>
        <w:t>3400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14:paraId="76733E6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36FECF0B">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rPr>
      </w:pPr>
    </w:p>
    <w:p w14:paraId="4E088FCD">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left"/>
        <w:textAlignment w:val="auto"/>
        <w:rPr>
          <w:rFonts w:hint="eastAsia" w:ascii="仿宋_GB2312" w:hAnsi="仿宋_GB2312" w:eastAsia="仿宋_GB2312" w:cs="仿宋_GB2312"/>
          <w:color w:val="auto"/>
          <w:sz w:val="32"/>
          <w:szCs w:val="32"/>
        </w:rPr>
      </w:pPr>
    </w:p>
    <w:p w14:paraId="201BF87C">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14:paraId="693667BD">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章）</w:t>
      </w:r>
    </w:p>
    <w:p w14:paraId="5E42511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12日</w:t>
      </w:r>
    </w:p>
    <w:p w14:paraId="4D72CEC6">
      <w:pPr>
        <w:pStyle w:val="6"/>
        <w:keepNext w:val="0"/>
        <w:keepLines w:val="0"/>
        <w:pageBreakBefore w:val="0"/>
        <w:kinsoku/>
        <w:wordWrap/>
        <w:overflowPunct/>
        <w:topLinePunct w:val="0"/>
        <w:bidi w:val="0"/>
        <w:snapToGrid w:val="0"/>
        <w:spacing w:line="520" w:lineRule="exact"/>
        <w:ind w:left="0" w:leftChars="0" w:firstLine="0" w:firstLineChars="0"/>
        <w:rPr>
          <w:rFonts w:hint="eastAsia"/>
        </w:rPr>
      </w:pPr>
    </w:p>
    <w:p w14:paraId="27E67310">
      <w:pPr>
        <w:pStyle w:val="2"/>
        <w:keepNext w:val="0"/>
        <w:keepLines w:val="0"/>
        <w:pageBreakBefore w:val="0"/>
        <w:widowControl w:val="0"/>
        <w:kinsoku/>
        <w:wordWrap/>
        <w:overflowPunct/>
        <w:topLinePunct w:val="0"/>
        <w:bidi w:val="0"/>
        <w:adjustRightInd/>
        <w:snapToGrid w:val="0"/>
        <w:spacing w:before="1" w:line="52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2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3rv6XUAAAABQ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p>
    <w:p w14:paraId="4BD3D942"/>
    <w:sectPr>
      <w:footerReference r:id="rId3" w:type="default"/>
      <w:pgSz w:w="11906" w:h="16838"/>
      <w:pgMar w:top="1134" w:right="1800" w:bottom="1134"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6B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A1A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2A1A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845F5"/>
    <w:rsid w:val="0CD8608A"/>
    <w:rsid w:val="3928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格式"/>
    <w:basedOn w:val="2"/>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2163</Words>
  <Characters>2414</Characters>
  <Lines>0</Lines>
  <Paragraphs>0</Paragraphs>
  <TotalTime>0</TotalTime>
  <ScaleCrop>false</ScaleCrop>
  <LinksUpToDate>false</LinksUpToDate>
  <CharactersWithSpaces>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2025-09-10T08:56:00Z</dcterms:created>
  <dc:creator>盗梦空间般的人生</dc:creator>
  <cp:lastModifiedBy>驭兕</cp:lastModifiedBy>
  <dcterms:modified xsi:type="dcterms:W3CDTF">2025-09-16T03:21:16Z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410B5CB3E1494692892EAE1B8EA12129_11</vt:lpwstr>
  </property>
  <property fmtid="{D5CDD505-2E9C-101B-9397-08002B2CF9AE}" pid="4" name="KSOTemplateDocerSaveRecord">
    <vt:lpwstr>eyJoZGlkIjoiMWQwZTI3YmUyY2FmZWE2NGRjMjlmNmEwYTU5ZWFiZWUiLCJ1c2VySWQiOiI3MTk1ODk1NDMifQ==</vt:lpwstr>
  </property>
</Properties>
</file>