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NewRoman" w:hAnsi="TimesNewRoman" w:eastAsia="华文中宋" w:cs="TimesNewRoman"/>
          <w:b/>
          <w:color w:val="000000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lang w:val="en" w:eastAsia="zh-CN"/>
        </w:rPr>
        <w:t>淮南市市场监督管理局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年一般公共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lang w:eastAsia="zh-CN"/>
        </w:rPr>
        <w:t>部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  <w:t>门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预算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三公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经费预算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6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Cs w:val="32"/>
          <w:lang w:val="en"/>
        </w:rPr>
        <w:t>202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年一般公共预算“三公”经费支出预算表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Cs w:val="32"/>
        </w:rPr>
      </w:pPr>
      <w:r>
        <w:drawing>
          <wp:inline distT="0" distB="0" distL="114300" distR="114300">
            <wp:extent cx="5267325" cy="189103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lang w:val="e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-6"/>
          <w:sz w:val="32"/>
          <w:szCs w:val="32"/>
        </w:rPr>
        <w:t>年一般公共预算“三公”经费支出预算情况说明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eastAsia="zh-CN"/>
        </w:rPr>
        <w:t>淮南市市场监督管理局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年一般公共预算“三公”经费支出预算为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119.05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eastAsia="zh-CN"/>
        </w:rPr>
        <w:t>202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年预算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万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eastAsia="zh-CN"/>
        </w:rPr>
        <w:t>增加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2.05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万元，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eastAsia="zh-CN"/>
        </w:rPr>
        <w:t>增长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%。其中：因公出国（境）费支出预算为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万元，公务接待费支出预算为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.05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万元，公务用车购置及运行费支出预算为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万元。具体情况如下：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320"/>
        </w:tabs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4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0"/>
          <w:kern w:val="4"/>
          <w:sz w:val="30"/>
          <w:szCs w:val="30"/>
        </w:rPr>
        <w:t>（一）因公出国（境）费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-US" w:eastAsia="zh-CN" w:bidi="ar-SA"/>
        </w:rPr>
        <w:t>支出预算0万元, 与2025年预算持平。该项经费预算根据批准的因公临时出国（境）计划，按照规定标准安排。 经费使用严格执行《淮南市市直党政机关因公临时出国经费管理办法》</w:t>
      </w:r>
      <w:r>
        <w:rPr>
          <w:rFonts w:hint="eastAsia" w:ascii="仿宋_GB2312" w:hAnsi="仿宋_GB2312" w:eastAsia="仿宋_GB2312" w:cs="仿宋_GB2312"/>
          <w:spacing w:val="0"/>
          <w:kern w:val="4"/>
          <w:sz w:val="30"/>
          <w:szCs w:val="30"/>
        </w:rPr>
        <w:t>（淮财行政〔2014〕65 号）相关规定。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02" w:firstLineChars="200"/>
        <w:textAlignment w:val="auto"/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0"/>
          <w:kern w:val="4"/>
          <w:sz w:val="30"/>
          <w:szCs w:val="30"/>
        </w:rPr>
        <w:t>（二）公务用车购置及运行费</w:t>
      </w:r>
      <w:r>
        <w:rPr>
          <w:rFonts w:hint="eastAsia" w:ascii="仿宋_GB2312" w:hAnsi="仿宋_GB2312" w:eastAsia="仿宋_GB2312" w:cs="仿宋_GB2312"/>
          <w:b/>
          <w:color w:val="000000"/>
          <w:spacing w:val="0"/>
          <w:kern w:val="4"/>
          <w:sz w:val="30"/>
          <w:szCs w:val="30"/>
          <w:lang w:val="en-US" w:eastAsia="zh-CN"/>
        </w:rPr>
        <w:t xml:space="preserve"> 2026年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支出预算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color w:val="000000"/>
          <w:spacing w:val="0"/>
          <w:kern w:val="4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比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年预算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104万元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增加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%。其中：公务用车运行费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79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万元，比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年预算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77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增加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2万元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2.5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%，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增长的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原因主要是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局属二级机构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计量测试检定所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新增1辆特种专业技术车辆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0"/>
          <w:kern w:val="4"/>
          <w:sz w:val="30"/>
          <w:szCs w:val="30"/>
        </w:rPr>
        <w:t>该项经费主要用于</w:t>
      </w:r>
      <w:r>
        <w:rPr>
          <w:rFonts w:hint="eastAsia" w:ascii="仿宋" w:hAnsi="仿宋" w:eastAsia="仿宋" w:cs="仿宋"/>
          <w:spacing w:val="0"/>
          <w:kern w:val="4"/>
          <w:sz w:val="30"/>
          <w:szCs w:val="30"/>
          <w:lang w:val="en-US" w:eastAsia="zh-CN"/>
        </w:rPr>
        <w:t>中心检验用车过路、保险、维修、燃油、年审等费用</w:t>
      </w:r>
      <w:r>
        <w:rPr>
          <w:rFonts w:hint="eastAsia" w:ascii="仿宋" w:hAnsi="仿宋" w:eastAsia="仿宋" w:cs="仿宋"/>
          <w:spacing w:val="0"/>
          <w:kern w:val="4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公务用车购置费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与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年预算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数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持平。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602" w:firstLineChars="200"/>
        <w:textAlignment w:val="auto"/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pacing w:val="0"/>
          <w:kern w:val="4"/>
          <w:sz w:val="30"/>
          <w:szCs w:val="30"/>
        </w:rPr>
        <w:t>（三）公务接待费</w:t>
      </w:r>
      <w:r>
        <w:rPr>
          <w:rFonts w:hint="eastAsia" w:ascii="仿宋" w:hAnsi="仿宋" w:eastAsia="仿宋" w:cs="仿宋"/>
          <w:b w:val="0"/>
          <w:bCs/>
          <w:color w:val="000000"/>
          <w:spacing w:val="0"/>
          <w:kern w:val="4"/>
          <w:sz w:val="30"/>
          <w:szCs w:val="30"/>
          <w:lang w:val="en-US" w:eastAsia="zh-CN"/>
        </w:rPr>
        <w:t>2026年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支出预算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13.05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与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val="en-US" w:eastAsia="zh-CN"/>
        </w:rPr>
        <w:t>2025年预算数持平。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该项经费主要用于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单位按规定开支的各类公务接待费用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。经费使用严格执行《党政机关厉行节约反对浪费条例》（中发〔2013〕13号）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pacing w:val="0"/>
          <w:kern w:val="4"/>
          <w:sz w:val="30"/>
          <w:szCs w:val="30"/>
        </w:rPr>
        <w:t>《淮南市党政机关国内公务接待管理办法》（淮办发〔2014〕26号）等相关规定。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0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- 41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jZlOWJlMDBmNWQxN2UwMWVkYTM1NzI1MjY5NWMifQ=="/>
  </w:docVars>
  <w:rsids>
    <w:rsidRoot w:val="19F76154"/>
    <w:rsid w:val="01417CB4"/>
    <w:rsid w:val="047E5C3C"/>
    <w:rsid w:val="0FE71DC9"/>
    <w:rsid w:val="147A10E9"/>
    <w:rsid w:val="18412D2E"/>
    <w:rsid w:val="19621D0C"/>
    <w:rsid w:val="19F76154"/>
    <w:rsid w:val="25D62605"/>
    <w:rsid w:val="321F0FF9"/>
    <w:rsid w:val="3A97479D"/>
    <w:rsid w:val="45B34C3C"/>
    <w:rsid w:val="4A8E338E"/>
    <w:rsid w:val="4CB533A2"/>
    <w:rsid w:val="68DC28D0"/>
    <w:rsid w:val="6D6D041C"/>
    <w:rsid w:val="702425E7"/>
    <w:rsid w:val="75EB0054"/>
    <w:rsid w:val="76E066D5"/>
    <w:rsid w:val="791016DF"/>
    <w:rsid w:val="7C2339A4"/>
    <w:rsid w:val="7ED60660"/>
    <w:rsid w:val="7FA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1064</Characters>
  <Lines>0</Lines>
  <Paragraphs>0</Paragraphs>
  <TotalTime>16</TotalTime>
  <ScaleCrop>false</ScaleCrop>
  <LinksUpToDate>false</LinksUpToDate>
  <CharactersWithSpaces>1079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2024-02-08T00:50:00Z</dcterms:created>
  <dc:creator>   白日梦 </dc:creator>
  <cp:lastModifiedBy>DAI</cp:lastModifiedBy>
  <dcterms:modified xsi:type="dcterms:W3CDTF">2026-03-03T03:39:20Z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C8001F193CB4414D9B316AA2865FCEF7_11</vt:lpwstr>
  </property>
  <property fmtid="{D5CDD505-2E9C-101B-9397-08002B2CF9AE}" pid="4" name="KSOTemplateDocerSaveRecord">
    <vt:lpwstr>eyJoZGlkIjoiMTU5ODY3ZDlkY2VjZjBiZjI0M2Q1ZGZlMDYyMWFjODEiLCJ1c2VySWQiOiIxMjM4NjM4MTU3In0=</vt:lpwstr>
  </property>
</Properties>
</file>