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附件：</w:t>
      </w:r>
    </w:p>
    <w:p>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auto"/>
          <w:sz w:val="36"/>
          <w:szCs w:val="36"/>
        </w:rPr>
      </w:pPr>
    </w:p>
    <w:p>
      <w:pPr>
        <w:keepNext w:val="0"/>
        <w:keepLines w:val="0"/>
        <w:pageBreakBefore w:val="0"/>
        <w:kinsoku/>
        <w:overflowPunct/>
        <w:topLinePunct w:val="0"/>
        <w:autoSpaceDE/>
        <w:autoSpaceDN/>
        <w:bidi w:val="0"/>
        <w:spacing w:line="560" w:lineRule="exact"/>
        <w:jc w:val="center"/>
        <w:rPr>
          <w:rFonts w:hint="eastAsia" w:ascii="TimesNewRoman" w:hAnsi="TimesNewRoman" w:eastAsia="华文中宋" w:cs="TimesNewRoman"/>
          <w:b/>
          <w:color w:val="auto"/>
          <w:sz w:val="36"/>
          <w:szCs w:val="36"/>
          <w:lang w:eastAsia="zh-CN"/>
        </w:rPr>
      </w:pPr>
      <w:r>
        <w:rPr>
          <w:rFonts w:hint="eastAsia" w:ascii="TimesNewRoman" w:hAnsi="TimesNewRoman" w:eastAsia="华文中宋" w:cs="TimesNewRoman"/>
          <w:b/>
          <w:color w:val="auto"/>
          <w:sz w:val="36"/>
          <w:szCs w:val="36"/>
          <w:lang w:eastAsia="zh-CN"/>
        </w:rPr>
        <w:t>淮南市食品药品检验中心</w:t>
      </w:r>
    </w:p>
    <w:p>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auto"/>
          <w:sz w:val="36"/>
          <w:szCs w:val="36"/>
          <w:lang w:eastAsia="zh-CN"/>
        </w:rPr>
      </w:pPr>
      <w:r>
        <w:rPr>
          <w:rFonts w:hint="eastAsia" w:ascii="TimesNewRoman" w:hAnsi="TimesNewRoman" w:eastAsia="华文中宋" w:cs="TimesNewRoman"/>
          <w:b/>
          <w:color w:val="auto"/>
          <w:sz w:val="36"/>
          <w:szCs w:val="36"/>
          <w:lang w:val="en-US" w:eastAsia="zh-CN"/>
        </w:rPr>
        <w:t>2026年</w:t>
      </w:r>
      <w:r>
        <w:rPr>
          <w:rFonts w:hint="default" w:ascii="TimesNewRoman" w:hAnsi="TimesNewRoman" w:eastAsia="华文中宋" w:cs="TimesNewRoman"/>
          <w:b/>
          <w:color w:val="auto"/>
          <w:sz w:val="36"/>
          <w:szCs w:val="36"/>
          <w:lang w:val="en-US" w:eastAsia="zh-CN"/>
        </w:rPr>
        <w:t>度</w:t>
      </w:r>
      <w:r>
        <w:rPr>
          <w:rFonts w:hint="default" w:ascii="TimesNewRoman" w:hAnsi="TimesNewRoman" w:eastAsia="华文中宋" w:cs="TimesNewRoman"/>
          <w:b/>
          <w:color w:val="auto"/>
          <w:sz w:val="36"/>
          <w:szCs w:val="36"/>
        </w:rPr>
        <w:t>项目</w:t>
      </w:r>
      <w:r>
        <w:rPr>
          <w:rFonts w:hint="default" w:ascii="TimesNewRoman" w:hAnsi="TimesNewRoman" w:eastAsia="华文中宋" w:cs="TimesNewRoman"/>
          <w:b/>
          <w:color w:val="auto"/>
          <w:sz w:val="36"/>
          <w:szCs w:val="36"/>
          <w:lang w:eastAsia="zh-CN"/>
        </w:rPr>
        <w:t>支出绩效目标</w:t>
      </w:r>
    </w:p>
    <w:p>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auto"/>
          <w:sz w:val="32"/>
          <w:szCs w:val="32"/>
          <w:highlight w:val="none"/>
          <w:lang w:eastAsia="zh-CN"/>
        </w:rPr>
      </w:pPr>
    </w:p>
    <w:tbl>
      <w:tblPr>
        <w:tblStyle w:val="5"/>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5251"/>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auto"/>
                <w:sz w:val="32"/>
                <w:szCs w:val="32"/>
                <w:highlight w:val="none"/>
                <w:vertAlign w:val="baseline"/>
                <w:lang w:val="en-US" w:eastAsia="zh-CN"/>
              </w:rPr>
            </w:pPr>
            <w:r>
              <w:rPr>
                <w:rFonts w:hint="default" w:ascii="TimesNewRoman" w:hAnsi="TimesNewRoman" w:eastAsia="仿宋_GB2312" w:cs="TimesNewRoman"/>
                <w:color w:val="auto"/>
                <w:kern w:val="2"/>
                <w:sz w:val="32"/>
                <w:szCs w:val="32"/>
                <w:lang w:val="en-US" w:eastAsia="zh-CN" w:bidi="ar-SA"/>
              </w:rPr>
              <w:t>项目支出绩效目标公开清单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序号</w:t>
            </w:r>
          </w:p>
        </w:tc>
        <w:tc>
          <w:tcPr>
            <w:tcW w:w="52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项目名称</w:t>
            </w:r>
          </w:p>
        </w:tc>
        <w:tc>
          <w:tcPr>
            <w:tcW w:w="21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预算金额（单位：万元）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t>1</w:t>
            </w:r>
          </w:p>
        </w:tc>
        <w:tc>
          <w:tcPr>
            <w:tcW w:w="5251"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i w:val="0"/>
                <w:iCs w:val="0"/>
                <w:color w:val="auto"/>
                <w:kern w:val="0"/>
                <w:sz w:val="30"/>
                <w:szCs w:val="30"/>
                <w:u w:val="none"/>
                <w:lang w:val="en-US" w:eastAsia="zh-CN" w:bidi="ar"/>
              </w:rPr>
              <w:t>2026乳制品抽检专项经费</w:t>
            </w:r>
          </w:p>
        </w:tc>
        <w:tc>
          <w:tcPr>
            <w:tcW w:w="2144" w:type="dxa"/>
            <w:noWrap w:val="0"/>
            <w:vAlign w:val="center"/>
          </w:tcPr>
          <w:p>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t>2</w:t>
            </w:r>
          </w:p>
        </w:tc>
        <w:tc>
          <w:tcPr>
            <w:tcW w:w="5251"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2026食品、药品、保健品、医疗器械、药包材抽检运转经费</w:t>
            </w:r>
          </w:p>
        </w:tc>
        <w:tc>
          <w:tcPr>
            <w:tcW w:w="2144" w:type="dxa"/>
            <w:noWrap w:val="0"/>
            <w:vAlign w:val="center"/>
          </w:tcPr>
          <w:p>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t>3</w:t>
            </w:r>
          </w:p>
        </w:tc>
        <w:tc>
          <w:tcPr>
            <w:tcW w:w="5251"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2026物业管理费</w:t>
            </w:r>
          </w:p>
        </w:tc>
        <w:tc>
          <w:tcPr>
            <w:tcW w:w="2144" w:type="dxa"/>
            <w:noWrap w:val="0"/>
            <w:vAlign w:val="center"/>
          </w:tcPr>
          <w:p>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r>
              <w:rPr>
                <w:rFonts w:hint="eastAsia"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t>4</w:t>
            </w:r>
          </w:p>
        </w:tc>
        <w:tc>
          <w:tcPr>
            <w:tcW w:w="5251"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2026中央食品药品监管补助资金</w:t>
            </w:r>
          </w:p>
        </w:tc>
        <w:tc>
          <w:tcPr>
            <w:tcW w:w="2144" w:type="dxa"/>
            <w:noWrap w:val="0"/>
            <w:vAlign w:val="center"/>
          </w:tcPr>
          <w:p>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FF"/>
                <w:sz w:val="32"/>
                <w:szCs w:val="32"/>
                <w:highlight w:val="none"/>
                <w:vertAlign w:val="baseline"/>
                <w:lang w:val="en-US" w:eastAsia="zh-CN"/>
              </w:rPr>
            </w:pPr>
          </w:p>
        </w:tc>
        <w:tc>
          <w:tcPr>
            <w:tcW w:w="5251"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0000FF"/>
                <w:sz w:val="30"/>
                <w:szCs w:val="30"/>
                <w:highlight w:val="none"/>
                <w:vertAlign w:val="baseline"/>
                <w:lang w:val="en-US" w:eastAsia="zh-CN"/>
              </w:rPr>
            </w:pPr>
          </w:p>
        </w:tc>
        <w:tc>
          <w:tcPr>
            <w:tcW w:w="2144"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0000FF"/>
                <w:sz w:val="30"/>
                <w:szCs w:val="30"/>
                <w:highlight w:val="none"/>
                <w:vertAlign w:val="baseline"/>
                <w:lang w:val="en-US" w:eastAsia="zh-CN"/>
              </w:rPr>
            </w:pPr>
          </w:p>
        </w:tc>
      </w:tr>
    </w:tbl>
    <w:p>
      <w:pPr>
        <w:pStyle w:val="3"/>
        <w:adjustRightInd w:val="0"/>
        <w:snapToGrid w:val="0"/>
        <w:spacing w:before="0" w:beforeAutospacing="0" w:after="0" w:afterAutospacing="0" w:line="360" w:lineRule="auto"/>
        <w:ind w:left="359" w:leftChars="171"/>
        <w:jc w:val="both"/>
        <w:rPr>
          <w:color w:val="0000FF"/>
        </w:rPr>
      </w:pPr>
    </w:p>
    <w:p>
      <w:pPr>
        <w:pStyle w:val="3"/>
        <w:adjustRightInd w:val="0"/>
        <w:snapToGrid w:val="0"/>
        <w:spacing w:before="0" w:beforeAutospacing="0" w:after="0" w:afterAutospacing="0" w:line="360" w:lineRule="auto"/>
        <w:ind w:left="359" w:leftChars="171"/>
        <w:jc w:val="both"/>
        <w:rPr>
          <w:color w:val="0000FF"/>
        </w:rPr>
      </w:pPr>
    </w:p>
    <w:p>
      <w:pPr>
        <w:pStyle w:val="3"/>
        <w:adjustRightInd w:val="0"/>
        <w:snapToGrid w:val="0"/>
        <w:spacing w:before="0" w:beforeAutospacing="0" w:after="0" w:afterAutospacing="0" w:line="360" w:lineRule="auto"/>
        <w:ind w:left="359" w:leftChars="171"/>
        <w:jc w:val="both"/>
        <w:rPr>
          <w:color w:val="0000FF"/>
        </w:rPr>
      </w:pPr>
    </w:p>
    <w:p>
      <w:pPr>
        <w:pStyle w:val="3"/>
        <w:adjustRightInd w:val="0"/>
        <w:snapToGrid w:val="0"/>
        <w:spacing w:before="0" w:beforeAutospacing="0" w:after="0" w:afterAutospacing="0" w:line="360" w:lineRule="auto"/>
        <w:jc w:val="both"/>
        <w:rPr>
          <w:color w:val="auto"/>
        </w:rPr>
      </w:pPr>
    </w:p>
    <w:p>
      <w:pPr>
        <w:pStyle w:val="3"/>
        <w:adjustRightInd w:val="0"/>
        <w:snapToGrid w:val="0"/>
        <w:spacing w:before="0" w:beforeAutospacing="0" w:after="0" w:afterAutospacing="0" w:line="360" w:lineRule="auto"/>
        <w:jc w:val="both"/>
        <w:rPr>
          <w:color w:val="auto"/>
        </w:rPr>
      </w:pPr>
    </w:p>
    <w:tbl>
      <w:tblPr>
        <w:tblStyle w:val="4"/>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7"/>
        <w:gridCol w:w="1462"/>
        <w:gridCol w:w="235"/>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rPr>
              <w:t>2026乳制品抽检专项经费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2" w:type="dxa"/>
            <w:gridSpan w:val="4"/>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46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423"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rPr>
              <w:t>安徽益益乳业有限公司作为我省唯一一家婴幼儿乳粉生产企业，受到各级政府高度关注。据其生产计划，2018年其生产的乳制品涉及80多个品种，年使用原料乳及乳粉2560批次，年产乳制品（奶粉、液态奶）824批次。原料乳、乳粉及乳制品全年预计抽查154批次，预计需经费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生鲜乳、原料乳粉、乳制品抽检</w:t>
            </w:r>
          </w:p>
        </w:tc>
        <w:tc>
          <w:tcPr>
            <w:tcW w:w="4228" w:type="dxa"/>
            <w:gridSpan w:val="5"/>
            <w:tcBorders>
              <w:tl2br w:val="nil"/>
              <w:tr2bl w:val="nil"/>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≥154批次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检验机构复检一致率</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1"/>
                <w:szCs w:val="21"/>
              </w:rPr>
            </w:pP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检验报告规范率</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1"/>
                <w:szCs w:val="21"/>
              </w:rPr>
            </w:pP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抽样退样率</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抽检任务完成时间</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2026年12月31日前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1"/>
                <w:szCs w:val="21"/>
              </w:rPr>
            </w:pP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乳制品抽检成本</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促进检验服务发展</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不断增强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乳制品安全水平</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乳制品安全监管能力</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p/>
    <w:p/>
    <w:p/>
    <w:p/>
    <w:p/>
    <w:p/>
    <w:tbl>
      <w:tblPr>
        <w:tblStyle w:val="4"/>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9"/>
        <w:gridCol w:w="1500"/>
        <w:gridCol w:w="195"/>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rPr>
              <w:t>2026食品、药品、保健品、医疗器械、药包材抽检运转经费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4" w:type="dxa"/>
            <w:gridSpan w:val="4"/>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0"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83"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rPr>
              <w:t>1.根据《食品安全法》《国务院办公厅关于认真贯彻实施食品安全法的通知》（国办发【2009】25号）要求： “县级以上地方人民政府要对本地区执行《食品安全法》确立的各项制度给予经费保障，对增强食品检测能力、提高执法队伍的专业技术水平等食品安全监管能力建设给予必要的支持。”2.《药品管理法》药品抽查检验应当按照规定抽样，并不得收取任何费用。3.依据《医疗器械监督管理条例》、《国家医疗器械质量监督抽验管理规定》、《直接接触药品的包装材料和容器管理办法》规定，食品药品监督管理部门每年要对医疗器械、药包材进行监督抽验。通过监督抽验，有效掌握医疗器械药包材安全质量，有针对性的加强医疗器械品种的监管，保障公众用药用械安全。所需费用由同级财政列支。食品药品检验中心是国家对食品药品质量实施监督检验的法定机构，按照《中华人民共和国药品管理法》和《中华人民共和国计量法》《中华人民共和国计量法实施细则》等有关法规的要求，每年都要对实验室仪器进行强制性检定，以确保检验数据及检验结论的准确、公正。目前拥有各种检验仪器140余台套，除食品安全检测能力建设项目新购置仪器920万元外，其余1200万元仪器设备大都陈旧，而且因为使用频率较高，经常发生故障需要维修。为保证检验仪器完好，不影响检验工作正常开展，需要安排仪器设备运行维护。 根据《检验检测机构资质认定管理办法》规定，省以上质监部门依据有关法律法规和标准、技术规范的规定，对检验检测机构的基本条件和技术能力是否符合法定要求实施的评价许可。每年对我中心进行一次实验室监督评审、每6年实施一次实验室资质认定复评审。因任务重，人员少，聘用了9名人员以补充检验人员的不足，需发生各项费用22.14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完成年度抽检任务数</w:t>
            </w:r>
          </w:p>
        </w:tc>
        <w:tc>
          <w:tcPr>
            <w:tcW w:w="4228" w:type="dxa"/>
            <w:gridSpan w:val="5"/>
            <w:tcBorders>
              <w:tl2br w:val="nil"/>
              <w:tr2bl w:val="nil"/>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全额完成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抽检质量</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抽检任务完成时间</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2026年12月31日前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1"/>
                <w:szCs w:val="21"/>
              </w:rPr>
            </w:pP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运转经费</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≤22.14万元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促进检验服务发展</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不断增强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检验服务水平</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检验安全监管能力</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p/>
    <w:p/>
    <w:tbl>
      <w:tblPr>
        <w:tblStyle w:val="4"/>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9"/>
        <w:gridCol w:w="1500"/>
        <w:gridCol w:w="195"/>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rPr>
              <w:t>2026物业管理费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4" w:type="dxa"/>
            <w:gridSpan w:val="4"/>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0"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83"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市食品药品检验中心占地21.4亩，现有综合实验楼建筑面积4000平方米,食品检测实验楼建筑面积3000平方米。拥有执行《中国药典》标准和餐饮食品、药品、医疗器械、保健品及化妆品检测所需要的各种精密仪器设备140余台，价值1200万元，还有易制毒和剧毒化学试剂的库存。实验室设施要有安全管理措施和报警、应急设施，为了保障实验室维护的正常运行，通过招标委托物业管理公司承担物业管理。物业管理服务范围：1.院内和大楼安全防范和保洁工作，2.环境绿化养护。此项经费具体内容按支出经济分类为商品和服务支出，其中：物业管理费21.9万元</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保洁维护面积</w:t>
            </w:r>
          </w:p>
        </w:tc>
        <w:tc>
          <w:tcPr>
            <w:tcW w:w="4228" w:type="dxa"/>
            <w:gridSpan w:val="5"/>
            <w:tcBorders>
              <w:tl2br w:val="nil"/>
              <w:tr2bl w:val="nil"/>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≥7000平方米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保洁质量</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任务完成时间</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2026年12月底之前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1"/>
                <w:szCs w:val="21"/>
              </w:rPr>
            </w:pP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按季度支付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实验楼、绿化维护费</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检验服务发展</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不断促进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检验服务水平</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发挥职能作用</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全力服务淮南经济发展，为我市食品药品检验事业做出应有贡献。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p/>
    <w:p/>
    <w:p/>
    <w:p/>
    <w:tbl>
      <w:tblPr>
        <w:tblStyle w:val="4"/>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23"/>
        <w:gridCol w:w="1507"/>
        <w:gridCol w:w="174"/>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rPr>
              <w:t>2026中央食品药品监管补助资金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708" w:type="dxa"/>
            <w:gridSpan w:val="4"/>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7"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62"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43"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2026年度预计完成药品不良反应报告和监测百万人口数达1180份，医疗器械不良事件报告和监测百万人口数达300份，化妆品不良反应报告和监测百万人口数达150份</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药品不良反应报告和监测</w:t>
            </w:r>
          </w:p>
        </w:tc>
        <w:tc>
          <w:tcPr>
            <w:tcW w:w="4228" w:type="dxa"/>
            <w:gridSpan w:val="5"/>
            <w:tcBorders>
              <w:tl2br w:val="nil"/>
              <w:tr2bl w:val="nil"/>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百万人口数达1180份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1"/>
                <w:szCs w:val="21"/>
              </w:rPr>
            </w:pP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医疗器械不良事件报告和监测</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百万人口数达300份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1"/>
                <w:szCs w:val="21"/>
              </w:rPr>
            </w:pP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化妆品不良反应报告和监测</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百万人口数达150份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药品新的严重报告比例</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任务完成时间</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2026年12月底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1"/>
                <w:szCs w:val="21"/>
              </w:rPr>
            </w:pP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不良反应监测成本</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基层监管队伍执法</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不良反应监测水平</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基层监管队伍整体素质</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不断提高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不良反应监测能力</w:t>
            </w:r>
          </w:p>
        </w:tc>
        <w:tc>
          <w:tcPr>
            <w:tcW w:w="4228" w:type="dxa"/>
            <w:gridSpan w:val="5"/>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公众对药品监管工作满意度</w:t>
            </w:r>
          </w:p>
        </w:tc>
        <w:tc>
          <w:tcPr>
            <w:tcW w:w="4228" w:type="dxa"/>
            <w:gridSpan w:val="5"/>
            <w:tcBorders>
              <w:tl2br w:val="nil"/>
              <w:tr2bl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p>
      <w:pPr>
        <w:rPr>
          <w:rFonts w:hint="eastAsia"/>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14AAE"/>
    <w:rsid w:val="12BD6E0D"/>
    <w:rsid w:val="19B14AAE"/>
    <w:rsid w:val="1C924E75"/>
    <w:rsid w:val="27E82EF4"/>
    <w:rsid w:val="2F575BD3"/>
    <w:rsid w:val="32AC026B"/>
    <w:rsid w:val="37BC4D72"/>
    <w:rsid w:val="40C373FD"/>
    <w:rsid w:val="4AB6712C"/>
    <w:rsid w:val="5FC02A3C"/>
    <w:rsid w:val="67791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2025-07-17T07:48:00Z</dcterms:created>
  <dc:creator>DAI</dc:creator>
  <cp:lastModifiedBy>DAI</cp:lastModifiedBy>
  <dcterms:modified xsi:type="dcterms:W3CDTF">2026-03-03T01:41:38Z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