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附件：</w:t>
      </w:r>
    </w:p>
    <w:p>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rPr>
      </w:pPr>
    </w:p>
    <w:p>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lang w:val="en-US" w:eastAsia="zh-CN"/>
        </w:rPr>
      </w:pPr>
      <w:bookmarkStart w:id="0" w:name="OLE_LINK1"/>
      <w:r>
        <w:rPr>
          <w:rFonts w:hint="eastAsia" w:ascii="TimesNewRoman" w:hAnsi="TimesNewRoman" w:eastAsia="华文中宋" w:cs="TimesNewRoman"/>
          <w:b/>
          <w:color w:val="000000"/>
          <w:sz w:val="36"/>
          <w:szCs w:val="36"/>
          <w:lang w:val="en-US" w:eastAsia="zh-CN"/>
        </w:rPr>
        <w:t>国家煤化工产品质量监督检验中心（安徽）</w:t>
      </w:r>
      <w:bookmarkEnd w:id="0"/>
      <w:r>
        <w:rPr>
          <w:rFonts w:hint="eastAsia" w:ascii="TimesNewRoman" w:hAnsi="TimesNewRoman" w:eastAsia="华文中宋" w:cs="TimesNewRoman"/>
          <w:b/>
          <w:color w:val="000000"/>
          <w:sz w:val="36"/>
          <w:szCs w:val="36"/>
          <w:lang w:val="en-US" w:eastAsia="zh-CN"/>
        </w:rPr>
        <w:t>（淮南市产品质量监督检验所）</w:t>
      </w:r>
      <w:r>
        <w:rPr>
          <w:rFonts w:hint="default" w:ascii="TimesNewRoman" w:hAnsi="TimesNewRoman" w:eastAsia="华文中宋" w:cs="TimesNewRoman"/>
          <w:b/>
          <w:color w:val="000000"/>
          <w:sz w:val="36"/>
          <w:szCs w:val="36"/>
          <w:lang w:val="en-US" w:eastAsia="zh-CN"/>
        </w:rPr>
        <w:t>202</w:t>
      </w:r>
      <w:r>
        <w:rPr>
          <w:rFonts w:hint="eastAsia" w:ascii="TimesNewRoman" w:hAnsi="TimesNewRoman" w:eastAsia="华文中宋" w:cs="TimesNewRoman"/>
          <w:b/>
          <w:color w:val="000000"/>
          <w:sz w:val="36"/>
          <w:szCs w:val="36"/>
          <w:lang w:val="en-US" w:eastAsia="zh-CN"/>
        </w:rPr>
        <w:t>6</w:t>
      </w:r>
      <w:r>
        <w:rPr>
          <w:rFonts w:hint="default" w:ascii="TimesNewRoman" w:hAnsi="TimesNewRoman" w:eastAsia="华文中宋" w:cs="TimesNewRoman"/>
          <w:b/>
          <w:color w:val="000000"/>
          <w:sz w:val="36"/>
          <w:szCs w:val="36"/>
          <w:lang w:val="en-US" w:eastAsia="zh-CN"/>
        </w:rPr>
        <w:t>年度项目支出绩效目标</w:t>
      </w:r>
    </w:p>
    <w:p>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color w:val="000000"/>
                <w:kern w:val="2"/>
                <w:sz w:val="32"/>
                <w:szCs w:val="32"/>
                <w:lang w:val="en-US" w:eastAsia="zh-CN" w:bidi="ar-SA"/>
              </w:rPr>
              <w:t>项目支出绩效目标公开清单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3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c>
          <w:tcPr>
            <w:tcW w:w="36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预算金额（单位：万元）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1</w:t>
            </w:r>
          </w:p>
        </w:tc>
        <w:tc>
          <w:tcPr>
            <w:tcW w:w="37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委托检验经营运行经费</w:t>
            </w:r>
          </w:p>
        </w:tc>
        <w:tc>
          <w:tcPr>
            <w:tcW w:w="36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2</w:t>
            </w:r>
          </w:p>
        </w:tc>
        <w:tc>
          <w:tcPr>
            <w:tcW w:w="37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实验室专用设备</w:t>
            </w:r>
          </w:p>
        </w:tc>
        <w:tc>
          <w:tcPr>
            <w:tcW w:w="36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3</w:t>
            </w:r>
          </w:p>
        </w:tc>
        <w:tc>
          <w:tcPr>
            <w:tcW w:w="37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博士后工作站经费</w:t>
            </w:r>
          </w:p>
        </w:tc>
        <w:tc>
          <w:tcPr>
            <w:tcW w:w="36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b w:val="0"/>
                <w:bCs w:val="0"/>
                <w:color w:val="000000"/>
                <w:sz w:val="32"/>
                <w:szCs w:val="32"/>
                <w:highlight w:val="none"/>
                <w:vertAlign w:val="baseline"/>
                <w:lang w:val="en-US" w:eastAsia="zh-CN"/>
              </w:rPr>
              <w:t>4</w:t>
            </w:r>
          </w:p>
        </w:tc>
        <w:tc>
          <w:tcPr>
            <w:tcW w:w="37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产品质量委托工资检验经费</w:t>
            </w:r>
          </w:p>
        </w:tc>
        <w:tc>
          <w:tcPr>
            <w:tcW w:w="36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eastAsia" w:ascii="TimesNewRoman" w:hAnsi="TimesNewRoman" w:cs="TimesNewRoman"/>
                <w:b w:val="0"/>
                <w:bCs w:val="0"/>
                <w:color w:val="000000"/>
                <w:sz w:val="32"/>
                <w:szCs w:val="32"/>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p>
        </w:tc>
        <w:tc>
          <w:tcPr>
            <w:tcW w:w="37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p>
        </w:tc>
        <w:tc>
          <w:tcPr>
            <w:tcW w:w="36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p>
        </w:tc>
        <w:tc>
          <w:tcPr>
            <w:tcW w:w="37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p>
        </w:tc>
        <w:tc>
          <w:tcPr>
            <w:tcW w:w="36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22"/>
                <w:szCs w:val="22"/>
                <w:highlight w:val="none"/>
                <w:vertAlign w:val="baseline"/>
                <w:lang w:val="en-US" w:eastAsia="zh-CN"/>
              </w:rPr>
            </w:pPr>
          </w:p>
        </w:tc>
        <w:tc>
          <w:tcPr>
            <w:tcW w:w="3795"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p>
        </w:tc>
        <w:tc>
          <w:tcPr>
            <w:tcW w:w="36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合计</w:t>
            </w:r>
          </w:p>
        </w:tc>
        <w:tc>
          <w:tcPr>
            <w:tcW w:w="36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cs="TimesNewRoman"/>
                <w:b w:val="0"/>
                <w:bCs w:val="0"/>
                <w:color w:val="000000"/>
                <w:sz w:val="32"/>
                <w:szCs w:val="32"/>
                <w:highlight w:val="none"/>
                <w:vertAlign w:val="baseline"/>
                <w:lang w:val="en-US" w:eastAsia="zh-CN"/>
              </w:rPr>
              <w:t>577.4</w:t>
            </w:r>
            <w:bookmarkStart w:id="1" w:name="_GoBack"/>
            <w:bookmarkEnd w:id="1"/>
          </w:p>
        </w:tc>
      </w:tr>
    </w:tbl>
    <w:p>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p>
    <w:p>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r>
        <w:rPr>
          <w:rFonts w:hint="default" w:ascii="TimesNewRoman" w:hAnsi="TimesNewRoman" w:eastAsia="黑体" w:cs="TimesNewRoman"/>
          <w:color w:val="000000"/>
          <w:sz w:val="36"/>
          <w:szCs w:val="36"/>
          <w:highlight w:val="none"/>
        </w:rPr>
        <w:br w:type="page"/>
      </w:r>
    </w:p>
    <w:tbl>
      <w:tblPr>
        <w:tblStyle w:val="3"/>
        <w:tblW w:w="9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50"/>
        <w:gridCol w:w="1825"/>
        <w:gridCol w:w="2621"/>
        <w:gridCol w:w="939"/>
        <w:gridCol w:w="1551"/>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90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90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7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委托检验运行经费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   及代码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[059]淮南市市场监督管理局</w:t>
            </w:r>
          </w:p>
        </w:tc>
        <w:tc>
          <w:tcPr>
            <w:tcW w:w="3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国家煤化工产品质量监督检验中心（安徽）（淮南市产品质量监督检验所）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延续性项目</w:t>
            </w:r>
          </w:p>
        </w:tc>
        <w:tc>
          <w:tcPr>
            <w:tcW w:w="3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5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5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5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82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监督抽查领域中争取完成省局危化品、商品煤等省级监督抽查任务 144 组；在合肥、巢湖、六安等多地工业产品监督抽查项目中，预计中标 540 组样品，为区域产品质量监管筑牢技术支撑；预计完成淮南市市级工业产品监督抽查抽样525组、风险监测抽样45组；在食品抽样领域，高效完成淮南市食品抽样2100组，食品抽检考核项不合格发现率争取达到3.8％；资质认定换证及扩项评审中，新增参数94项、变更244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2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5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8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中标省局危化品、商品煤等省级监督抽查任务数 </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工业产品监督抽查项目中标样品数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食品抽样领域完成淮南市食品抽样数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淮南市市级工业产品监督抽查抽样数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出具检验检测报告数量</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检验检测报告年度A类不符合差错率</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食品抽检考核项不合格发现率</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检测能力资质认定换证及扩项评审</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参加能力验证参数结果</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监督抽查发现问题处置率</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完成常规委托检验检测天数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监督抽查工作完成时限</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资金支付完成时间</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抽样车辆运行维护费</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委托业务费</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人员劳务费</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抽样人员差旅费</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实验耗材</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仪器设备维修维护</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办公水电物管日常支出</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力推进安徽省淮南牛肉汤产品质量检验检测中心建设，聚焦牛肉汤产业质量提升需求，为省局科技项目《预包装淮南牛肉汤生产技术规程》《淮南牛肉汤标准体系研究》立项助力，积极服务“淮南牛肉汤”地方特色产业发展</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牛肉汤检验检测中心建设，带动淮南地方特色产业发展，推动当地经济效益提升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项目实施后，能及时发现产品质量问题，达到扶优制劣，督促企业提高产品质量，使国家相关部门和消费者及时掌握产品动态，提升总体质量水平及行业治理水平。同时维护市场经济正常秩序，向全社会提供可靠质量信息，为广大群众日常消费、销售企业参与市场竞争提供有效帮助。</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行业治理水平提升、服务群众数量增加、企业产品质量提高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为电厂提供煤炭燃烧效能与污染物排放等关键指标检测，助力绿色生产。</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降低污染物排放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检验与监督抽查业务范围已覆盖全省7个地市，省外业务拓展至6地，车用尿素检验业务延伸至长三角地区，为区域产品质量监管筑牢技术支撑。持续成为市场监督管理局抽检科的“流动诊所”、为餐饮科食品快检、质量科缺陷产品召回、认评科证后监管、产品质量监督科许可证企业监管等提供公益技术服务，助力企业质量提升</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业务范围拓展，服务区域影响力不断扩大；持续为市场监督管理局提供技术保障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356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检验检测服务客户满意度</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75" w:hRule="atLeast"/>
        </w:trPr>
        <w:tc>
          <w:tcPr>
            <w:tcW w:w="906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906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实验室专用设备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690"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   及代码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[059]淮南市市场监督管理局</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国家煤化工产品质量监督检验中心（安徽）（淮南市产品质量监督检验所）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延续性项目</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6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98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3台仪器设备及4台办公设备，空调3台，专用汽车1辆，完善设备更新的需要。依法对市工业产品、食品相关产品和受委托的样品进行检验及相关工作所生的专用耗材等支出，提升检验检测技术能力，保障我市产品质量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5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12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8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实验设备采购项目数</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2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办公设备采购数量</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厢式汽车采购数量</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采购验收合格率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完成购置计划，按合同约定完成验收</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购买设备总经费</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完成全年检验检测收入</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掌握我市产品质量安全状况，不断提高检验检测水平</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建立科学合理的资产配置制度，健全资产购买、使用、维修、处置机制</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项目需求部门满意度</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75" w:hRule="atLeast"/>
        </w:trPr>
        <w:tc>
          <w:tcPr>
            <w:tcW w:w="906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9066"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博士后工作站经费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690"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   及代码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[059]淮南市市场监督管理局</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国家煤化工产品质量监督检验中心（安徽）（淮南市产品质量监督检验所）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延续性项目</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6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98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国检中心发展方向指导相关技术人员，三年内，引进博士后不少于1人，申报市厅级及以上科研不少于1项目。每年发表省级以上期刊论文不少于1篇，科研进入评审阶段，论文升级以上期刊，专利至少进入审查阶段，做好博士后研究人员的培养和使用，逐步提高博士后研究人员科研质量，加快培养造就一支适应我市经济社会发展需要的创新型和复合型博士后人才队伍，为建设美好淮南提供强有力的人才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5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12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申报市级科技计划，发表论文，申报实用新型专利</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申报市级科技计划项目1项以上，发表论文不少于1篇，申报实用新型专利不少于1项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科研进入评审阶段，论文省级以上期刊，专利至少进入审查阶段</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按时保质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完成全年科研项目时限</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2026年12月底前完成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成本包括人员工资、实验耗材、设备投入及维修折旧</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掌握我市产品质量安全状况，开展产品质量安全风险防控</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提升或改善质检科研竞争力</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6" w:type="dxa"/>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博士后管理工作站满意度</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pPr>
        <w:pStyle w:val="2"/>
        <w:keepNext w:val="0"/>
        <w:keepLines w:val="0"/>
        <w:pageBreakBefore w:val="0"/>
        <w:kinsoku/>
        <w:overflowPunct/>
        <w:topLinePunct w:val="0"/>
        <w:autoSpaceDE/>
        <w:autoSpaceDN/>
        <w:bidi w:val="0"/>
        <w:adjustRightInd w:val="0"/>
        <w:snapToGrid w:val="0"/>
        <w:spacing w:line="560" w:lineRule="exact"/>
      </w:pPr>
    </w:p>
    <w:p>
      <w:pPr>
        <w:pStyle w:val="2"/>
        <w:keepNext w:val="0"/>
        <w:keepLines w:val="0"/>
        <w:pageBreakBefore w:val="0"/>
        <w:kinsoku/>
        <w:overflowPunct/>
        <w:topLinePunct w:val="0"/>
        <w:autoSpaceDE/>
        <w:autoSpaceDN/>
        <w:bidi w:val="0"/>
        <w:adjustRightInd w:val="0"/>
        <w:snapToGrid w:val="0"/>
        <w:spacing w:line="560" w:lineRule="exact"/>
      </w:pPr>
    </w:p>
    <w:tbl>
      <w:tblPr>
        <w:tblStyle w:val="3"/>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049"/>
        <w:gridCol w:w="1824"/>
        <w:gridCol w:w="2619"/>
        <w:gridCol w:w="2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6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6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2026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产品质量委托工作检验经费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   及代码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[059]淮南市市场监督管理局</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国家煤化工产品质量监督检验中心（安徽）（淮南市产品质量监督检验所）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项目来源</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延续性项目</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5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5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w:t>
            </w:r>
          </w:p>
        </w:tc>
        <w:tc>
          <w:tcPr>
            <w:tcW w:w="5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5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7986" w:type="dxa"/>
            <w:gridSpan w:val="4"/>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维持检验检测工作的正常运行，保障我市产品质量安全。实施计划：依据检验检测工作进度，每月实施，2026年12月底前完成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86" w:type="dxa"/>
            <w:gridSpan w:val="4"/>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50" w:type="dxa"/>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出具检验检测报告数量</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经费支出合规性</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检测工作完成率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检验检测报告年度A类不符合差错率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完成常规委托检验检测天数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62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检验检测实验耗材试剂</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restart"/>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预计可实现检验检测服务收入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保障年度检验检测工作任务顺利完成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本指标不适用此项目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auto"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保障检验检测服务等职能工作正常开展</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auto"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委托检测单位对工作满意度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pPr>
        <w:pStyle w:val="2"/>
        <w:keepNext w:val="0"/>
        <w:keepLines w:val="0"/>
        <w:pageBreakBefore w:val="0"/>
        <w:kinsoku/>
        <w:overflowPunct/>
        <w:topLinePunct w:val="0"/>
        <w:autoSpaceDE/>
        <w:autoSpaceDN/>
        <w:bidi w:val="0"/>
        <w:adjustRightInd w:val="0"/>
        <w:snapToGrid w:val="0"/>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imesNewRoman">
    <w:altName w:val="Traditional Arabic"/>
    <w:panose1 w:val="02020603050405020304"/>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cyOGEwN2E2MGNlMTgxM2U5Y2NmYmY5ZGVlM2IifQ=="/>
  </w:docVars>
  <w:rsids>
    <w:rsidRoot w:val="700F685A"/>
    <w:rsid w:val="01372051"/>
    <w:rsid w:val="099D294F"/>
    <w:rsid w:val="09A133AE"/>
    <w:rsid w:val="09EB7B7B"/>
    <w:rsid w:val="0E2350DD"/>
    <w:rsid w:val="0EDB1840"/>
    <w:rsid w:val="0F295E02"/>
    <w:rsid w:val="115D7796"/>
    <w:rsid w:val="12D469A6"/>
    <w:rsid w:val="20D61B3B"/>
    <w:rsid w:val="24743B45"/>
    <w:rsid w:val="252F101D"/>
    <w:rsid w:val="28D23530"/>
    <w:rsid w:val="2CB55DE5"/>
    <w:rsid w:val="32980EEF"/>
    <w:rsid w:val="39BD16C1"/>
    <w:rsid w:val="3DF8713D"/>
    <w:rsid w:val="3E666CAA"/>
    <w:rsid w:val="3EDD76DA"/>
    <w:rsid w:val="3F5035E2"/>
    <w:rsid w:val="48B44E64"/>
    <w:rsid w:val="499D7C4A"/>
    <w:rsid w:val="51BA1F02"/>
    <w:rsid w:val="554B7B1C"/>
    <w:rsid w:val="5FE80968"/>
    <w:rsid w:val="613F0ADE"/>
    <w:rsid w:val="64195594"/>
    <w:rsid w:val="6B596BBE"/>
    <w:rsid w:val="700F685A"/>
    <w:rsid w:val="710E3FA6"/>
    <w:rsid w:val="73EA2AA9"/>
    <w:rsid w:val="7E32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rFonts w:eastAsia="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135</Words>
  <Characters>148</Characters>
  <Lines>0</Lines>
  <Paragraphs>0</Paragraphs>
  <TotalTime>0</TotalTime>
  <ScaleCrop>false</ScaleCrop>
  <LinksUpToDate>false</LinksUpToDate>
  <CharactersWithSpaces>152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2024-02-08T00:41:00Z</dcterms:created>
  <dc:creator>   白日梦 </dc:creator>
  <cp:lastModifiedBy>DAI</cp:lastModifiedBy>
  <dcterms:modified xsi:type="dcterms:W3CDTF">2026-03-03T02:55:57Z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ED0DE30285A34B5EB277B429C3557080_11</vt:lpwstr>
  </property>
  <property fmtid="{D5CDD505-2E9C-101B-9397-08002B2CF9AE}" pid="4" name="KSOTemplateDocerSaveRecord">
    <vt:lpwstr>eyJoZGlkIjoiN2ExNjcyOGEwN2E2MGNlMTgxM2U5Y2NmYmY5ZGVlM2IiLCJ1c2VySWQiOiI5MjUxMjUyMzgifQ==</vt:lpwstr>
  </property>
</Properties>
</file>