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jc w:val="center"/>
        <w:rPr>
          <w:rFonts w:hint="eastAsia" w:ascii="宋体" w:hAnsi="宋体" w:cs="宋体"/>
          <w:b/>
          <w:color w:val="000000"/>
          <w:sz w:val="36"/>
          <w:szCs w:val="36"/>
        </w:rPr>
      </w:pPr>
      <w:r>
        <w:rPr>
          <w:rFonts w:hint="eastAsia" w:ascii="宋体" w:hAnsi="宋体" w:cs="宋体"/>
          <w:b/>
          <w:color w:val="000000"/>
          <w:sz w:val="36"/>
          <w:szCs w:val="36"/>
        </w:rPr>
        <w:t>淮南市</w:t>
      </w:r>
      <w:r>
        <w:rPr>
          <w:rFonts w:hint="eastAsia" w:ascii="宋体" w:hAnsi="宋体" w:cs="宋体"/>
          <w:b/>
          <w:color w:val="000000"/>
          <w:sz w:val="36"/>
          <w:szCs w:val="36"/>
          <w:lang w:val="en-US" w:eastAsia="zh-CN"/>
        </w:rPr>
        <w:t>标准化研究院</w:t>
      </w:r>
      <w:r>
        <w:rPr>
          <w:rFonts w:ascii="仿宋_GB2312" w:eastAsia="仿宋_GB2312" w:cs="仿宋_GB2312"/>
          <w:b/>
          <w:color w:val="000000"/>
          <w:sz w:val="36"/>
          <w:szCs w:val="36"/>
        </w:rPr>
        <w:t>202</w:t>
      </w:r>
      <w:r>
        <w:rPr>
          <w:rFonts w:hint="eastAsia" w:ascii="仿宋_GB2312" w:eastAsia="仿宋_GB2312" w:cs="仿宋_GB2312"/>
          <w:b/>
          <w:color w:val="000000"/>
          <w:sz w:val="36"/>
          <w:szCs w:val="36"/>
          <w:lang w:val="en-US" w:eastAsia="zh-CN"/>
        </w:rPr>
        <w:t>5</w:t>
      </w:r>
      <w:r>
        <w:rPr>
          <w:rFonts w:ascii="仿宋_GB2312" w:eastAsia="仿宋_GB2312" w:cs="仿宋_GB2312"/>
          <w:b/>
          <w:color w:val="000000"/>
          <w:sz w:val="36"/>
          <w:szCs w:val="36"/>
        </w:rPr>
        <w:t>年</w:t>
      </w:r>
      <w:r>
        <w:rPr>
          <w:rFonts w:hint="eastAsia" w:ascii="宋体" w:hAnsi="宋体" w:cs="宋体"/>
          <w:b/>
          <w:color w:val="000000"/>
          <w:sz w:val="36"/>
          <w:szCs w:val="36"/>
        </w:rPr>
        <w:t>度一般公共预算财政拨款</w:t>
      </w:r>
      <w:r>
        <w:rPr>
          <w:rFonts w:ascii="仿宋_GB2312" w:eastAsia="仿宋_GB2312" w:cs="仿宋_GB2312"/>
          <w:b/>
          <w:color w:val="000000"/>
          <w:sz w:val="36"/>
          <w:szCs w:val="36"/>
        </w:rPr>
        <w:t>“三公</w:t>
      </w:r>
      <w:r>
        <w:rPr>
          <w:rFonts w:hint="eastAsia" w:ascii="宋体" w:hAnsi="宋体" w:cs="宋体"/>
          <w:b/>
          <w:color w:val="000000"/>
          <w:sz w:val="36"/>
          <w:szCs w:val="36"/>
        </w:rPr>
        <w:t>”</w:t>
      </w:r>
      <w:r>
        <w:rPr>
          <w:rFonts w:ascii="仿宋_GB2312" w:eastAsia="仿宋_GB2312" w:cs="仿宋_GB2312"/>
          <w:b/>
          <w:color w:val="000000"/>
          <w:sz w:val="36"/>
          <w:szCs w:val="36"/>
        </w:rPr>
        <w:t>经费</w:t>
      </w:r>
      <w:r>
        <w:rPr>
          <w:rFonts w:hint="eastAsia" w:ascii="宋体" w:hAnsi="宋体" w:cs="宋体"/>
          <w:b/>
          <w:color w:val="000000"/>
          <w:sz w:val="36"/>
          <w:szCs w:val="36"/>
        </w:rPr>
        <w:t>支出决算情况说明</w:t>
      </w:r>
    </w:p>
    <w:p>
      <w:pPr>
        <w:pStyle w:val="6"/>
        <w:widowControl/>
        <w:jc w:val="center"/>
        <w:rPr>
          <w:rFonts w:ascii="楷体_GB2312" w:eastAsia="楷体_GB2312" w:cs="楷体_GB2312"/>
          <w:color w:val="000000"/>
          <w:sz w:val="32"/>
          <w:szCs w:val="32"/>
        </w:rPr>
      </w:pPr>
      <w:r>
        <w:rPr>
          <w:rFonts w:ascii="楷体_GB2312" w:eastAsia="楷体_GB2312" w:cs="楷体_GB2312"/>
          <w:color w:val="000000"/>
          <w:sz w:val="32"/>
          <w:szCs w:val="32"/>
        </w:rPr>
        <w:t xml:space="preserve"> </w:t>
      </w:r>
    </w:p>
    <w:p>
      <w:pPr>
        <w:pStyle w:val="6"/>
        <w:widowControl/>
        <w:snapToGrid w:val="0"/>
        <w:spacing w:line="360" w:lineRule="auto"/>
        <w:jc w:val="center"/>
        <w:rPr>
          <w:rFonts w:hint="eastAsia" w:ascii="宋体" w:hAnsi="宋体" w:cs="宋体"/>
          <w:color w:val="000000"/>
          <w:sz w:val="6"/>
          <w:szCs w:val="6"/>
        </w:rPr>
      </w:pPr>
      <w:r>
        <w:rPr>
          <w:rFonts w:hint="eastAsia" w:ascii="宋体" w:hAnsi="宋体" w:cs="宋体"/>
          <w:color w:val="000000"/>
          <w:sz w:val="6"/>
          <w:szCs w:val="6"/>
        </w:rPr>
        <w:t xml:space="preserve"> </w:t>
      </w:r>
    </w:p>
    <w:p>
      <w:pPr>
        <w:pStyle w:val="6"/>
        <w:widowControl/>
        <w:rPr>
          <w:rFonts w:hint="eastAsia" w:ascii="黑体" w:hAnsi="宋体" w:eastAsia="黑体" w:cs="黑体"/>
          <w:color w:val="000000"/>
          <w:sz w:val="32"/>
          <w:szCs w:val="32"/>
        </w:rPr>
      </w:pPr>
      <w:r>
        <w:rPr>
          <w:rFonts w:hint="eastAsia" w:ascii="黑体" w:hAnsi="宋体" w:eastAsia="黑体" w:cs="黑体"/>
          <w:color w:val="000000"/>
          <w:sz w:val="32"/>
          <w:szCs w:val="32"/>
        </w:rPr>
        <w:t xml:space="preserve">    一、202</w:t>
      </w:r>
      <w:r>
        <w:rPr>
          <w:rFonts w:hint="eastAsia" w:ascii="黑体" w:hAnsi="宋体" w:eastAsia="黑体" w:cs="黑体"/>
          <w:color w:val="000000"/>
          <w:sz w:val="32"/>
          <w:szCs w:val="32"/>
          <w:lang w:val="en-US" w:eastAsia="zh-CN"/>
        </w:rPr>
        <w:t>5</w:t>
      </w:r>
      <w:r>
        <w:rPr>
          <w:rFonts w:hint="eastAsia" w:ascii="黑体" w:hAnsi="宋体" w:eastAsia="黑体" w:cs="黑体"/>
          <w:color w:val="000000"/>
          <w:sz w:val="32"/>
          <w:szCs w:val="32"/>
        </w:rPr>
        <w:t>年度一般公共预算财政拨款“三公”经费支出决算表</w:t>
      </w:r>
    </w:p>
    <w:p>
      <w:pPr>
        <w:pStyle w:val="6"/>
        <w:widowControl/>
        <w:jc w:val="right"/>
        <w:rPr>
          <w:rFonts w:hint="eastAsia" w:ascii="黑体" w:hAnsi="宋体" w:eastAsia="黑体" w:cs="黑体"/>
          <w:color w:val="000000"/>
          <w:sz w:val="32"/>
          <w:szCs w:val="32"/>
        </w:rPr>
      </w:pPr>
      <w:r>
        <w:rPr>
          <w:rFonts w:ascii="仿宋_GB2312" w:eastAsia="仿宋_GB2312" w:cs="仿宋_GB2312"/>
          <w:color w:val="000000"/>
          <w:sz w:val="32"/>
          <w:szCs w:val="32"/>
        </w:rPr>
        <w:t>单位：万元</w:t>
      </w:r>
    </w:p>
    <w:tbl>
      <w:tblPr>
        <w:tblStyle w:val="2"/>
        <w:tblW w:w="0" w:type="auto"/>
        <w:tblInd w:w="135" w:type="dxa"/>
        <w:tblLayout w:type="fixed"/>
        <w:tblCellMar>
          <w:top w:w="0" w:type="dxa"/>
          <w:left w:w="108" w:type="dxa"/>
          <w:bottom w:w="0" w:type="dxa"/>
          <w:right w:w="108" w:type="dxa"/>
        </w:tblCellMar>
      </w:tblPr>
      <w:tblGrid>
        <w:gridCol w:w="4379"/>
        <w:gridCol w:w="2157"/>
        <w:gridCol w:w="2220"/>
      </w:tblGrid>
      <w:tr>
        <w:tblPrEx>
          <w:tblCellMar>
            <w:top w:w="0" w:type="dxa"/>
            <w:left w:w="108" w:type="dxa"/>
            <w:bottom w:w="0" w:type="dxa"/>
            <w:right w:w="108" w:type="dxa"/>
          </w:tblCellMar>
        </w:tblPrEx>
        <w:trPr>
          <w:trHeight w:val="397" w:hRule="atLeast"/>
        </w:trPr>
        <w:tc>
          <w:tcPr>
            <w:tcW w:w="4379" w:type="dxa"/>
            <w:tcBorders>
              <w:top w:val="single" w:color="000000" w:sz="4" w:space="0"/>
              <w:left w:val="single" w:color="000000" w:sz="4" w:space="0"/>
              <w:bottom w:val="single" w:color="000000" w:sz="4" w:space="0"/>
              <w:right w:val="single" w:color="000000" w:sz="4" w:space="0"/>
            </w:tcBorders>
            <w:noWrap w:val="0"/>
            <w:vAlign w:val="center"/>
          </w:tcPr>
          <w:p>
            <w:pPr>
              <w:pStyle w:val="6"/>
              <w:widowControl/>
              <w:jc w:val="center"/>
              <w:rPr>
                <w:rFonts w:ascii="仿宋_GB2312" w:eastAsia="仿宋_GB2312" w:cs="仿宋_GB2312"/>
                <w:b/>
                <w:color w:val="000000"/>
                <w:sz w:val="32"/>
                <w:szCs w:val="32"/>
              </w:rPr>
            </w:pPr>
            <w:r>
              <w:rPr>
                <w:rFonts w:hint="eastAsia" w:ascii="宋体" w:hAnsi="宋体" w:cs="宋体"/>
                <w:b/>
                <w:color w:val="000000"/>
                <w:sz w:val="32"/>
                <w:szCs w:val="32"/>
              </w:rPr>
              <w:t>项  目</w:t>
            </w:r>
          </w:p>
        </w:tc>
        <w:tc>
          <w:tcPr>
            <w:tcW w:w="2157" w:type="dxa"/>
            <w:tcBorders>
              <w:top w:val="single" w:color="000000" w:sz="4" w:space="0"/>
              <w:left w:val="nil"/>
              <w:bottom w:val="single" w:color="000000" w:sz="4" w:space="0"/>
              <w:right w:val="single" w:color="000000" w:sz="4" w:space="0"/>
            </w:tcBorders>
            <w:noWrap w:val="0"/>
            <w:vAlign w:val="center"/>
          </w:tcPr>
          <w:p>
            <w:pPr>
              <w:pStyle w:val="6"/>
              <w:widowControl/>
              <w:jc w:val="center"/>
              <w:rPr>
                <w:rFonts w:ascii="仿宋_GB2312" w:eastAsia="仿宋_GB2312" w:cs="仿宋_GB2312"/>
                <w:b/>
                <w:color w:val="000000"/>
                <w:sz w:val="32"/>
                <w:szCs w:val="32"/>
              </w:rPr>
            </w:pPr>
            <w:r>
              <w:rPr>
                <w:rFonts w:hint="eastAsia" w:ascii="宋体" w:hAnsi="宋体" w:cs="宋体"/>
                <w:b/>
                <w:color w:val="000000"/>
                <w:sz w:val="32"/>
                <w:szCs w:val="32"/>
              </w:rPr>
              <w:t>预 算 数</w:t>
            </w:r>
          </w:p>
        </w:tc>
        <w:tc>
          <w:tcPr>
            <w:tcW w:w="2220" w:type="dxa"/>
            <w:tcBorders>
              <w:top w:val="single" w:color="000000" w:sz="4" w:space="0"/>
              <w:left w:val="nil"/>
              <w:bottom w:val="single" w:color="000000" w:sz="4" w:space="0"/>
              <w:right w:val="single" w:color="000000" w:sz="4" w:space="0"/>
            </w:tcBorders>
            <w:noWrap w:val="0"/>
            <w:vAlign w:val="center"/>
          </w:tcPr>
          <w:p>
            <w:pPr>
              <w:pStyle w:val="6"/>
              <w:widowControl/>
              <w:jc w:val="center"/>
              <w:rPr>
                <w:rFonts w:ascii="仿宋_GB2312" w:eastAsia="仿宋_GB2312" w:cs="仿宋_GB2312"/>
                <w:b/>
                <w:color w:val="000000"/>
                <w:sz w:val="32"/>
                <w:szCs w:val="32"/>
              </w:rPr>
            </w:pPr>
            <w:r>
              <w:rPr>
                <w:rFonts w:hint="eastAsia" w:ascii="宋体" w:hAnsi="宋体" w:cs="宋体"/>
                <w:b/>
                <w:color w:val="000000"/>
                <w:sz w:val="32"/>
                <w:szCs w:val="32"/>
              </w:rPr>
              <w:t>决 算 数</w:t>
            </w:r>
          </w:p>
        </w:tc>
      </w:tr>
      <w:tr>
        <w:tblPrEx>
          <w:tblCellMar>
            <w:top w:w="0" w:type="dxa"/>
            <w:left w:w="108" w:type="dxa"/>
            <w:bottom w:w="0" w:type="dxa"/>
            <w:right w:w="108" w:type="dxa"/>
          </w:tblCellMar>
        </w:tblPrEx>
        <w:trPr>
          <w:trHeight w:val="397" w:hRule="atLeast"/>
        </w:trPr>
        <w:tc>
          <w:tcPr>
            <w:tcW w:w="4379" w:type="dxa"/>
            <w:tcBorders>
              <w:top w:val="nil"/>
              <w:left w:val="single" w:color="000000" w:sz="4" w:space="0"/>
              <w:bottom w:val="single" w:color="000000" w:sz="4" w:space="0"/>
              <w:right w:val="single" w:color="000000" w:sz="4" w:space="0"/>
            </w:tcBorders>
            <w:noWrap w:val="0"/>
            <w:vAlign w:val="center"/>
          </w:tcPr>
          <w:p>
            <w:pPr>
              <w:pStyle w:val="6"/>
              <w:widowControl/>
              <w:jc w:val="center"/>
              <w:rPr>
                <w:rFonts w:ascii="仿宋_GB2312" w:eastAsia="仿宋_GB2312" w:cs="仿宋_GB2312"/>
                <w:b/>
                <w:color w:val="000000"/>
                <w:sz w:val="32"/>
                <w:szCs w:val="32"/>
              </w:rPr>
            </w:pPr>
            <w:r>
              <w:rPr>
                <w:rFonts w:hint="eastAsia" w:ascii="宋体" w:hAnsi="宋体" w:cs="宋体"/>
                <w:b/>
                <w:color w:val="000000"/>
                <w:sz w:val="32"/>
                <w:szCs w:val="32"/>
              </w:rPr>
              <w:t>合  计</w:t>
            </w:r>
          </w:p>
        </w:tc>
        <w:tc>
          <w:tcPr>
            <w:tcW w:w="2157" w:type="dxa"/>
            <w:tcBorders>
              <w:top w:val="nil"/>
              <w:left w:val="nil"/>
              <w:bottom w:val="single" w:color="000000" w:sz="4" w:space="0"/>
              <w:right w:val="single" w:color="000000" w:sz="4" w:space="0"/>
            </w:tcBorders>
            <w:noWrap w:val="0"/>
            <w:vAlign w:val="center"/>
          </w:tcPr>
          <w:p>
            <w:pPr>
              <w:pStyle w:val="6"/>
              <w:widowControl/>
              <w:jc w:val="center"/>
              <w:rPr>
                <w:rFonts w:ascii="仿宋_GB2312" w:eastAsia="仿宋_GB2312" w:cs="仿宋_GB2312"/>
                <w:b/>
                <w:color w:val="000000"/>
                <w:sz w:val="32"/>
                <w:szCs w:val="32"/>
              </w:rPr>
            </w:pPr>
            <w:r>
              <w:rPr>
                <w:rFonts w:hint="eastAsia" w:ascii="宋体" w:hAnsi="宋体" w:cs="宋体"/>
                <w:b/>
                <w:color w:val="000000"/>
                <w:sz w:val="32"/>
                <w:szCs w:val="32"/>
                <w:lang w:val="en-US" w:eastAsia="zh-CN"/>
              </w:rPr>
              <w:t>0</w:t>
            </w:r>
            <w:r>
              <w:rPr>
                <w:rFonts w:hint="eastAsia" w:ascii="宋体" w:hAnsi="宋体" w:cs="宋体"/>
                <w:b/>
                <w:color w:val="000000"/>
                <w:sz w:val="32"/>
                <w:szCs w:val="32"/>
              </w:rPr>
              <w:t>　</w:t>
            </w:r>
          </w:p>
        </w:tc>
        <w:tc>
          <w:tcPr>
            <w:tcW w:w="2220" w:type="dxa"/>
            <w:tcBorders>
              <w:top w:val="nil"/>
              <w:left w:val="nil"/>
              <w:bottom w:val="single" w:color="000000" w:sz="4" w:space="0"/>
              <w:right w:val="single" w:color="000000" w:sz="4" w:space="0"/>
            </w:tcBorders>
            <w:noWrap w:val="0"/>
            <w:vAlign w:val="center"/>
          </w:tcPr>
          <w:p>
            <w:pPr>
              <w:pStyle w:val="6"/>
              <w:widowControl/>
              <w:jc w:val="center"/>
              <w:rPr>
                <w:rFonts w:ascii="仿宋_GB2312" w:eastAsia="仿宋_GB2312" w:cs="仿宋_GB2312"/>
                <w:b/>
                <w:color w:val="000000"/>
                <w:sz w:val="32"/>
                <w:szCs w:val="32"/>
              </w:rPr>
            </w:pPr>
            <w:r>
              <w:rPr>
                <w:rFonts w:hint="eastAsia" w:ascii="宋体" w:hAnsi="宋体" w:cs="宋体"/>
                <w:b/>
                <w:color w:val="000000"/>
                <w:sz w:val="32"/>
                <w:szCs w:val="32"/>
                <w:lang w:val="en-US" w:eastAsia="zh-CN"/>
              </w:rPr>
              <w:t>0</w:t>
            </w:r>
            <w:r>
              <w:rPr>
                <w:rFonts w:hint="eastAsia" w:ascii="宋体" w:hAnsi="宋体" w:cs="宋体"/>
                <w:b/>
                <w:color w:val="000000"/>
                <w:sz w:val="32"/>
                <w:szCs w:val="32"/>
              </w:rPr>
              <w:t>　</w:t>
            </w:r>
          </w:p>
        </w:tc>
      </w:tr>
      <w:tr>
        <w:tblPrEx>
          <w:tblCellMar>
            <w:top w:w="0" w:type="dxa"/>
            <w:left w:w="108" w:type="dxa"/>
            <w:bottom w:w="0" w:type="dxa"/>
            <w:right w:w="108" w:type="dxa"/>
          </w:tblCellMar>
        </w:tblPrEx>
        <w:trPr>
          <w:trHeight w:val="397" w:hRule="atLeast"/>
        </w:trPr>
        <w:tc>
          <w:tcPr>
            <w:tcW w:w="4379" w:type="dxa"/>
            <w:tcBorders>
              <w:top w:val="nil"/>
              <w:left w:val="single" w:color="000000" w:sz="4" w:space="0"/>
              <w:bottom w:val="single" w:color="000000" w:sz="4" w:space="0"/>
              <w:right w:val="single" w:color="000000" w:sz="4" w:space="0"/>
            </w:tcBorders>
            <w:noWrap w:val="0"/>
            <w:vAlign w:val="center"/>
          </w:tcPr>
          <w:p>
            <w:pPr>
              <w:pStyle w:val="6"/>
              <w:widowControl/>
              <w:jc w:val="left"/>
              <w:rPr>
                <w:rFonts w:ascii="仿宋_GB2312" w:eastAsia="仿宋_GB2312" w:cs="仿宋_GB2312"/>
                <w:color w:val="000000"/>
                <w:sz w:val="32"/>
                <w:szCs w:val="32"/>
              </w:rPr>
            </w:pPr>
            <w:r>
              <w:rPr>
                <w:rFonts w:hint="eastAsia" w:ascii="宋体" w:hAnsi="宋体" w:cs="宋体"/>
                <w:color w:val="000000"/>
                <w:sz w:val="32"/>
                <w:szCs w:val="32"/>
              </w:rPr>
              <w:t>因公出国（境）费</w:t>
            </w:r>
          </w:p>
        </w:tc>
        <w:tc>
          <w:tcPr>
            <w:tcW w:w="2157" w:type="dxa"/>
            <w:tcBorders>
              <w:top w:val="nil"/>
              <w:left w:val="nil"/>
              <w:bottom w:val="single" w:color="000000" w:sz="4" w:space="0"/>
              <w:right w:val="single" w:color="000000" w:sz="4" w:space="0"/>
            </w:tcBorders>
            <w:noWrap w:val="0"/>
            <w:vAlign w:val="bottom"/>
          </w:tcPr>
          <w:p>
            <w:pPr>
              <w:pStyle w:val="6"/>
              <w:widowControl/>
              <w:jc w:val="center"/>
              <w:rPr>
                <w:rFonts w:hint="eastAsia" w:ascii="仿宋_GB2312" w:eastAsia="宋体" w:cs="仿宋_GB2312"/>
                <w:color w:val="000000"/>
                <w:sz w:val="32"/>
                <w:szCs w:val="32"/>
                <w:lang w:val="en-US" w:eastAsia="zh-CN"/>
              </w:rPr>
            </w:pPr>
            <w:r>
              <w:rPr>
                <w:rFonts w:hint="eastAsia" w:ascii="宋体" w:hAnsi="宋体" w:cs="宋体"/>
                <w:color w:val="000000"/>
                <w:sz w:val="32"/>
                <w:szCs w:val="32"/>
                <w:lang w:val="en-US" w:eastAsia="zh-CN"/>
              </w:rPr>
              <w:t>0</w:t>
            </w:r>
          </w:p>
        </w:tc>
        <w:tc>
          <w:tcPr>
            <w:tcW w:w="2220" w:type="dxa"/>
            <w:tcBorders>
              <w:top w:val="nil"/>
              <w:left w:val="nil"/>
              <w:bottom w:val="single" w:color="000000" w:sz="4" w:space="0"/>
              <w:right w:val="single" w:color="000000" w:sz="4" w:space="0"/>
            </w:tcBorders>
            <w:noWrap w:val="0"/>
            <w:vAlign w:val="bottom"/>
          </w:tcPr>
          <w:p>
            <w:pPr>
              <w:pStyle w:val="6"/>
              <w:widowControl/>
              <w:jc w:val="center"/>
              <w:rPr>
                <w:rFonts w:hint="eastAsia" w:ascii="仿宋_GB2312" w:eastAsia="宋体" w:cs="仿宋_GB2312"/>
                <w:color w:val="000000"/>
                <w:sz w:val="32"/>
                <w:szCs w:val="32"/>
                <w:lang w:val="en-US" w:eastAsia="zh-CN"/>
              </w:rPr>
            </w:pPr>
            <w:r>
              <w:rPr>
                <w:rFonts w:hint="eastAsia" w:ascii="宋体" w:hAnsi="宋体" w:cs="宋体"/>
                <w:color w:val="000000"/>
                <w:sz w:val="32"/>
                <w:szCs w:val="32"/>
                <w:lang w:val="en-US" w:eastAsia="zh-CN"/>
              </w:rPr>
              <w:t>0</w:t>
            </w:r>
          </w:p>
        </w:tc>
      </w:tr>
      <w:tr>
        <w:tblPrEx>
          <w:tblCellMar>
            <w:top w:w="0" w:type="dxa"/>
            <w:left w:w="108" w:type="dxa"/>
            <w:bottom w:w="0" w:type="dxa"/>
            <w:right w:w="108" w:type="dxa"/>
          </w:tblCellMar>
        </w:tblPrEx>
        <w:trPr>
          <w:trHeight w:val="397" w:hRule="atLeast"/>
        </w:trPr>
        <w:tc>
          <w:tcPr>
            <w:tcW w:w="4379" w:type="dxa"/>
            <w:tcBorders>
              <w:top w:val="nil"/>
              <w:left w:val="single" w:color="000000" w:sz="4" w:space="0"/>
              <w:bottom w:val="single" w:color="000000" w:sz="4" w:space="0"/>
              <w:right w:val="single" w:color="000000" w:sz="4" w:space="0"/>
            </w:tcBorders>
            <w:noWrap w:val="0"/>
            <w:vAlign w:val="center"/>
          </w:tcPr>
          <w:p>
            <w:pPr>
              <w:pStyle w:val="6"/>
              <w:widowControl/>
              <w:jc w:val="left"/>
              <w:rPr>
                <w:rFonts w:ascii="仿宋_GB2312" w:eastAsia="仿宋_GB2312" w:cs="仿宋_GB2312"/>
                <w:color w:val="000000"/>
                <w:sz w:val="32"/>
                <w:szCs w:val="32"/>
              </w:rPr>
            </w:pPr>
            <w:r>
              <w:rPr>
                <w:rFonts w:hint="eastAsia" w:ascii="宋体" w:hAnsi="宋体" w:cs="宋体"/>
                <w:color w:val="000000"/>
                <w:sz w:val="32"/>
                <w:szCs w:val="32"/>
              </w:rPr>
              <w:t>公务接待费</w:t>
            </w:r>
          </w:p>
        </w:tc>
        <w:tc>
          <w:tcPr>
            <w:tcW w:w="2157" w:type="dxa"/>
            <w:tcBorders>
              <w:top w:val="nil"/>
              <w:left w:val="nil"/>
              <w:bottom w:val="single" w:color="000000" w:sz="4" w:space="0"/>
              <w:right w:val="single" w:color="000000" w:sz="4" w:space="0"/>
            </w:tcBorders>
            <w:noWrap w:val="0"/>
            <w:vAlign w:val="bottom"/>
          </w:tcPr>
          <w:p>
            <w:pPr>
              <w:pStyle w:val="6"/>
              <w:widowControl/>
              <w:jc w:val="center"/>
              <w:rPr>
                <w:rFonts w:hint="default" w:ascii="仿宋_GB2312" w:eastAsia="宋体" w:cs="仿宋_GB2312"/>
                <w:color w:val="000000"/>
                <w:sz w:val="32"/>
                <w:szCs w:val="32"/>
                <w:lang w:val="en-US" w:eastAsia="zh-CN"/>
              </w:rPr>
            </w:pPr>
            <w:r>
              <w:rPr>
                <w:rFonts w:hint="eastAsia" w:ascii="仿宋_GB2312" w:cs="仿宋_GB2312"/>
                <w:color w:val="000000"/>
                <w:sz w:val="32"/>
                <w:szCs w:val="32"/>
                <w:lang w:val="en-US" w:eastAsia="zh-CN"/>
              </w:rPr>
              <w:t>0.2</w:t>
            </w:r>
          </w:p>
        </w:tc>
        <w:tc>
          <w:tcPr>
            <w:tcW w:w="2220" w:type="dxa"/>
            <w:tcBorders>
              <w:top w:val="nil"/>
              <w:left w:val="nil"/>
              <w:bottom w:val="single" w:color="000000" w:sz="4" w:space="0"/>
              <w:right w:val="single" w:color="000000" w:sz="4" w:space="0"/>
            </w:tcBorders>
            <w:noWrap w:val="0"/>
            <w:vAlign w:val="bottom"/>
          </w:tcPr>
          <w:p>
            <w:pPr>
              <w:pStyle w:val="6"/>
              <w:widowControl/>
              <w:jc w:val="center"/>
              <w:rPr>
                <w:rFonts w:hint="default" w:ascii="仿宋_GB2312" w:eastAsia="宋体" w:cs="仿宋_GB2312"/>
                <w:color w:val="000000"/>
                <w:sz w:val="32"/>
                <w:szCs w:val="32"/>
                <w:lang w:val="en-US" w:eastAsia="zh-CN"/>
              </w:rPr>
            </w:pPr>
            <w:r>
              <w:rPr>
                <w:rFonts w:hint="eastAsia" w:ascii="仿宋_GB2312" w:cs="仿宋_GB2312"/>
                <w:color w:val="000000"/>
                <w:sz w:val="32"/>
                <w:szCs w:val="32"/>
                <w:lang w:val="en-US" w:eastAsia="zh-CN"/>
              </w:rPr>
              <w:t>0.04</w:t>
            </w:r>
          </w:p>
        </w:tc>
      </w:tr>
      <w:tr>
        <w:tblPrEx>
          <w:tblCellMar>
            <w:top w:w="0" w:type="dxa"/>
            <w:left w:w="108" w:type="dxa"/>
            <w:bottom w:w="0" w:type="dxa"/>
            <w:right w:w="108" w:type="dxa"/>
          </w:tblCellMar>
        </w:tblPrEx>
        <w:trPr>
          <w:trHeight w:val="397" w:hRule="atLeast"/>
        </w:trPr>
        <w:tc>
          <w:tcPr>
            <w:tcW w:w="4379" w:type="dxa"/>
            <w:tcBorders>
              <w:top w:val="nil"/>
              <w:left w:val="single" w:color="000000" w:sz="4" w:space="0"/>
              <w:bottom w:val="single" w:color="000000" w:sz="4" w:space="0"/>
              <w:right w:val="single" w:color="000000" w:sz="4" w:space="0"/>
            </w:tcBorders>
            <w:noWrap w:val="0"/>
            <w:vAlign w:val="center"/>
          </w:tcPr>
          <w:p>
            <w:pPr>
              <w:pStyle w:val="6"/>
              <w:widowControl/>
              <w:jc w:val="left"/>
              <w:rPr>
                <w:rFonts w:ascii="仿宋_GB2312" w:eastAsia="仿宋_GB2312" w:cs="仿宋_GB2312"/>
                <w:color w:val="000000"/>
                <w:sz w:val="32"/>
                <w:szCs w:val="32"/>
              </w:rPr>
            </w:pPr>
            <w:r>
              <w:rPr>
                <w:rFonts w:hint="eastAsia" w:ascii="宋体" w:hAnsi="宋体" w:cs="宋体"/>
                <w:color w:val="000000"/>
                <w:sz w:val="32"/>
                <w:szCs w:val="32"/>
              </w:rPr>
              <w:t>公务用车购置及运行维护费</w:t>
            </w:r>
          </w:p>
        </w:tc>
        <w:tc>
          <w:tcPr>
            <w:tcW w:w="2157" w:type="dxa"/>
            <w:tcBorders>
              <w:top w:val="nil"/>
              <w:left w:val="nil"/>
              <w:bottom w:val="single" w:color="000000" w:sz="4" w:space="0"/>
              <w:right w:val="single" w:color="000000" w:sz="4" w:space="0"/>
            </w:tcBorders>
            <w:noWrap w:val="0"/>
            <w:vAlign w:val="bottom"/>
          </w:tcPr>
          <w:p>
            <w:pPr>
              <w:pStyle w:val="6"/>
              <w:widowControl/>
              <w:jc w:val="center"/>
              <w:rPr>
                <w:rFonts w:hint="eastAsia" w:ascii="仿宋_GB2312" w:eastAsia="宋体" w:cs="仿宋_GB2312"/>
                <w:color w:val="000000"/>
                <w:sz w:val="32"/>
                <w:szCs w:val="32"/>
                <w:lang w:val="en-US" w:eastAsia="zh-CN"/>
              </w:rPr>
            </w:pPr>
            <w:r>
              <w:rPr>
                <w:rFonts w:hint="eastAsia" w:ascii="宋体" w:hAnsi="宋体" w:cs="宋体"/>
                <w:color w:val="000000"/>
                <w:sz w:val="32"/>
                <w:szCs w:val="32"/>
                <w:lang w:val="en-US" w:eastAsia="zh-CN"/>
              </w:rPr>
              <w:t>0</w:t>
            </w:r>
          </w:p>
        </w:tc>
        <w:tc>
          <w:tcPr>
            <w:tcW w:w="2220" w:type="dxa"/>
            <w:tcBorders>
              <w:top w:val="nil"/>
              <w:left w:val="nil"/>
              <w:bottom w:val="single" w:color="000000" w:sz="4" w:space="0"/>
              <w:right w:val="single" w:color="000000" w:sz="4" w:space="0"/>
            </w:tcBorders>
            <w:noWrap w:val="0"/>
            <w:vAlign w:val="bottom"/>
          </w:tcPr>
          <w:p>
            <w:pPr>
              <w:pStyle w:val="6"/>
              <w:widowControl/>
              <w:jc w:val="center"/>
              <w:rPr>
                <w:rFonts w:hint="eastAsia" w:ascii="仿宋_GB2312" w:eastAsia="宋体" w:cs="仿宋_GB2312"/>
                <w:color w:val="000000"/>
                <w:sz w:val="32"/>
                <w:szCs w:val="32"/>
                <w:lang w:val="en-US" w:eastAsia="zh-CN"/>
              </w:rPr>
            </w:pPr>
            <w:r>
              <w:rPr>
                <w:rFonts w:hint="eastAsia" w:ascii="宋体" w:hAnsi="宋体" w:cs="宋体"/>
                <w:color w:val="000000"/>
                <w:sz w:val="32"/>
                <w:szCs w:val="32"/>
                <w:lang w:val="en-US" w:eastAsia="zh-CN"/>
              </w:rPr>
              <w:t>0</w:t>
            </w:r>
          </w:p>
        </w:tc>
      </w:tr>
      <w:tr>
        <w:tblPrEx>
          <w:tblCellMar>
            <w:top w:w="0" w:type="dxa"/>
            <w:left w:w="108" w:type="dxa"/>
            <w:bottom w:w="0" w:type="dxa"/>
            <w:right w:w="108" w:type="dxa"/>
          </w:tblCellMar>
        </w:tblPrEx>
        <w:trPr>
          <w:trHeight w:val="397" w:hRule="atLeast"/>
        </w:trPr>
        <w:tc>
          <w:tcPr>
            <w:tcW w:w="4379" w:type="dxa"/>
            <w:tcBorders>
              <w:top w:val="nil"/>
              <w:left w:val="single" w:color="000000" w:sz="4" w:space="0"/>
              <w:bottom w:val="single" w:color="000000" w:sz="4" w:space="0"/>
              <w:right w:val="single" w:color="000000" w:sz="4" w:space="0"/>
            </w:tcBorders>
            <w:noWrap w:val="0"/>
            <w:vAlign w:val="center"/>
          </w:tcPr>
          <w:p>
            <w:pPr>
              <w:pStyle w:val="6"/>
              <w:widowControl/>
              <w:jc w:val="left"/>
              <w:rPr>
                <w:rFonts w:ascii="仿宋_GB2312" w:eastAsia="仿宋_GB2312" w:cs="仿宋_GB2312"/>
                <w:color w:val="000000"/>
                <w:sz w:val="32"/>
                <w:szCs w:val="32"/>
              </w:rPr>
            </w:pPr>
            <w:r>
              <w:rPr>
                <w:rFonts w:hint="eastAsia" w:ascii="宋体" w:hAnsi="宋体" w:cs="宋体"/>
                <w:color w:val="000000"/>
                <w:sz w:val="32"/>
                <w:szCs w:val="32"/>
              </w:rPr>
              <w:t xml:space="preserve">  其中：公务用车运行维护费</w:t>
            </w:r>
          </w:p>
        </w:tc>
        <w:tc>
          <w:tcPr>
            <w:tcW w:w="2157" w:type="dxa"/>
            <w:tcBorders>
              <w:top w:val="nil"/>
              <w:left w:val="nil"/>
              <w:bottom w:val="single" w:color="000000" w:sz="4" w:space="0"/>
              <w:right w:val="single" w:color="000000" w:sz="4" w:space="0"/>
            </w:tcBorders>
            <w:noWrap w:val="0"/>
            <w:vAlign w:val="bottom"/>
          </w:tcPr>
          <w:p>
            <w:pPr>
              <w:pStyle w:val="6"/>
              <w:widowControl/>
              <w:jc w:val="center"/>
              <w:rPr>
                <w:rFonts w:hint="eastAsia" w:ascii="仿宋_GB2312" w:eastAsia="宋体" w:cs="仿宋_GB2312"/>
                <w:color w:val="000000"/>
                <w:sz w:val="32"/>
                <w:szCs w:val="32"/>
                <w:lang w:val="en-US" w:eastAsia="zh-CN"/>
              </w:rPr>
            </w:pPr>
            <w:r>
              <w:rPr>
                <w:rFonts w:hint="eastAsia" w:ascii="宋体" w:hAnsi="宋体" w:cs="宋体"/>
                <w:color w:val="000000"/>
                <w:sz w:val="32"/>
                <w:szCs w:val="32"/>
                <w:lang w:val="en-US" w:eastAsia="zh-CN"/>
              </w:rPr>
              <w:t>0</w:t>
            </w:r>
          </w:p>
        </w:tc>
        <w:tc>
          <w:tcPr>
            <w:tcW w:w="2220" w:type="dxa"/>
            <w:tcBorders>
              <w:top w:val="nil"/>
              <w:left w:val="nil"/>
              <w:bottom w:val="single" w:color="000000" w:sz="4" w:space="0"/>
              <w:right w:val="single" w:color="000000" w:sz="4" w:space="0"/>
            </w:tcBorders>
            <w:noWrap w:val="0"/>
            <w:vAlign w:val="bottom"/>
          </w:tcPr>
          <w:p>
            <w:pPr>
              <w:pStyle w:val="6"/>
              <w:widowControl/>
              <w:jc w:val="center"/>
              <w:rPr>
                <w:rFonts w:hint="eastAsia" w:ascii="仿宋_GB2312" w:eastAsia="宋体" w:cs="仿宋_GB2312"/>
                <w:color w:val="000000"/>
                <w:sz w:val="32"/>
                <w:szCs w:val="32"/>
                <w:lang w:val="en-US" w:eastAsia="zh-CN"/>
              </w:rPr>
            </w:pPr>
            <w:r>
              <w:rPr>
                <w:rFonts w:hint="eastAsia" w:ascii="宋体" w:hAnsi="宋体" w:cs="宋体"/>
                <w:color w:val="000000"/>
                <w:sz w:val="32"/>
                <w:szCs w:val="32"/>
                <w:lang w:val="en-US" w:eastAsia="zh-CN"/>
              </w:rPr>
              <w:t>0</w:t>
            </w:r>
          </w:p>
        </w:tc>
      </w:tr>
      <w:tr>
        <w:tblPrEx>
          <w:tblCellMar>
            <w:top w:w="0" w:type="dxa"/>
            <w:left w:w="108" w:type="dxa"/>
            <w:bottom w:w="0" w:type="dxa"/>
            <w:right w:w="108" w:type="dxa"/>
          </w:tblCellMar>
        </w:tblPrEx>
        <w:trPr>
          <w:trHeight w:val="397" w:hRule="atLeast"/>
        </w:trPr>
        <w:tc>
          <w:tcPr>
            <w:tcW w:w="4379" w:type="dxa"/>
            <w:tcBorders>
              <w:top w:val="nil"/>
              <w:left w:val="single" w:color="000000" w:sz="4" w:space="0"/>
              <w:bottom w:val="single" w:color="000000" w:sz="4" w:space="0"/>
              <w:right w:val="single" w:color="000000" w:sz="4" w:space="0"/>
            </w:tcBorders>
            <w:noWrap w:val="0"/>
            <w:vAlign w:val="center"/>
          </w:tcPr>
          <w:p>
            <w:pPr>
              <w:pStyle w:val="6"/>
              <w:widowControl/>
              <w:jc w:val="left"/>
              <w:rPr>
                <w:rFonts w:ascii="仿宋_GB2312" w:eastAsia="仿宋_GB2312" w:cs="仿宋_GB2312"/>
                <w:color w:val="000000"/>
                <w:sz w:val="32"/>
                <w:szCs w:val="32"/>
              </w:rPr>
            </w:pPr>
            <w:r>
              <w:rPr>
                <w:rFonts w:hint="eastAsia" w:ascii="宋体" w:hAnsi="宋体" w:cs="宋体"/>
                <w:color w:val="000000"/>
                <w:sz w:val="32"/>
                <w:szCs w:val="32"/>
              </w:rPr>
              <w:t xml:space="preserve">        公务用车购置费 </w:t>
            </w:r>
          </w:p>
        </w:tc>
        <w:tc>
          <w:tcPr>
            <w:tcW w:w="2157" w:type="dxa"/>
            <w:tcBorders>
              <w:top w:val="nil"/>
              <w:left w:val="nil"/>
              <w:bottom w:val="single" w:color="000000" w:sz="4" w:space="0"/>
              <w:right w:val="single" w:color="000000" w:sz="4" w:space="0"/>
            </w:tcBorders>
            <w:noWrap w:val="0"/>
            <w:vAlign w:val="bottom"/>
          </w:tcPr>
          <w:p>
            <w:pPr>
              <w:pStyle w:val="6"/>
              <w:widowControl/>
              <w:jc w:val="center"/>
              <w:rPr>
                <w:rFonts w:hint="eastAsia" w:ascii="仿宋_GB2312" w:eastAsia="宋体" w:cs="仿宋_GB2312"/>
                <w:color w:val="000000"/>
                <w:sz w:val="32"/>
                <w:szCs w:val="32"/>
                <w:lang w:val="en-US" w:eastAsia="zh-CN"/>
              </w:rPr>
            </w:pPr>
            <w:r>
              <w:rPr>
                <w:rFonts w:hint="eastAsia" w:ascii="宋体" w:hAnsi="宋体" w:cs="宋体"/>
                <w:color w:val="000000"/>
                <w:sz w:val="32"/>
                <w:szCs w:val="32"/>
                <w:lang w:val="en-US" w:eastAsia="zh-CN"/>
              </w:rPr>
              <w:t>0</w:t>
            </w:r>
          </w:p>
        </w:tc>
        <w:tc>
          <w:tcPr>
            <w:tcW w:w="2220" w:type="dxa"/>
            <w:tcBorders>
              <w:top w:val="nil"/>
              <w:left w:val="nil"/>
              <w:bottom w:val="single" w:color="000000" w:sz="4" w:space="0"/>
              <w:right w:val="single" w:color="000000" w:sz="4" w:space="0"/>
            </w:tcBorders>
            <w:noWrap w:val="0"/>
            <w:vAlign w:val="bottom"/>
          </w:tcPr>
          <w:p>
            <w:pPr>
              <w:pStyle w:val="6"/>
              <w:widowControl/>
              <w:jc w:val="center"/>
              <w:rPr>
                <w:rFonts w:hint="eastAsia" w:ascii="仿宋_GB2312" w:eastAsia="宋体" w:cs="仿宋_GB2312"/>
                <w:color w:val="000000"/>
                <w:sz w:val="32"/>
                <w:szCs w:val="32"/>
                <w:lang w:val="en-US" w:eastAsia="zh-CN"/>
              </w:rPr>
            </w:pPr>
            <w:r>
              <w:rPr>
                <w:rFonts w:hint="eastAsia" w:ascii="宋体" w:hAnsi="宋体" w:cs="宋体"/>
                <w:color w:val="000000"/>
                <w:sz w:val="32"/>
                <w:szCs w:val="32"/>
                <w:lang w:val="en-US" w:eastAsia="zh-CN"/>
              </w:rPr>
              <w:t>0</w:t>
            </w:r>
          </w:p>
        </w:tc>
      </w:tr>
    </w:tbl>
    <w:p>
      <w:pPr>
        <w:pStyle w:val="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宋体" w:eastAsia="黑体" w:cs="黑体"/>
          <w:color w:val="000000"/>
          <w:sz w:val="32"/>
          <w:szCs w:val="32"/>
        </w:rPr>
      </w:pPr>
      <w:r>
        <w:rPr>
          <w:rFonts w:hint="eastAsia" w:ascii="黑体" w:hAnsi="宋体" w:eastAsia="黑体" w:cs="黑体"/>
          <w:color w:val="000000"/>
          <w:sz w:val="32"/>
          <w:szCs w:val="32"/>
        </w:rPr>
        <w:t xml:space="preserve">   </w:t>
      </w:r>
      <w:r>
        <w:rPr>
          <w:rFonts w:hint="eastAsia" w:ascii="仿宋_GB2312" w:hAnsi="仿宋"/>
          <w:sz w:val="21"/>
          <w:szCs w:val="21"/>
          <w:lang w:val="en-US" w:eastAsia="zh-CN"/>
        </w:rPr>
        <w:t>注：本表反映单位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pPr>
        <w:pStyle w:val="6"/>
        <w:spacing w:line="560" w:lineRule="exact"/>
        <w:rPr>
          <w:rFonts w:hint="eastAsia" w:ascii="黑体" w:hAnsi="宋体" w:eastAsia="黑体" w:cs="黑体"/>
          <w:color w:val="000000"/>
          <w:sz w:val="32"/>
          <w:szCs w:val="32"/>
        </w:rPr>
      </w:pPr>
      <w:r>
        <w:rPr>
          <w:rFonts w:hint="eastAsia" w:ascii="黑体" w:hAnsi="宋体" w:eastAsia="黑体" w:cs="黑体"/>
          <w:color w:val="000000"/>
          <w:sz w:val="32"/>
          <w:szCs w:val="32"/>
        </w:rPr>
        <w:t xml:space="preserve"> 二、202</w:t>
      </w:r>
      <w:r>
        <w:rPr>
          <w:rFonts w:hint="eastAsia" w:ascii="黑体" w:hAnsi="宋体" w:eastAsia="黑体" w:cs="黑体"/>
          <w:color w:val="000000"/>
          <w:sz w:val="32"/>
          <w:szCs w:val="32"/>
          <w:lang w:val="en-US" w:eastAsia="zh-CN"/>
        </w:rPr>
        <w:t>5</w:t>
      </w:r>
      <w:r>
        <w:rPr>
          <w:rFonts w:hint="eastAsia" w:ascii="黑体" w:hAnsi="宋体" w:eastAsia="黑体" w:cs="黑体"/>
          <w:color w:val="000000"/>
          <w:sz w:val="32"/>
          <w:szCs w:val="32"/>
        </w:rPr>
        <w:t>年度一般公共预算财政拨款“三公”经费支出情况说明</w:t>
      </w:r>
    </w:p>
    <w:p>
      <w:pPr>
        <w:pStyle w:val="6"/>
        <w:spacing w:line="560" w:lineRule="exact"/>
        <w:ind w:firstLine="640"/>
        <w:rPr>
          <w:rFonts w:ascii="楷体_GB2312" w:eastAsia="楷体_GB2312" w:cs="楷体_GB2312"/>
          <w:color w:val="000000"/>
          <w:sz w:val="32"/>
          <w:szCs w:val="32"/>
        </w:rPr>
      </w:pPr>
      <w:r>
        <w:rPr>
          <w:rFonts w:ascii="楷体_GB2312" w:eastAsia="楷体_GB2312" w:cs="楷体_GB2312"/>
          <w:color w:val="000000"/>
          <w:sz w:val="32"/>
          <w:szCs w:val="32"/>
        </w:rPr>
        <w:t>（一）一般公共预算财政拨款“三公”经费支出决算总体情况说明。</w:t>
      </w:r>
    </w:p>
    <w:p>
      <w:pPr>
        <w:pStyle w:val="6"/>
        <w:spacing w:line="560" w:lineRule="exact"/>
        <w:ind w:firstLine="640"/>
        <w:rPr>
          <w:rFonts w:ascii="仿宋_GB2312" w:eastAsia="仿宋_GB2312" w:cs="仿宋_GB2312"/>
          <w:b/>
          <w:color w:val="000000"/>
          <w:sz w:val="32"/>
          <w:szCs w:val="32"/>
        </w:rPr>
      </w:pPr>
      <w:r>
        <w:rPr>
          <w:rFonts w:ascii="仿宋_GB2312" w:eastAsia="仿宋_GB2312" w:cs="仿宋_GB2312"/>
          <w:color w:val="000000"/>
          <w:sz w:val="32"/>
          <w:szCs w:val="32"/>
        </w:rPr>
        <w:t>淮南市</w:t>
      </w:r>
      <w:r>
        <w:rPr>
          <w:rFonts w:hint="eastAsia" w:ascii="仿宋_GB2312" w:eastAsia="仿宋_GB2312" w:cs="仿宋_GB2312"/>
          <w:color w:val="000000"/>
          <w:sz w:val="32"/>
          <w:szCs w:val="32"/>
          <w:lang w:val="en-US" w:eastAsia="zh-CN"/>
        </w:rPr>
        <w:t>标准化研究院</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年度一般公共预算财政拨款</w:t>
      </w:r>
      <w:r>
        <w:rPr>
          <w:rFonts w:hint="eastAsia" w:ascii="仿宋" w:hAnsi="仿宋" w:eastAsia="仿宋" w:cs="仿宋"/>
          <w:color w:val="000000"/>
          <w:sz w:val="32"/>
          <w:szCs w:val="32"/>
        </w:rPr>
        <w:t>“</w:t>
      </w:r>
      <w:r>
        <w:rPr>
          <w:rFonts w:ascii="仿宋_GB2312" w:eastAsia="仿宋_GB2312" w:cs="仿宋_GB2312"/>
          <w:color w:val="000000"/>
          <w:sz w:val="32"/>
          <w:szCs w:val="32"/>
        </w:rPr>
        <w:t>三公</w:t>
      </w:r>
      <w:r>
        <w:rPr>
          <w:rFonts w:hint="eastAsia" w:ascii="仿宋" w:hAnsi="仿宋" w:eastAsia="仿宋" w:cs="仿宋"/>
          <w:color w:val="000000"/>
          <w:sz w:val="32"/>
          <w:szCs w:val="32"/>
        </w:rPr>
        <w:t>”</w:t>
      </w:r>
      <w:r>
        <w:rPr>
          <w:rFonts w:ascii="仿宋_GB2312" w:eastAsia="仿宋_GB2312" w:cs="仿宋_GB2312"/>
          <w:color w:val="000000"/>
          <w:sz w:val="32"/>
          <w:szCs w:val="32"/>
        </w:rPr>
        <w:t>经费支出预算为</w:t>
      </w:r>
      <w:r>
        <w:rPr>
          <w:rFonts w:hint="eastAsia" w:ascii="仿宋_GB2312" w:eastAsia="仿宋_GB2312" w:cs="仿宋_GB2312"/>
          <w:color w:val="000000"/>
          <w:sz w:val="32"/>
          <w:szCs w:val="32"/>
          <w:lang w:val="en-US" w:eastAsia="zh-CN"/>
        </w:rPr>
        <w:t>0.2</w:t>
      </w:r>
      <w:r>
        <w:rPr>
          <w:rFonts w:ascii="仿宋_GB2312" w:eastAsia="仿宋_GB2312" w:cs="仿宋_GB2312"/>
          <w:color w:val="000000"/>
          <w:sz w:val="32"/>
          <w:szCs w:val="32"/>
        </w:rPr>
        <w:t>万元，支出决算为</w:t>
      </w:r>
      <w:r>
        <w:rPr>
          <w:rFonts w:hint="eastAsia" w:ascii="仿宋_GB2312" w:eastAsia="仿宋_GB2312" w:cs="仿宋_GB2312"/>
          <w:color w:val="000000"/>
          <w:sz w:val="32"/>
          <w:szCs w:val="32"/>
          <w:lang w:val="en-US" w:eastAsia="zh-CN"/>
        </w:rPr>
        <w:t>0.04</w:t>
      </w:r>
      <w:r>
        <w:rPr>
          <w:rFonts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20</w:t>
      </w:r>
      <w:r>
        <w:rPr>
          <w:rFonts w:ascii="仿宋_GB2312" w:eastAsia="仿宋_GB2312" w:cs="仿宋_GB2312"/>
          <w:color w:val="000000"/>
          <w:sz w:val="32"/>
          <w:szCs w:val="32"/>
        </w:rPr>
        <w:t>%。</w:t>
      </w:r>
    </w:p>
    <w:p>
      <w:pPr>
        <w:pStyle w:val="6"/>
        <w:spacing w:line="560" w:lineRule="exact"/>
        <w:ind w:firstLine="640"/>
        <w:rPr>
          <w:rFonts w:ascii="楷体_GB2312" w:eastAsia="楷体_GB2312" w:cs="楷体_GB2312"/>
          <w:color w:val="000000"/>
          <w:sz w:val="32"/>
          <w:szCs w:val="32"/>
        </w:rPr>
      </w:pPr>
      <w:r>
        <w:rPr>
          <w:rFonts w:ascii="楷体_GB2312" w:eastAsia="楷体_GB2312" w:cs="楷体_GB2312"/>
          <w:color w:val="000000"/>
          <w:sz w:val="32"/>
          <w:szCs w:val="32"/>
        </w:rPr>
        <w:t>（二）一般公共预算财政拨款“三公”经费支出决算具体情况说明。</w:t>
      </w:r>
    </w:p>
    <w:p>
      <w:pPr>
        <w:pStyle w:val="6"/>
        <w:spacing w:line="560" w:lineRule="exact"/>
        <w:ind w:firstLine="640"/>
        <w:rPr>
          <w:rFonts w:ascii="仿宋_GB2312" w:eastAsia="仿宋_GB2312" w:cs="仿宋_GB2312"/>
          <w:color w:val="000000"/>
          <w:sz w:val="32"/>
          <w:szCs w:val="32"/>
        </w:rPr>
      </w:pPr>
      <w:r>
        <w:rPr>
          <w:rFonts w:ascii="仿宋_GB2312" w:eastAsia="仿宋_GB2312" w:cs="仿宋_GB2312"/>
          <w:color w:val="000000"/>
          <w:sz w:val="32"/>
          <w:szCs w:val="32"/>
        </w:rPr>
        <w:t>淮南市</w:t>
      </w:r>
      <w:r>
        <w:rPr>
          <w:rFonts w:hint="eastAsia" w:ascii="仿宋_GB2312" w:eastAsia="仿宋_GB2312" w:cs="仿宋_GB2312"/>
          <w:color w:val="000000"/>
          <w:sz w:val="32"/>
          <w:szCs w:val="32"/>
          <w:lang w:val="en-US" w:eastAsia="zh-CN"/>
        </w:rPr>
        <w:t>标准化研究院</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年度一般公共预算财政拨款</w:t>
      </w:r>
      <w:r>
        <w:rPr>
          <w:rFonts w:hint="eastAsia" w:ascii="仿宋" w:hAnsi="仿宋" w:eastAsia="仿宋" w:cs="仿宋"/>
          <w:color w:val="000000"/>
          <w:sz w:val="32"/>
          <w:szCs w:val="32"/>
        </w:rPr>
        <w:t>“</w:t>
      </w:r>
      <w:r>
        <w:rPr>
          <w:rFonts w:ascii="仿宋_GB2312" w:eastAsia="仿宋_GB2312" w:cs="仿宋_GB2312"/>
          <w:color w:val="000000"/>
          <w:sz w:val="32"/>
          <w:szCs w:val="32"/>
        </w:rPr>
        <w:t>三公</w:t>
      </w:r>
      <w:r>
        <w:rPr>
          <w:rFonts w:hint="eastAsia" w:ascii="仿宋" w:hAnsi="仿宋" w:eastAsia="仿宋" w:cs="仿宋"/>
          <w:color w:val="000000"/>
          <w:sz w:val="32"/>
          <w:szCs w:val="32"/>
        </w:rPr>
        <w:t>”</w:t>
      </w:r>
      <w:r>
        <w:rPr>
          <w:rFonts w:ascii="仿宋_GB2312" w:eastAsia="仿宋_GB2312" w:cs="仿宋_GB2312"/>
          <w:color w:val="000000"/>
          <w:sz w:val="32"/>
          <w:szCs w:val="32"/>
        </w:rPr>
        <w:t>经费支出决算中，因公出国（境）费支出决算</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%;公务接待费支出决算</w:t>
      </w:r>
      <w:r>
        <w:rPr>
          <w:rFonts w:hint="eastAsia" w:ascii="仿宋_GB2312" w:eastAsia="仿宋_GB2312" w:cs="仿宋_GB2312"/>
          <w:color w:val="000000"/>
          <w:sz w:val="32"/>
          <w:szCs w:val="32"/>
          <w:lang w:val="en-US" w:eastAsia="zh-CN"/>
        </w:rPr>
        <w:t>0.04</w:t>
      </w:r>
      <w:r>
        <w:rPr>
          <w:rFonts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20</w:t>
      </w:r>
      <w:r>
        <w:rPr>
          <w:rFonts w:ascii="仿宋_GB2312" w:eastAsia="仿宋_GB2312" w:cs="仿宋_GB2312"/>
          <w:color w:val="000000"/>
          <w:sz w:val="32"/>
          <w:szCs w:val="32"/>
        </w:rPr>
        <w:t>%；公务用车购置及运行维护费支出决算</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%。具体情况如下：</w:t>
      </w:r>
    </w:p>
    <w:p>
      <w:pPr>
        <w:pStyle w:val="6"/>
        <w:adjustRightInd w:val="0"/>
        <w:snapToGrid w:val="0"/>
        <w:spacing w:line="560" w:lineRule="exact"/>
        <w:ind w:firstLine="629"/>
        <w:rPr>
          <w:rFonts w:ascii="仿宋_GB2312" w:eastAsia="仿宋_GB2312" w:cs="仿宋_GB2312"/>
          <w:color w:val="000000"/>
          <w:sz w:val="32"/>
          <w:szCs w:val="32"/>
          <w:u w:val="single"/>
        </w:rPr>
      </w:pPr>
      <w:r>
        <w:rPr>
          <w:rFonts w:ascii="仿宋_GB2312" w:eastAsia="仿宋_GB2312" w:cs="仿宋_GB2312"/>
          <w:b/>
          <w:color w:val="000000"/>
          <w:sz w:val="32"/>
          <w:szCs w:val="32"/>
        </w:rPr>
        <w:t>1.因公出国（境）费支出</w:t>
      </w:r>
      <w:r>
        <w:rPr>
          <w:rFonts w:hint="eastAsia" w:ascii="仿宋_GB2312" w:eastAsia="仿宋_GB2312" w:cs="仿宋_GB2312"/>
          <w:b/>
          <w:color w:val="000000"/>
          <w:sz w:val="32"/>
          <w:szCs w:val="32"/>
          <w:lang w:val="en-US" w:eastAsia="zh-CN"/>
        </w:rPr>
        <w:t>0</w:t>
      </w:r>
      <w:r>
        <w:rPr>
          <w:rFonts w:ascii="仿宋_GB2312" w:eastAsia="仿宋_GB2312" w:cs="仿宋_GB2312"/>
          <w:color w:val="000000"/>
          <w:sz w:val="32"/>
          <w:szCs w:val="32"/>
        </w:rPr>
        <w:t>万元，与202</w:t>
      </w:r>
      <w:r>
        <w:rPr>
          <w:rFonts w:hint="eastAsia" w:ascii="仿宋_GB2312" w:eastAsia="仿宋_GB2312" w:cs="仿宋_GB2312"/>
          <w:color w:val="000000"/>
          <w:sz w:val="32"/>
          <w:szCs w:val="32"/>
          <w:lang w:val="en-US" w:eastAsia="zh-CN"/>
        </w:rPr>
        <w:t>4</w:t>
      </w:r>
      <w:r>
        <w:rPr>
          <w:rFonts w:ascii="仿宋_GB2312" w:eastAsia="仿宋_GB2312" w:cs="仿宋_GB2312"/>
          <w:color w:val="000000"/>
          <w:sz w:val="32"/>
          <w:szCs w:val="32"/>
        </w:rPr>
        <w:t>年度预算相</w:t>
      </w:r>
      <w:r>
        <w:rPr>
          <w:rFonts w:hint="eastAsia" w:ascii="仿宋_GB2312" w:eastAsia="仿宋_GB2312" w:cs="仿宋_GB2312"/>
          <w:color w:val="000000"/>
          <w:sz w:val="32"/>
          <w:szCs w:val="32"/>
          <w:lang w:val="en-US" w:eastAsia="zh-CN"/>
        </w:rPr>
        <w:t>同</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年淮南市</w:t>
      </w:r>
      <w:r>
        <w:rPr>
          <w:rFonts w:hint="eastAsia" w:ascii="仿宋_GB2312" w:eastAsia="仿宋_GB2312" w:cs="仿宋_GB2312"/>
          <w:color w:val="000000"/>
          <w:sz w:val="32"/>
          <w:szCs w:val="32"/>
          <w:lang w:val="en-US" w:eastAsia="zh-CN"/>
        </w:rPr>
        <w:t>标准化研究院</w:t>
      </w:r>
      <w:r>
        <w:rPr>
          <w:rFonts w:ascii="仿宋_GB2312" w:eastAsia="仿宋_GB2312" w:cs="仿宋_GB2312"/>
          <w:color w:val="000000"/>
          <w:sz w:val="32"/>
          <w:szCs w:val="32"/>
        </w:rPr>
        <w:t>因公出国（境）团组</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次，累计出国（境）</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人次。</w:t>
      </w:r>
    </w:p>
    <w:p>
      <w:pPr>
        <w:ind w:firstLine="643" w:firstLineChars="200"/>
        <w:rPr>
          <w:rFonts w:hint="eastAsia" w:ascii="仿宋_GB2312" w:hAnsi="仿宋"/>
          <w:sz w:val="32"/>
        </w:rPr>
      </w:pPr>
      <w:r>
        <w:rPr>
          <w:rFonts w:ascii="仿宋_GB2312" w:eastAsia="仿宋_GB2312" w:cs="仿宋_GB2312"/>
          <w:b/>
          <w:color w:val="000000"/>
          <w:sz w:val="32"/>
          <w:szCs w:val="32"/>
        </w:rPr>
        <w:t>2.公务接待费支出</w:t>
      </w:r>
      <w:r>
        <w:rPr>
          <w:rFonts w:hint="eastAsia" w:ascii="仿宋_GB2312" w:eastAsia="仿宋_GB2312" w:cs="仿宋_GB2312"/>
          <w:color w:val="000000"/>
          <w:sz w:val="32"/>
          <w:szCs w:val="32"/>
          <w:lang w:val="en-US" w:eastAsia="zh-CN"/>
        </w:rPr>
        <w:t>0.04</w:t>
      </w:r>
      <w:r>
        <w:rPr>
          <w:rFonts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年淮南市</w:t>
      </w:r>
      <w:r>
        <w:rPr>
          <w:rFonts w:hint="eastAsia" w:ascii="仿宋_GB2312" w:eastAsia="仿宋_GB2312" w:cs="仿宋_GB2312"/>
          <w:color w:val="000000"/>
          <w:sz w:val="32"/>
          <w:szCs w:val="32"/>
          <w:lang w:val="en-US" w:eastAsia="zh-CN"/>
        </w:rPr>
        <w:t>标准化研究院</w:t>
      </w:r>
      <w:r>
        <w:rPr>
          <w:rFonts w:ascii="仿宋_GB2312" w:eastAsia="仿宋_GB2312" w:cs="仿宋_GB2312"/>
          <w:color w:val="000000"/>
          <w:sz w:val="32"/>
          <w:szCs w:val="32"/>
        </w:rPr>
        <w:t>国内公务接待共</w:t>
      </w:r>
      <w:r>
        <w:rPr>
          <w:rFonts w:hint="eastAsia" w:ascii="仿宋_GB2312" w:eastAsia="仿宋_GB2312" w:cs="仿宋_GB2312"/>
          <w:color w:val="000000"/>
          <w:sz w:val="32"/>
          <w:szCs w:val="32"/>
          <w:lang w:val="en-US" w:eastAsia="zh-CN"/>
        </w:rPr>
        <w:t>1</w:t>
      </w:r>
      <w:r>
        <w:rPr>
          <w:rFonts w:ascii="仿宋_GB2312" w:eastAsia="仿宋_GB2312" w:cs="仿宋_GB2312"/>
          <w:color w:val="000000"/>
          <w:sz w:val="32"/>
          <w:szCs w:val="32"/>
        </w:rPr>
        <w:t>批次（其中外事接待</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批次），</w:t>
      </w:r>
      <w:r>
        <w:rPr>
          <w:rFonts w:hint="eastAsia" w:ascii="仿宋_GB2312" w:eastAsia="仿宋_GB2312" w:cs="仿宋_GB2312"/>
          <w:color w:val="000000"/>
          <w:sz w:val="32"/>
          <w:szCs w:val="32"/>
          <w:lang w:val="en-US" w:eastAsia="zh-CN"/>
        </w:rPr>
        <w:t>2</w:t>
      </w:r>
      <w:r>
        <w:rPr>
          <w:rFonts w:ascii="仿宋_GB2312" w:eastAsia="仿宋_GB2312" w:cs="仿宋_GB2312"/>
          <w:color w:val="000000"/>
          <w:sz w:val="32"/>
          <w:szCs w:val="32"/>
        </w:rPr>
        <w:t>人次（其中外事接待</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人次）。</w:t>
      </w:r>
      <w:r>
        <w:rPr>
          <w:rFonts w:hint="eastAsia" w:ascii="仿宋_GB2312" w:hAnsi="仿宋_GB2312" w:eastAsia="仿宋_GB2312" w:cs="仿宋_GB2312"/>
          <w:sz w:val="32"/>
        </w:rPr>
        <w:t>经费使用深入贯彻中央八项规定精神，严格执行《党政机关厉行节约反对浪费条例》、《淮南市党政机关国内公务接待管理办法》(淮办发[2024]22</w:t>
      </w:r>
      <w:r>
        <w:rPr>
          <w:rFonts w:hint="eastAsia" w:ascii="仿宋_GB2312" w:hAnsi="仿宋"/>
          <w:sz w:val="32"/>
        </w:rPr>
        <w:t>号)等相关规定。</w:t>
      </w:r>
      <w:bookmarkStart w:id="0" w:name="_GoBack"/>
      <w:bookmarkEnd w:id="0"/>
    </w:p>
    <w:p>
      <w:pPr>
        <w:pStyle w:val="6"/>
        <w:widowControl/>
        <w:ind w:firstLine="640"/>
        <w:rPr>
          <w:rFonts w:ascii="仿宋_GB2312" w:eastAsia="仿宋_GB2312" w:cs="仿宋_GB2312"/>
          <w:color w:val="000000"/>
          <w:sz w:val="32"/>
          <w:szCs w:val="32"/>
        </w:rPr>
      </w:pPr>
      <w:r>
        <w:rPr>
          <w:rFonts w:ascii="仿宋_GB2312" w:eastAsia="仿宋_GB2312" w:cs="仿宋_GB2312"/>
          <w:b/>
          <w:color w:val="000000"/>
          <w:sz w:val="32"/>
          <w:szCs w:val="32"/>
        </w:rPr>
        <w:t>3.公务用车购置及运行维护费支出</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万元，与202</w:t>
      </w:r>
      <w:r>
        <w:rPr>
          <w:rFonts w:hint="eastAsia" w:ascii="仿宋_GB2312" w:eastAsia="仿宋_GB2312" w:cs="仿宋_GB2312"/>
          <w:color w:val="000000"/>
          <w:sz w:val="32"/>
          <w:szCs w:val="32"/>
          <w:lang w:val="en-US" w:eastAsia="zh-CN"/>
        </w:rPr>
        <w:t>4</w:t>
      </w:r>
      <w:r>
        <w:rPr>
          <w:rFonts w:ascii="仿宋_GB2312" w:eastAsia="仿宋_GB2312" w:cs="仿宋_GB2312"/>
          <w:color w:val="000000"/>
          <w:sz w:val="32"/>
          <w:szCs w:val="32"/>
        </w:rPr>
        <w:t>年度预算相</w:t>
      </w:r>
      <w:r>
        <w:rPr>
          <w:rFonts w:hint="eastAsia" w:ascii="仿宋_GB2312" w:eastAsia="仿宋_GB2312" w:cs="仿宋_GB2312"/>
          <w:color w:val="000000"/>
          <w:sz w:val="32"/>
          <w:szCs w:val="32"/>
          <w:lang w:val="en-US" w:eastAsia="zh-CN"/>
        </w:rPr>
        <w:t>同</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年没有安排公务用车购置费</w:t>
      </w:r>
      <w:r>
        <w:rPr>
          <w:rFonts w:ascii="楷体_GB2312" w:eastAsia="楷体_GB2312" w:cs="楷体_GB2312"/>
          <w:color w:val="000000"/>
          <w:sz w:val="32"/>
          <w:szCs w:val="32"/>
        </w:rPr>
        <w:t>。</w:t>
      </w:r>
      <w:r>
        <w:rPr>
          <w:rFonts w:ascii="仿宋_GB2312" w:eastAsia="仿宋_GB2312" w:cs="仿宋_GB2312"/>
          <w:color w:val="000000"/>
          <w:sz w:val="32"/>
          <w:szCs w:val="32"/>
        </w:rPr>
        <w:t>公务用车运行维护费</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万元，与202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年度预算相</w:t>
      </w:r>
      <w:r>
        <w:rPr>
          <w:rFonts w:hint="eastAsia" w:ascii="仿宋_GB2312" w:eastAsia="仿宋_GB2312" w:cs="仿宋_GB2312"/>
          <w:color w:val="000000"/>
          <w:sz w:val="32"/>
          <w:szCs w:val="32"/>
          <w:lang w:val="en-US" w:eastAsia="zh-CN"/>
        </w:rPr>
        <w:t>同</w:t>
      </w:r>
      <w:r>
        <w:rPr>
          <w:rFonts w:ascii="仿宋_GB2312" w:eastAsia="仿宋_GB2312" w:cs="仿宋_GB2312"/>
          <w:color w:val="000000"/>
          <w:sz w:val="32"/>
          <w:szCs w:val="32"/>
        </w:rPr>
        <w:t>。截至202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年12月31日，淮南市</w:t>
      </w:r>
      <w:r>
        <w:rPr>
          <w:rFonts w:hint="eastAsia" w:ascii="仿宋_GB2312" w:eastAsia="仿宋_GB2312" w:cs="仿宋_GB2312"/>
          <w:color w:val="000000"/>
          <w:sz w:val="32"/>
          <w:szCs w:val="32"/>
          <w:lang w:val="en-US" w:eastAsia="zh-CN"/>
        </w:rPr>
        <w:t>标准化研究院</w:t>
      </w:r>
      <w:r>
        <w:rPr>
          <w:rFonts w:ascii="仿宋_GB2312" w:eastAsia="仿宋_GB2312" w:cs="仿宋_GB2312"/>
          <w:color w:val="000000"/>
          <w:sz w:val="32"/>
          <w:szCs w:val="32"/>
        </w:rPr>
        <w:t>财政拨款的公务用车保有量为</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辆。</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4OTE1NzM5NDRlNDA4MmRiMmNlNDk0OWEyODcwMTMifQ=="/>
  </w:docVars>
  <w:rsids>
    <w:rsidRoot w:val="00172A27"/>
    <w:rsid w:val="00F662B4"/>
    <w:rsid w:val="00F721C7"/>
    <w:rsid w:val="022F453C"/>
    <w:rsid w:val="02A36C44"/>
    <w:rsid w:val="02BF4B48"/>
    <w:rsid w:val="032B7DBE"/>
    <w:rsid w:val="03367AB9"/>
    <w:rsid w:val="04FB5798"/>
    <w:rsid w:val="058B78C7"/>
    <w:rsid w:val="06A031C6"/>
    <w:rsid w:val="06D07A93"/>
    <w:rsid w:val="06D55CA3"/>
    <w:rsid w:val="08D328FF"/>
    <w:rsid w:val="0A2A7C4B"/>
    <w:rsid w:val="0B6E0FBC"/>
    <w:rsid w:val="0B8B44A5"/>
    <w:rsid w:val="0BBD02A0"/>
    <w:rsid w:val="107B4811"/>
    <w:rsid w:val="10DD305B"/>
    <w:rsid w:val="11810296"/>
    <w:rsid w:val="11845F8F"/>
    <w:rsid w:val="121D5D9C"/>
    <w:rsid w:val="12A838F2"/>
    <w:rsid w:val="199944A6"/>
    <w:rsid w:val="1A94072A"/>
    <w:rsid w:val="1AC32FCC"/>
    <w:rsid w:val="1C6031F0"/>
    <w:rsid w:val="1D0E26DA"/>
    <w:rsid w:val="1D750D6D"/>
    <w:rsid w:val="1D8F75E5"/>
    <w:rsid w:val="1E2A698B"/>
    <w:rsid w:val="1F064158"/>
    <w:rsid w:val="1FA15F09"/>
    <w:rsid w:val="1FB97650"/>
    <w:rsid w:val="20114BC3"/>
    <w:rsid w:val="20F27E48"/>
    <w:rsid w:val="216915AF"/>
    <w:rsid w:val="222945BF"/>
    <w:rsid w:val="22A41859"/>
    <w:rsid w:val="22F42D0B"/>
    <w:rsid w:val="23281FE4"/>
    <w:rsid w:val="24C201B0"/>
    <w:rsid w:val="250E34BB"/>
    <w:rsid w:val="25317ED7"/>
    <w:rsid w:val="27415BB9"/>
    <w:rsid w:val="286D1BC9"/>
    <w:rsid w:val="29190D58"/>
    <w:rsid w:val="2966056A"/>
    <w:rsid w:val="29F014FA"/>
    <w:rsid w:val="2A714F5B"/>
    <w:rsid w:val="2B2D0A06"/>
    <w:rsid w:val="2BAC640D"/>
    <w:rsid w:val="2BCC17AD"/>
    <w:rsid w:val="2C037CA7"/>
    <w:rsid w:val="2C455110"/>
    <w:rsid w:val="2CA430E9"/>
    <w:rsid w:val="2E141C74"/>
    <w:rsid w:val="2EB12CD1"/>
    <w:rsid w:val="304007AD"/>
    <w:rsid w:val="304E595E"/>
    <w:rsid w:val="312D39B1"/>
    <w:rsid w:val="328D4BAF"/>
    <w:rsid w:val="32965BC7"/>
    <w:rsid w:val="33B762A7"/>
    <w:rsid w:val="361C71D7"/>
    <w:rsid w:val="364B798D"/>
    <w:rsid w:val="36930E6B"/>
    <w:rsid w:val="36A74148"/>
    <w:rsid w:val="36EB413B"/>
    <w:rsid w:val="37950317"/>
    <w:rsid w:val="38ED0E0E"/>
    <w:rsid w:val="39537A67"/>
    <w:rsid w:val="39680459"/>
    <w:rsid w:val="3A835F7F"/>
    <w:rsid w:val="3B1C2F00"/>
    <w:rsid w:val="3B8777AD"/>
    <w:rsid w:val="3B8A326B"/>
    <w:rsid w:val="3BBE24FA"/>
    <w:rsid w:val="3C7014EF"/>
    <w:rsid w:val="3E233734"/>
    <w:rsid w:val="3E8C3715"/>
    <w:rsid w:val="3F2033DB"/>
    <w:rsid w:val="40B74791"/>
    <w:rsid w:val="41811A57"/>
    <w:rsid w:val="426A7DC2"/>
    <w:rsid w:val="43246D7A"/>
    <w:rsid w:val="43821934"/>
    <w:rsid w:val="439264C9"/>
    <w:rsid w:val="43B76550"/>
    <w:rsid w:val="440B2217"/>
    <w:rsid w:val="45BB6396"/>
    <w:rsid w:val="46CA768B"/>
    <w:rsid w:val="47985097"/>
    <w:rsid w:val="48642545"/>
    <w:rsid w:val="494943B0"/>
    <w:rsid w:val="49540B73"/>
    <w:rsid w:val="4A4904E7"/>
    <w:rsid w:val="4A4910F6"/>
    <w:rsid w:val="4A7550DA"/>
    <w:rsid w:val="4AC92CE3"/>
    <w:rsid w:val="4B743CDC"/>
    <w:rsid w:val="4B9B4EFF"/>
    <w:rsid w:val="4C027AA9"/>
    <w:rsid w:val="4C3D2126"/>
    <w:rsid w:val="4C661322"/>
    <w:rsid w:val="4C7D0B46"/>
    <w:rsid w:val="4CBC10D4"/>
    <w:rsid w:val="4D005D12"/>
    <w:rsid w:val="4D4D4D61"/>
    <w:rsid w:val="4D605D48"/>
    <w:rsid w:val="4DE20393"/>
    <w:rsid w:val="4E55231E"/>
    <w:rsid w:val="4EF0642F"/>
    <w:rsid w:val="4F137F98"/>
    <w:rsid w:val="504528E6"/>
    <w:rsid w:val="52067D1E"/>
    <w:rsid w:val="5428589E"/>
    <w:rsid w:val="544A4E71"/>
    <w:rsid w:val="552573EA"/>
    <w:rsid w:val="55782002"/>
    <w:rsid w:val="565A1E86"/>
    <w:rsid w:val="56B51A06"/>
    <w:rsid w:val="587230A4"/>
    <w:rsid w:val="587B0F84"/>
    <w:rsid w:val="59CA7457"/>
    <w:rsid w:val="5AA32406"/>
    <w:rsid w:val="5BDA62AE"/>
    <w:rsid w:val="5C001E00"/>
    <w:rsid w:val="5C1A3A0D"/>
    <w:rsid w:val="5C334CC1"/>
    <w:rsid w:val="5C3C57B8"/>
    <w:rsid w:val="5C9E19E3"/>
    <w:rsid w:val="5DCE2F0E"/>
    <w:rsid w:val="5E243986"/>
    <w:rsid w:val="5F935BF5"/>
    <w:rsid w:val="5FA07D9D"/>
    <w:rsid w:val="5FA650F9"/>
    <w:rsid w:val="5FFF5CB2"/>
    <w:rsid w:val="6013365A"/>
    <w:rsid w:val="602901A2"/>
    <w:rsid w:val="62A9735A"/>
    <w:rsid w:val="64020A73"/>
    <w:rsid w:val="644D5715"/>
    <w:rsid w:val="647A1A1F"/>
    <w:rsid w:val="655D1C9D"/>
    <w:rsid w:val="65681D53"/>
    <w:rsid w:val="66D70628"/>
    <w:rsid w:val="680D5484"/>
    <w:rsid w:val="688F15F9"/>
    <w:rsid w:val="69222455"/>
    <w:rsid w:val="69DB0E00"/>
    <w:rsid w:val="6A54009E"/>
    <w:rsid w:val="6A681B7A"/>
    <w:rsid w:val="6AF76CD1"/>
    <w:rsid w:val="6B6A09A7"/>
    <w:rsid w:val="6CA20D26"/>
    <w:rsid w:val="6D4E47BC"/>
    <w:rsid w:val="6D547ADD"/>
    <w:rsid w:val="6E3D5FC5"/>
    <w:rsid w:val="6E9D1224"/>
    <w:rsid w:val="6F006772"/>
    <w:rsid w:val="6F083E88"/>
    <w:rsid w:val="6F291C0E"/>
    <w:rsid w:val="6F4E0F81"/>
    <w:rsid w:val="6FE8711A"/>
    <w:rsid w:val="70F01D72"/>
    <w:rsid w:val="71A21531"/>
    <w:rsid w:val="73616651"/>
    <w:rsid w:val="739C5EEF"/>
    <w:rsid w:val="75424177"/>
    <w:rsid w:val="75DF5514"/>
    <w:rsid w:val="76E553EE"/>
    <w:rsid w:val="786B6102"/>
    <w:rsid w:val="78936F5B"/>
    <w:rsid w:val="7904253C"/>
    <w:rsid w:val="7B7C5866"/>
    <w:rsid w:val="7BF24DDB"/>
    <w:rsid w:val="7CA57426"/>
    <w:rsid w:val="7CBC537C"/>
    <w:rsid w:val="7D6C5578"/>
    <w:rsid w:val="7E507DDC"/>
    <w:rsid w:val="7E567320"/>
    <w:rsid w:val="7F384DE7"/>
    <w:rsid w:val="EAD6B3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10"/>
    <w:basedOn w:val="3"/>
    <w:qFormat/>
    <w:uiPriority w:val="0"/>
    <w:rPr>
      <w:rFonts w:hint="default" w:ascii="Times New Roman" w:hAnsi="Times New Roman" w:cs="Times New Roman"/>
    </w:rPr>
  </w:style>
  <w:style w:type="character" w:customStyle="1" w:styleId="5">
    <w:name w:val="15"/>
    <w:basedOn w:val="3"/>
    <w:qFormat/>
    <w:uiPriority w:val="0"/>
    <w:rPr>
      <w:rFonts w:hint="default" w:ascii="Times New Roman" w:hAnsi="Times New Roman" w:cs="Times New Roman"/>
    </w:rPr>
  </w:style>
  <w:style w:type="paragraph" w:customStyle="1" w:styleId="6">
    <w:name w:val="p0"/>
    <w:basedOn w:val="1"/>
    <w:qFormat/>
    <w:uiPriority w:val="0"/>
    <w:pPr>
      <w:spacing w:before="0" w:beforeAutospacing="0" w:after="0" w:afterAutospacing="0"/>
      <w:ind w:left="0" w:right="0"/>
      <w:jc w:val="both"/>
    </w:pPr>
    <w:rPr>
      <w:rFonts w:hint="default" w:ascii="Calibri" w:hAnsi="Calibri" w:cs="Calibri"/>
      <w:kern w:val="0"/>
      <w:sz w:val="21"/>
      <w:szCs w:val="21"/>
      <w:lang w:val="en-US" w:eastAsia="zh-CN" w:bidi="ar"/>
    </w:rPr>
  </w:style>
  <w:style w:type="paragraph" w:customStyle="1" w:styleId="7">
    <w:name w:val="p16"/>
    <w:basedOn w:val="1"/>
    <w:qFormat/>
    <w:uiPriority w:val="0"/>
    <w:pPr>
      <w:spacing w:before="100" w:beforeAutospacing="0" w:after="100" w:afterAutospacing="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744</Words>
  <Characters>795</Characters>
  <Lines>1</Lines>
  <Paragraphs>1</Paragraphs>
  <TotalTime>0</TotalTime>
  <ScaleCrop>false</ScaleCrop>
  <LinksUpToDate>false</LinksUpToDate>
  <CharactersWithSpaces>863</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2022-07-25T15:13:00Z</dcterms:created>
  <dc:creator>Administrator</dc:creator>
  <cp:lastModifiedBy>DAI</cp:lastModifiedBy>
  <dcterms:modified xsi:type="dcterms:W3CDTF">2026-08-06T07:33:11Z</dcterms:modified>
  <dc:title>淮南市XX单位2022年度单位决算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A0C822042402468881AF5D4E042C7DE4_13</vt:lpwstr>
  </property>
  <property fmtid="{D5CDD505-2E9C-101B-9397-08002B2CF9AE}" pid="4" name="KSOTemplateDocerSaveRecord">
    <vt:lpwstr>eyJoZGlkIjoiYTM2MjJlN2ZkZmMzOTA1NTI5YjNjZmE5NDNlMDc2NzYiLCJ1c2VySWQiOiI5NTQzNzAzODgifQ==</vt:lpwstr>
  </property>
</Properties>
</file>