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淮南市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CN"/>
        </w:rPr>
        <w:t>市场监管局（本级）</w:t>
      </w:r>
      <w:r>
        <w:rPr>
          <w:rFonts w:hint="eastAsia" w:ascii="宋体" w:hAnsi="宋体"/>
          <w:b/>
          <w:sz w:val="36"/>
          <w:szCs w:val="36"/>
          <w:lang w:eastAsia="zh-CN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5</w:t>
      </w:r>
      <w:r>
        <w:rPr>
          <w:rFonts w:ascii="宋体" w:hAnsi="宋体"/>
          <w:b/>
          <w:sz w:val="36"/>
          <w:szCs w:val="36"/>
        </w:rPr>
        <w:t>年</w:t>
      </w:r>
      <w:r>
        <w:rPr>
          <w:rFonts w:hint="eastAsia" w:ascii="宋体" w:hAnsi="宋体"/>
          <w:b/>
          <w:sz w:val="36"/>
          <w:szCs w:val="36"/>
        </w:rPr>
        <w:t>度一般公共预算财政拨款</w:t>
      </w:r>
      <w:r>
        <w:rPr>
          <w:rFonts w:ascii="宋体" w:hAnsi="宋体"/>
          <w:b/>
          <w:sz w:val="36"/>
          <w:szCs w:val="36"/>
        </w:rPr>
        <w:t>“三公</w:t>
      </w:r>
      <w:r>
        <w:rPr>
          <w:rFonts w:hint="eastAsia" w:ascii="宋体" w:hAnsi="宋体"/>
          <w:b/>
          <w:sz w:val="36"/>
          <w:szCs w:val="36"/>
        </w:rPr>
        <w:t>”</w:t>
      </w:r>
      <w:r>
        <w:rPr>
          <w:rFonts w:ascii="宋体" w:hAnsi="宋体"/>
          <w:b/>
          <w:sz w:val="36"/>
          <w:szCs w:val="36"/>
        </w:rPr>
        <w:t>经费</w:t>
      </w:r>
      <w:r>
        <w:rPr>
          <w:rFonts w:hint="eastAsia" w:ascii="宋体" w:hAnsi="宋体"/>
          <w:b/>
          <w:sz w:val="36"/>
          <w:szCs w:val="36"/>
        </w:rPr>
        <w:t>支出决算</w:t>
      </w:r>
    </w:p>
    <w:p>
      <w:pPr>
        <w:jc w:val="center"/>
        <w:rPr>
          <w:rFonts w:hint="eastAsia" w:ascii="楷体_GB2312" w:eastAsia="楷体_GB2312"/>
          <w:szCs w:val="32"/>
        </w:rPr>
      </w:pPr>
    </w:p>
    <w:p>
      <w:pPr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Cs w:val="32"/>
        </w:rPr>
        <w:t>一、</w:t>
      </w:r>
      <w:r>
        <w:rPr>
          <w:rFonts w:hint="eastAsia" w:ascii="黑体" w:hAnsi="黑体" w:eastAsia="黑体"/>
          <w:szCs w:val="32"/>
          <w:lang w:eastAsia="zh-CN"/>
        </w:rPr>
        <w:t>202</w:t>
      </w:r>
      <w:r>
        <w:rPr>
          <w:rFonts w:hint="eastAsia" w:ascii="黑体" w:hAnsi="黑体" w:eastAsia="黑体"/>
          <w:szCs w:val="32"/>
          <w:lang w:val="en-US" w:eastAsia="zh-CN"/>
        </w:rPr>
        <w:t>5</w:t>
      </w:r>
      <w:r>
        <w:rPr>
          <w:rFonts w:hint="eastAsia" w:ascii="黑体" w:hAnsi="黑体" w:eastAsia="黑体"/>
          <w:szCs w:val="32"/>
        </w:rPr>
        <w:t>年度一般公共预算财政拨款“三公”经费支出决算表</w:t>
      </w:r>
    </w:p>
    <w:p>
      <w:pPr>
        <w:rPr>
          <w:rFonts w:hint="eastAsia"/>
        </w:rPr>
      </w:pPr>
      <w:r>
        <w:drawing>
          <wp:inline distT="0" distB="0" distL="114300" distR="114300">
            <wp:extent cx="5576570" cy="1994535"/>
            <wp:effectExtent l="0" t="0" r="12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 xml:space="preserve">    </w:t>
      </w:r>
      <w:r>
        <w:rPr>
          <w:rFonts w:hint="eastAsia" w:ascii="黑体" w:hAnsi="黑体" w:eastAsia="黑体"/>
          <w:szCs w:val="32"/>
        </w:rPr>
        <w:t>二</w:t>
      </w:r>
      <w:r>
        <w:rPr>
          <w:rFonts w:ascii="黑体" w:hAnsi="黑体" w:eastAsia="黑体"/>
          <w:szCs w:val="32"/>
        </w:rPr>
        <w:t>、</w:t>
      </w:r>
      <w:r>
        <w:rPr>
          <w:rFonts w:hint="eastAsia" w:ascii="黑体" w:hAnsi="黑体" w:eastAsia="黑体"/>
          <w:szCs w:val="32"/>
          <w:lang w:eastAsia="zh-CN"/>
        </w:rPr>
        <w:t>202</w:t>
      </w:r>
      <w:r>
        <w:rPr>
          <w:rFonts w:hint="eastAsia" w:ascii="黑体" w:hAnsi="黑体" w:eastAsia="黑体"/>
          <w:szCs w:val="32"/>
          <w:lang w:val="en-US" w:eastAsia="zh-CN"/>
        </w:rPr>
        <w:t>5</w:t>
      </w:r>
      <w:r>
        <w:rPr>
          <w:rFonts w:ascii="黑体" w:hAnsi="黑体" w:eastAsia="黑体"/>
          <w:szCs w:val="32"/>
        </w:rPr>
        <w:t>年</w:t>
      </w:r>
      <w:r>
        <w:rPr>
          <w:rFonts w:hint="eastAsia" w:ascii="黑体" w:hAnsi="黑体" w:eastAsia="黑体"/>
          <w:szCs w:val="32"/>
        </w:rPr>
        <w:t>度一般公共预算财政拨款“三公”经费支出</w:t>
      </w:r>
      <w:r>
        <w:rPr>
          <w:rFonts w:ascii="黑体" w:hAnsi="黑体" w:eastAsia="黑体"/>
          <w:szCs w:val="32"/>
        </w:rPr>
        <w:t>情况说明</w:t>
      </w:r>
    </w:p>
    <w:p>
      <w:pPr>
        <w:ind w:firstLine="628" w:firstLineChars="200"/>
        <w:rPr>
          <w:rFonts w:hint="eastAsia" w:ascii="仿宋_GB2312" w:hAnsi="仿宋"/>
          <w:b/>
          <w:szCs w:val="32"/>
        </w:rPr>
      </w:pPr>
      <w:r>
        <w:rPr>
          <w:rFonts w:hint="eastAsia" w:ascii="仿宋_GB2312" w:hAnsi="仿宋"/>
          <w:b/>
          <w:szCs w:val="32"/>
        </w:rPr>
        <w:t>（一）一般公共预算财政拨款“三公”经费支出决算总体情况说明。</w:t>
      </w:r>
    </w:p>
    <w:p>
      <w:pPr>
        <w:pStyle w:val="7"/>
        <w:adjustRightInd w:val="0"/>
        <w:snapToGrid w:val="0"/>
        <w:spacing w:line="560" w:lineRule="exact"/>
        <w:ind w:firstLine="640"/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淮南市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市场监管局（本级）202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年度一般公共预算财政拨款“三公”经费支出预算为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69.7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万元，支出决算为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67.88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万元，完成预算的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97.39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%，较上年</w:t>
      </w:r>
      <w:r>
        <w:rPr>
          <w:rFonts w:hint="eastAsia" w:ascii="仿宋_GB2312" w:cs="仿宋_GB2312"/>
          <w:color w:val="000000"/>
          <w:sz w:val="32"/>
          <w:szCs w:val="32"/>
          <w:lang w:eastAsia="zh-CN"/>
        </w:rPr>
        <w:t>减少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16.77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万元，</w:t>
      </w:r>
      <w:r>
        <w:rPr>
          <w:rFonts w:hint="eastAsia" w:ascii="仿宋_GB2312" w:cs="仿宋_GB2312"/>
          <w:color w:val="000000"/>
          <w:sz w:val="32"/>
          <w:szCs w:val="32"/>
          <w:lang w:eastAsia="zh-CN"/>
        </w:rPr>
        <w:t>下降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19.81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%。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决算数较上年</w:t>
      </w:r>
      <w:r>
        <w:rPr>
          <w:rFonts w:hint="eastAsia" w:ascii="仿宋_GB2312" w:cs="仿宋_GB2312"/>
          <w:color w:val="000000"/>
          <w:sz w:val="32"/>
          <w:szCs w:val="32"/>
          <w:lang w:eastAsia="zh-CN"/>
        </w:rPr>
        <w:t>减少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主要原因是</w:t>
      </w:r>
      <w:r>
        <w:rPr>
          <w:rFonts w:hint="eastAsia" w:ascii="仿宋_GB2312" w:cs="仿宋_GB2312"/>
          <w:color w:val="auto"/>
          <w:sz w:val="32"/>
          <w:szCs w:val="32"/>
          <w:lang w:val="en-US" w:eastAsia="zh-CN"/>
        </w:rPr>
        <w:t>2025年公务用车购置费减少10.74万，当年没有追加的因公出国（境）费用5.99万元，公务接待费减少0.04万元，合计16.77万元。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为全面反映“三公”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经费支出，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本次公布的“三公”经费决算为单位本级。</w:t>
      </w:r>
    </w:p>
    <w:p>
      <w:pPr>
        <w:ind w:firstLine="628" w:firstLineChars="200"/>
        <w:rPr>
          <w:rFonts w:hint="eastAsia" w:ascii="仿宋_GB2312" w:hAnsi="仿宋"/>
          <w:b/>
          <w:szCs w:val="32"/>
        </w:rPr>
      </w:pPr>
      <w:r>
        <w:rPr>
          <w:rFonts w:hint="eastAsia" w:ascii="仿宋_GB2312" w:hAnsi="仿宋"/>
          <w:b/>
          <w:bCs/>
          <w:szCs w:val="32"/>
        </w:rPr>
        <w:t>（二）</w:t>
      </w:r>
      <w:r>
        <w:rPr>
          <w:rFonts w:hint="eastAsia" w:ascii="仿宋_GB2312" w:hAnsi="仿宋"/>
          <w:b/>
          <w:szCs w:val="32"/>
        </w:rPr>
        <w:t>一般公共预算财政拨款“三公”经费支出决算具体情况说明。</w:t>
      </w:r>
    </w:p>
    <w:p>
      <w:pPr>
        <w:pStyle w:val="7"/>
        <w:adjustRightInd w:val="0"/>
        <w:snapToGrid w:val="0"/>
        <w:spacing w:line="560" w:lineRule="exact"/>
        <w:ind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淮南市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市场监管局（本级）</w:t>
      </w:r>
      <w:r>
        <w:rPr>
          <w:rFonts w:asci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ascii="仿宋_GB2312" w:eastAsia="仿宋_GB2312" w:cs="仿宋_GB2312"/>
          <w:color w:val="000000"/>
          <w:sz w:val="32"/>
          <w:szCs w:val="32"/>
        </w:rPr>
        <w:t>年度一般公共预算财政拨款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</w:t>
      </w:r>
      <w:r>
        <w:rPr>
          <w:rFonts w:ascii="仿宋_GB2312" w:eastAsia="仿宋_GB2312" w:cs="仿宋_GB2312"/>
          <w:color w:val="000000"/>
          <w:sz w:val="32"/>
          <w:szCs w:val="32"/>
        </w:rPr>
        <w:t>三公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</w:t>
      </w:r>
      <w:r>
        <w:rPr>
          <w:rFonts w:ascii="仿宋_GB2312" w:eastAsia="仿宋_GB2312" w:cs="仿宋_GB2312"/>
          <w:color w:val="000000"/>
          <w:sz w:val="32"/>
          <w:szCs w:val="32"/>
        </w:rPr>
        <w:t>经费支出决算中，公务接待费支出决算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8.6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/>
          <w:color w:val="000000"/>
          <w:sz w:val="32"/>
          <w:szCs w:val="32"/>
        </w:rPr>
        <w:t>万元，占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12.7</w:t>
      </w:r>
      <w:r>
        <w:rPr>
          <w:rFonts w:ascii="仿宋_GB2312" w:eastAsia="仿宋_GB2312" w:cs="仿宋_GB2312"/>
          <w:color w:val="000000"/>
          <w:sz w:val="32"/>
          <w:szCs w:val="32"/>
        </w:rPr>
        <w:t>%；公务用车购置及运行维护费支出决算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70</w:t>
      </w:r>
      <w:r>
        <w:rPr>
          <w:rFonts w:ascii="仿宋_GB2312" w:eastAsia="仿宋_GB2312" w:cs="仿宋_GB2312"/>
          <w:color w:val="000000"/>
          <w:sz w:val="32"/>
          <w:szCs w:val="32"/>
        </w:rPr>
        <w:t>万元，占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87.3</w:t>
      </w:r>
      <w:r>
        <w:rPr>
          <w:rFonts w:ascii="仿宋_GB2312" w:eastAsia="仿宋_GB2312" w:cs="仿宋_GB2312"/>
          <w:color w:val="000000"/>
          <w:sz w:val="32"/>
          <w:szCs w:val="32"/>
        </w:rPr>
        <w:t>%。具体情况如下：</w:t>
      </w:r>
    </w:p>
    <w:p>
      <w:pPr>
        <w:numPr>
          <w:ilvl w:val="0"/>
          <w:numId w:val="1"/>
        </w:numPr>
        <w:ind w:firstLine="628" w:firstLineChars="200"/>
        <w:rPr>
          <w:rFonts w:hint="default" w:ascii="仿宋_GB2312" w:hAnsi="仿宋"/>
          <w:sz w:val="32"/>
          <w:lang w:val="en-US" w:eastAsia="zh-CN"/>
        </w:rPr>
      </w:pPr>
      <w:r>
        <w:rPr>
          <w:rFonts w:ascii="仿宋_GB2312" w:eastAsia="仿宋_GB2312" w:cs="仿宋_GB2312"/>
          <w:b/>
          <w:color w:val="000000"/>
          <w:sz w:val="32"/>
          <w:szCs w:val="32"/>
        </w:rPr>
        <w:t>公务接待费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预</w:t>
      </w:r>
      <w:r>
        <w:rPr>
          <w:rFonts w:hint="eastAsia" w:ascii="仿宋_GB2312" w:cs="仿宋_GB2312"/>
          <w:color w:val="000000"/>
          <w:sz w:val="32"/>
          <w:szCs w:val="32"/>
          <w:lang w:eastAsia="zh-CN"/>
        </w:rPr>
        <w:t>算为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8.70</w:t>
      </w:r>
      <w:r>
        <w:rPr>
          <w:rFonts w:ascii="仿宋_GB2312" w:eastAsia="仿宋_GB2312" w:cs="仿宋_GB2312"/>
          <w:color w:val="000000"/>
          <w:sz w:val="32"/>
          <w:szCs w:val="32"/>
        </w:rPr>
        <w:t>万元,</w:t>
      </w:r>
      <w:r>
        <w:rPr>
          <w:rFonts w:hint="eastAsia" w:ascii="仿宋_GB2312" w:cs="仿宋_GB2312"/>
          <w:color w:val="000000"/>
          <w:sz w:val="32"/>
          <w:szCs w:val="32"/>
          <w:lang w:eastAsia="zh-CN"/>
        </w:rPr>
        <w:t>支出决算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8.6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2万元，完成预算的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99.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%；</w:t>
      </w:r>
      <w:r>
        <w:rPr>
          <w:rFonts w:hint="eastAsia" w:ascii="仿宋_GB2312" w:cs="仿宋_GB2312"/>
          <w:color w:val="000000"/>
          <w:sz w:val="32"/>
          <w:szCs w:val="32"/>
          <w:lang w:eastAsia="zh-CN"/>
        </w:rPr>
        <w:t>与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2024年相比，基本持平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决算数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小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于预算数的主要原因是</w:t>
      </w:r>
      <w:r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  <w:t>深入贯彻中央八项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规定、《党政机关厉行节约反对浪费条例》及市委市政府有关具体要求，严格控制公务接待支出。</w:t>
      </w:r>
      <w:r>
        <w:rPr>
          <w:rFonts w:asci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ascii="仿宋_GB2312" w:eastAsia="仿宋_GB2312" w:cs="仿宋_GB2312"/>
          <w:color w:val="000000"/>
          <w:sz w:val="32"/>
          <w:szCs w:val="32"/>
        </w:rPr>
        <w:t>年淮南市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市场监管局</w:t>
      </w:r>
      <w:r>
        <w:rPr>
          <w:rFonts w:ascii="仿宋_GB2312" w:eastAsia="仿宋_GB2312" w:cs="仿宋_GB2312"/>
          <w:color w:val="000000"/>
          <w:sz w:val="32"/>
          <w:szCs w:val="32"/>
        </w:rPr>
        <w:t>国内公务接待共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113</w:t>
      </w:r>
      <w:r>
        <w:rPr>
          <w:rFonts w:ascii="仿宋_GB2312" w:eastAsia="仿宋_GB2312" w:cs="仿宋_GB2312"/>
          <w:color w:val="000000"/>
          <w:sz w:val="32"/>
          <w:szCs w:val="32"/>
        </w:rPr>
        <w:t>批次（其中外事接待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/>
          <w:color w:val="000000"/>
          <w:sz w:val="32"/>
          <w:szCs w:val="32"/>
        </w:rPr>
        <w:t>批次），</w:t>
      </w:r>
      <w:r>
        <w:rPr>
          <w:rFonts w:hint="eastAsia" w:ascii="仿宋_GB2312" w:cs="仿宋_GB2312"/>
          <w:color w:val="000000"/>
          <w:sz w:val="32"/>
          <w:szCs w:val="32"/>
          <w:lang w:val="en-US" w:eastAsia="zh-CN"/>
        </w:rPr>
        <w:t>903</w:t>
      </w:r>
      <w:r>
        <w:rPr>
          <w:rFonts w:ascii="仿宋_GB2312" w:eastAsia="仿宋_GB2312" w:cs="仿宋_GB2312"/>
          <w:color w:val="000000"/>
          <w:sz w:val="32"/>
          <w:szCs w:val="32"/>
        </w:rPr>
        <w:t>人次（其中外事接待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/>
          <w:color w:val="000000"/>
          <w:sz w:val="32"/>
          <w:szCs w:val="32"/>
        </w:rPr>
        <w:t>人次）。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主要用于接待上级、外市单位业务指导和工作调研等公务往来支出。</w:t>
      </w:r>
      <w:r>
        <w:rPr>
          <w:rFonts w:hint="eastAsia" w:ascii="仿宋_GB2312" w:hAnsi="仿宋"/>
          <w:sz w:val="32"/>
        </w:rPr>
        <w:t>经费使用深入贯彻中央八项规定精神，严格执行《党政机关厉行节约反对浪费条例》、《淮南市党政机关国内公务接待管理办法》(淮办发[2024]22号)等相关规定。</w:t>
      </w:r>
    </w:p>
    <w:p>
      <w:pPr>
        <w:pStyle w:val="7"/>
        <w:widowControl/>
        <w:numPr>
          <w:numId w:val="0"/>
        </w:numPr>
        <w:ind w:right="0" w:rightChars="0" w:firstLine="628" w:firstLineChars="200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cs="仿宋_GB2312"/>
          <w:b/>
          <w:color w:val="000000"/>
          <w:sz w:val="32"/>
          <w:szCs w:val="32"/>
          <w:lang w:val="en-US" w:eastAsia="zh-CN"/>
        </w:rPr>
        <w:t>2、</w:t>
      </w:r>
      <w:r>
        <w:rPr>
          <w:rFonts w:ascii="仿宋_GB2312" w:eastAsia="仿宋_GB2312" w:cs="仿宋_GB2312"/>
          <w:b/>
          <w:color w:val="000000"/>
          <w:sz w:val="32"/>
          <w:szCs w:val="32"/>
        </w:rPr>
        <w:t>公</w:t>
      </w:r>
      <w:r>
        <w:rPr>
          <w:rFonts w:ascii="仿宋_GB2312" w:eastAsia="仿宋_GB2312" w:cs="仿宋_GB2312"/>
          <w:b/>
          <w:color w:val="auto"/>
          <w:sz w:val="32"/>
          <w:szCs w:val="32"/>
        </w:rPr>
        <w:t>务用车购置及运行维护费</w:t>
      </w:r>
      <w:r>
        <w:rPr>
          <w:rFonts w:hint="eastAsia" w:ascii="仿宋_GB2312" w:cs="仿宋_GB2312"/>
          <w:color w:val="auto"/>
          <w:sz w:val="32"/>
          <w:szCs w:val="32"/>
          <w:lang w:val="en-US" w:eastAsia="zh-CN"/>
        </w:rPr>
        <w:t>预算为61万元，支出决算为59.26万元，完成预算的97.15%。</w:t>
      </w:r>
      <w:r>
        <w:rPr>
          <w:rFonts w:ascii="仿宋_GB2312" w:eastAsia="仿宋_GB2312" w:cs="仿宋_GB2312"/>
          <w:color w:val="auto"/>
          <w:sz w:val="32"/>
          <w:szCs w:val="32"/>
        </w:rPr>
        <w:t>其中，公务用车购置费</w:t>
      </w:r>
      <w:r>
        <w:rPr>
          <w:rFonts w:hint="eastAsia" w:ascii="仿宋_GB2312" w:cs="仿宋_GB2312"/>
          <w:color w:val="auto"/>
          <w:sz w:val="32"/>
          <w:szCs w:val="32"/>
          <w:lang w:eastAsia="zh-CN"/>
        </w:rPr>
        <w:t>预算为</w:t>
      </w:r>
      <w:r>
        <w:rPr>
          <w:rFonts w:hint="eastAsia" w:ascii="仿宋_GB2312" w:cs="仿宋_GB2312"/>
          <w:color w:val="auto"/>
          <w:sz w:val="32"/>
          <w:szCs w:val="32"/>
          <w:lang w:val="en-US" w:eastAsia="zh-CN"/>
        </w:rPr>
        <w:t>27万元，支出决算为25.26</w:t>
      </w:r>
      <w:r>
        <w:rPr>
          <w:rFonts w:asci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cs="仿宋_GB2312"/>
          <w:color w:val="auto"/>
          <w:sz w:val="32"/>
          <w:szCs w:val="32"/>
          <w:lang w:eastAsia="zh-CN"/>
        </w:rPr>
        <w:t>完成预算的</w:t>
      </w:r>
      <w:r>
        <w:rPr>
          <w:rFonts w:hint="eastAsia" w:ascii="仿宋_GB2312" w:cs="仿宋_GB2312"/>
          <w:color w:val="auto"/>
          <w:sz w:val="32"/>
          <w:szCs w:val="32"/>
          <w:lang w:val="en-US" w:eastAsia="zh-CN"/>
        </w:rPr>
        <w:t>93.56%；</w:t>
      </w:r>
      <w:r>
        <w:rPr>
          <w:rFonts w:ascii="仿宋_GB2312" w:eastAsia="仿宋_GB2312" w:cs="仿宋_GB2312"/>
          <w:color w:val="auto"/>
          <w:sz w:val="32"/>
          <w:szCs w:val="32"/>
        </w:rPr>
        <w:t>公务用车运行维护费</w:t>
      </w:r>
      <w:r>
        <w:rPr>
          <w:rFonts w:hint="eastAsia" w:ascii="仿宋_GB2312" w:cs="仿宋_GB2312"/>
          <w:color w:val="auto"/>
          <w:sz w:val="32"/>
          <w:szCs w:val="32"/>
          <w:lang w:eastAsia="zh-CN"/>
        </w:rPr>
        <w:t>预算为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34</w:t>
      </w:r>
      <w:r>
        <w:rPr>
          <w:rFonts w:asci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cs="仿宋_GB2312"/>
          <w:color w:val="auto"/>
          <w:sz w:val="32"/>
          <w:szCs w:val="32"/>
          <w:lang w:eastAsia="zh-CN"/>
        </w:rPr>
        <w:t>，支出决算为</w:t>
      </w:r>
      <w:r>
        <w:rPr>
          <w:rFonts w:hint="eastAsia" w:ascii="仿宋_GB2312" w:cs="仿宋_GB2312"/>
          <w:color w:val="auto"/>
          <w:sz w:val="32"/>
          <w:szCs w:val="32"/>
          <w:lang w:val="en-US" w:eastAsia="zh-CN"/>
        </w:rPr>
        <w:t>34万</w:t>
      </w:r>
      <w:bookmarkStart w:id="0" w:name="_GoBack"/>
      <w:bookmarkEnd w:id="0"/>
      <w:r>
        <w:rPr>
          <w:rFonts w:hint="eastAsia" w:ascii="仿宋_GB2312" w:cs="仿宋_GB2312"/>
          <w:color w:val="auto"/>
          <w:sz w:val="32"/>
          <w:szCs w:val="32"/>
          <w:lang w:val="en-US" w:eastAsia="zh-CN"/>
        </w:rPr>
        <w:t>元，完成预算的100%</w:t>
      </w:r>
      <w:r>
        <w:rPr>
          <w:rFonts w:hint="eastAsia" w:ascii="仿宋_GB2312" w:hAnsi="仿宋"/>
          <w:color w:val="0000FF"/>
          <w:szCs w:val="32"/>
          <w:lang w:eastAsia="zh-CN"/>
        </w:rPr>
        <w:t>；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公务用车运行维护费，包括车辆燃料费、维修费、过路过桥费、保险费等支出</w:t>
      </w:r>
      <w:r>
        <w:rPr>
          <w:rFonts w:hint="eastAsia" w:ascii="仿宋_GB2312" w:cs="仿宋_GB2312"/>
          <w:color w:val="auto"/>
          <w:sz w:val="32"/>
          <w:szCs w:val="32"/>
          <w:lang w:eastAsia="zh-CN"/>
        </w:rPr>
        <w:t>。</w:t>
      </w:r>
    </w:p>
    <w:p>
      <w:pPr>
        <w:ind w:firstLine="628" w:firstLineChars="200"/>
        <w:rPr>
          <w:rFonts w:hint="eastAsia"/>
        </w:rPr>
      </w:pPr>
      <w:r>
        <w:rPr>
          <w:rFonts w:hint="eastAsia" w:ascii="仿宋_GB2312" w:hAnsi="仿宋"/>
          <w:szCs w:val="32"/>
        </w:rPr>
        <w:t>截至</w:t>
      </w:r>
      <w:r>
        <w:rPr>
          <w:rFonts w:hint="eastAsia" w:ascii="仿宋_GB2312" w:hAnsi="仿宋"/>
          <w:szCs w:val="32"/>
          <w:lang w:eastAsia="zh-CN"/>
        </w:rPr>
        <w:t>202</w:t>
      </w:r>
      <w:r>
        <w:rPr>
          <w:rFonts w:hint="eastAsia" w:ascii="仿宋_GB2312" w:hAnsi="仿宋"/>
          <w:szCs w:val="32"/>
          <w:lang w:val="en-US" w:eastAsia="zh-CN"/>
        </w:rPr>
        <w:t>5</w:t>
      </w:r>
      <w:r>
        <w:rPr>
          <w:rFonts w:hint="eastAsia" w:ascii="仿宋_GB2312" w:hAnsi="仿宋"/>
          <w:szCs w:val="32"/>
        </w:rPr>
        <w:t>年12月31日，</w:t>
      </w:r>
      <w:r>
        <w:rPr>
          <w:rFonts w:hint="eastAsia" w:ascii="仿宋_GB2312" w:hAnsi="仿宋"/>
          <w:szCs w:val="32"/>
          <w:lang w:eastAsia="zh-CN"/>
        </w:rPr>
        <w:t>淮南市市场监督管理局</w:t>
      </w:r>
      <w:r>
        <w:rPr>
          <w:rFonts w:hint="eastAsia" w:ascii="仿宋_GB2312" w:hAnsi="仿宋"/>
          <w:szCs w:val="32"/>
        </w:rPr>
        <w:t>机关开支财政拨款的公务用车保有量为</w:t>
      </w:r>
      <w:r>
        <w:rPr>
          <w:rFonts w:hint="eastAsia" w:ascii="仿宋_GB2312" w:hAnsi="仿宋"/>
          <w:szCs w:val="32"/>
          <w:lang w:val="en-US" w:eastAsia="zh-CN"/>
        </w:rPr>
        <w:t>16</w:t>
      </w:r>
      <w:r>
        <w:rPr>
          <w:rFonts w:hint="eastAsia" w:ascii="仿宋_GB2312" w:hAnsi="仿宋"/>
          <w:szCs w:val="32"/>
        </w:rPr>
        <w:t>辆。</w:t>
      </w:r>
    </w:p>
    <w:p>
      <w:pPr>
        <w:pStyle w:val="2"/>
        <w:ind w:left="1258" w:hanging="1258"/>
        <w:jc w:val="both"/>
        <w:rPr>
          <w:rFonts w:hint="eastAsia" w:ascii="仿宋_GB2312" w:eastAsia="仿宋_GB2312"/>
          <w:sz w:val="32"/>
        </w:rPr>
      </w:pPr>
    </w:p>
    <w:p>
      <w:pPr>
        <w:pStyle w:val="2"/>
        <w:ind w:left="1258" w:hanging="1258"/>
        <w:jc w:val="both"/>
        <w:rPr>
          <w:rFonts w:hint="eastAsia" w:ascii="仿宋_GB2312" w:eastAsia="仿宋_GB2312"/>
          <w:sz w:val="32"/>
        </w:rPr>
      </w:pPr>
    </w:p>
    <w:p>
      <w:pPr>
        <w:pStyle w:val="7"/>
        <w:widowControl/>
        <w:ind w:firstLine="640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pStyle w:val="2"/>
        <w:ind w:left="1258" w:hanging="1258"/>
        <w:jc w:val="both"/>
        <w:rPr>
          <w:rFonts w:hint="eastAsia" w:ascii="仿宋_GB2312" w:eastAsia="仿宋_GB2312"/>
          <w:sz w:val="32"/>
        </w:rPr>
      </w:pPr>
    </w:p>
    <w:p>
      <w:pPr>
        <w:pStyle w:val="2"/>
        <w:ind w:left="1258" w:hanging="1258"/>
        <w:jc w:val="both"/>
        <w:rPr>
          <w:rFonts w:hint="eastAsia" w:ascii="仿宋_GB2312" w:eastAsia="仿宋_GB2312"/>
          <w:sz w:val="32"/>
        </w:rPr>
      </w:pPr>
    </w:p>
    <w:p>
      <w:pPr>
        <w:pStyle w:val="2"/>
        <w:jc w:val="both"/>
        <w:rPr>
          <w:rFonts w:hint="eastAsia"/>
        </w:rPr>
      </w:pPr>
    </w:p>
    <w:p/>
    <w:sectPr>
      <w:footerReference r:id="rId3" w:type="default"/>
      <w:footerReference r:id="rId4" w:type="even"/>
      <w:pgSz w:w="11906" w:h="16838"/>
      <w:pgMar w:top="2155" w:right="1531" w:bottom="1588" w:left="1588" w:header="0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56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  <w:rFonts w:ascii="仿宋_GB2312"/>
        <w:sz w:val="28"/>
      </w:rPr>
    </w:pPr>
    <w:r>
      <w:rPr>
        <w:rStyle w:val="6"/>
        <w:rFonts w:hint="eastAsia" w:ascii="仿宋_GB2312"/>
        <w:sz w:val="28"/>
      </w:rPr>
      <w:t>-</w:t>
    </w:r>
    <w:r>
      <w:rPr>
        <w:rFonts w:hint="eastAsia" w:ascii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50</w:t>
    </w:r>
    <w:r>
      <w:rPr>
        <w:rFonts w:hint="eastAsia" w:ascii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>-</w:t>
    </w:r>
  </w:p>
  <w:p>
    <w:pPr>
      <w:pStyle w:val="3"/>
      <w:ind w:right="360"/>
      <w:jc w:val="right"/>
      <w:rPr>
        <w:rFonts w:hint="eastAsia" w:ascii="仿宋_GB2312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43E69"/>
    <w:multiLevelType w:val="singleLevel"/>
    <w:tmpl w:val="76343E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xMGY0OTQ4MzgxZjBkYWUzYTA3MWM5NDgyNzNmNTIifQ=="/>
  </w:docVars>
  <w:rsids>
    <w:rsidRoot w:val="0C636E9A"/>
    <w:rsid w:val="00B4285A"/>
    <w:rsid w:val="01507376"/>
    <w:rsid w:val="019619D0"/>
    <w:rsid w:val="0AD24D10"/>
    <w:rsid w:val="0C636E9A"/>
    <w:rsid w:val="13F97010"/>
    <w:rsid w:val="18D051ED"/>
    <w:rsid w:val="219210CD"/>
    <w:rsid w:val="26B94D3D"/>
    <w:rsid w:val="26DB0C35"/>
    <w:rsid w:val="2C6C4972"/>
    <w:rsid w:val="2E71391F"/>
    <w:rsid w:val="3318369D"/>
    <w:rsid w:val="41903D1E"/>
    <w:rsid w:val="5155153E"/>
    <w:rsid w:val="533334D4"/>
    <w:rsid w:val="54B04FD6"/>
    <w:rsid w:val="55307973"/>
    <w:rsid w:val="587C04D1"/>
    <w:rsid w:val="64AC3F4A"/>
    <w:rsid w:val="68B83DD1"/>
    <w:rsid w:val="73F3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黑体"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default" w:ascii="Calibri" w:hAnsi="Calibri" w:cs="Calibri"/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1055</Words>
  <Characters>1200</Characters>
  <Lines>0</Lines>
  <Paragraphs>0</Paragraphs>
  <TotalTime>2</TotalTime>
  <ScaleCrop>false</ScaleCrop>
  <LinksUpToDate>false</LinksUpToDate>
  <CharactersWithSpaces>1276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2024-07-30T01:10:00Z</dcterms:created>
  <dc:creator> 莉</dc:creator>
  <cp:lastModifiedBy>DAI</cp:lastModifiedBy>
  <dcterms:modified xsi:type="dcterms:W3CDTF">2026-08-06T07:39:01Z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0533FB19FE9C4026B6B44C362B3B19F1_11</vt:lpwstr>
  </property>
</Properties>
</file>