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both"/>
        <w:rPr>
          <w:rFonts w:hint="default" w:ascii="黑体" w:hAnsi="黑体" w:eastAsia="黑体" w:cs="黑体"/>
          <w:b w:val="0"/>
          <w:bCs/>
          <w:sz w:val="32"/>
          <w:szCs w:val="32"/>
          <w:lang w:val="en-US" w:eastAsia="zh-CN"/>
        </w:rPr>
      </w:pPr>
    </w:p>
    <w:p>
      <w:pPr>
        <w:jc w:val="center"/>
        <w:rPr>
          <w:rFonts w:hint="eastAsia" w:ascii="宋体" w:hAnsi="宋体"/>
          <w:b/>
          <w:sz w:val="36"/>
          <w:szCs w:val="36"/>
        </w:rPr>
      </w:pPr>
      <w:r>
        <w:rPr>
          <w:rFonts w:hint="eastAsia" w:ascii="宋体" w:hAnsi="宋体"/>
          <w:b/>
          <w:sz w:val="36"/>
          <w:szCs w:val="36"/>
          <w:lang w:val="en-US" w:eastAsia="zh-CN"/>
        </w:rPr>
        <w:t>淮南市</w:t>
      </w:r>
      <w:r>
        <w:rPr>
          <w:rFonts w:hint="eastAsia" w:ascii="宋体" w:hAnsi="宋体"/>
          <w:b/>
          <w:sz w:val="36"/>
          <w:szCs w:val="36"/>
          <w:lang w:eastAsia="zh-CN"/>
        </w:rPr>
        <w:t>市场监管综合行政执法支队202</w:t>
      </w:r>
      <w:r>
        <w:rPr>
          <w:rFonts w:hint="eastAsia" w:ascii="宋体" w:hAnsi="宋体"/>
          <w:b/>
          <w:sz w:val="36"/>
          <w:szCs w:val="36"/>
          <w:lang w:val="en-US" w:eastAsia="zh-CN"/>
        </w:rPr>
        <w:t>5</w:t>
      </w:r>
      <w:r>
        <w:rPr>
          <w:rFonts w:ascii="宋体" w:hAnsi="宋体"/>
          <w:b/>
          <w:sz w:val="36"/>
          <w:szCs w:val="36"/>
        </w:rPr>
        <w:t>年</w:t>
      </w:r>
      <w:r>
        <w:rPr>
          <w:rFonts w:hint="eastAsia" w:ascii="宋体" w:hAnsi="宋体"/>
          <w:b/>
          <w:sz w:val="36"/>
          <w:szCs w:val="36"/>
        </w:rPr>
        <w:t>度一般公共预算财政拨款</w:t>
      </w:r>
      <w:r>
        <w:rPr>
          <w:rFonts w:ascii="宋体" w:hAnsi="宋体"/>
          <w:b/>
          <w:sz w:val="36"/>
          <w:szCs w:val="36"/>
        </w:rPr>
        <w:t>“三公</w:t>
      </w:r>
      <w:r>
        <w:rPr>
          <w:rFonts w:hint="eastAsia" w:ascii="宋体" w:hAnsi="宋体"/>
          <w:b/>
          <w:sz w:val="36"/>
          <w:szCs w:val="36"/>
        </w:rPr>
        <w:t>”</w:t>
      </w:r>
      <w:r>
        <w:rPr>
          <w:rFonts w:ascii="宋体" w:hAnsi="宋体"/>
          <w:b/>
          <w:sz w:val="36"/>
          <w:szCs w:val="36"/>
        </w:rPr>
        <w:t>经费</w:t>
      </w:r>
      <w:r>
        <w:rPr>
          <w:rFonts w:hint="eastAsia" w:ascii="宋体" w:hAnsi="宋体"/>
          <w:b/>
          <w:sz w:val="36"/>
          <w:szCs w:val="36"/>
        </w:rPr>
        <w:t>支出决算</w:t>
      </w:r>
    </w:p>
    <w:p>
      <w:pPr>
        <w:jc w:val="center"/>
        <w:rPr>
          <w:rFonts w:hint="eastAsia" w:ascii="楷体_GB2312" w:eastAsia="楷体_GB2312"/>
          <w:szCs w:val="32"/>
        </w:rPr>
      </w:pPr>
    </w:p>
    <w:p>
      <w:pPr>
        <w:rPr>
          <w:rFonts w:hint="eastAsia" w:ascii="黑体" w:hAnsi="黑体" w:eastAsia="黑体"/>
          <w:szCs w:val="32"/>
        </w:rPr>
      </w:pPr>
      <w:r>
        <w:rPr>
          <w:rFonts w:hint="eastAsia" w:ascii="黑体" w:hAnsi="黑体" w:eastAsia="黑体"/>
          <w:szCs w:val="32"/>
          <w:lang w:val="en-US" w:eastAsia="zh-CN"/>
        </w:rPr>
        <w:t xml:space="preserve">    </w:t>
      </w:r>
      <w:r>
        <w:rPr>
          <w:rFonts w:hint="eastAsia" w:ascii="黑体" w:hAnsi="黑体" w:eastAsia="黑体"/>
          <w:szCs w:val="32"/>
        </w:rPr>
        <w:t>一、</w:t>
      </w:r>
      <w:r>
        <w:rPr>
          <w:rFonts w:hint="eastAsia" w:ascii="黑体" w:hAnsi="黑体" w:eastAsia="黑体"/>
          <w:szCs w:val="32"/>
          <w:lang w:eastAsia="zh-CN"/>
        </w:rPr>
        <w:t>202</w:t>
      </w:r>
      <w:r>
        <w:rPr>
          <w:rFonts w:hint="eastAsia" w:ascii="黑体" w:hAnsi="黑体" w:eastAsia="黑体"/>
          <w:szCs w:val="32"/>
          <w:lang w:val="en-US" w:eastAsia="zh-CN"/>
        </w:rPr>
        <w:t>5</w:t>
      </w:r>
      <w:r>
        <w:rPr>
          <w:rFonts w:hint="eastAsia" w:ascii="黑体" w:hAnsi="黑体" w:eastAsia="黑体"/>
          <w:szCs w:val="32"/>
        </w:rPr>
        <w:t>年度一般公共预算财政拨款“三公”经费支出决算表</w:t>
      </w:r>
    </w:p>
    <w:p>
      <w:pPr>
        <w:ind w:firstLine="7216" w:firstLineChars="2298"/>
        <w:rPr>
          <w:rFonts w:hint="eastAsia" w:ascii="黑体" w:hAnsi="黑体" w:eastAsia="黑体"/>
          <w:szCs w:val="32"/>
        </w:rPr>
      </w:pPr>
      <w:r>
        <w:rPr>
          <w:rFonts w:hint="eastAsia" w:ascii="仿宋_GB2312" w:hAnsi="仿宋_GB2312" w:cs="仿宋_GB2312"/>
          <w:szCs w:val="32"/>
        </w:rPr>
        <w:t>单位：万元</w:t>
      </w:r>
    </w:p>
    <w:tbl>
      <w:tblPr>
        <w:tblStyle w:val="4"/>
        <w:tblpPr w:leftFromText="180" w:rightFromText="180" w:vertAnchor="text" w:horzAnchor="margin" w:tblpY="454"/>
        <w:tblOverlap w:val="never"/>
        <w:tblW w:w="0" w:type="auto"/>
        <w:tblInd w:w="0" w:type="dxa"/>
        <w:tblLayout w:type="fixed"/>
        <w:tblCellMar>
          <w:top w:w="0" w:type="dxa"/>
          <w:left w:w="108" w:type="dxa"/>
          <w:bottom w:w="0" w:type="dxa"/>
          <w:right w:w="108" w:type="dxa"/>
        </w:tblCellMar>
      </w:tblPr>
      <w:tblGrid>
        <w:gridCol w:w="4379"/>
        <w:gridCol w:w="2157"/>
        <w:gridCol w:w="2220"/>
      </w:tblGrid>
      <w:tr>
        <w:tblPrEx>
          <w:tblCellMar>
            <w:top w:w="0" w:type="dxa"/>
            <w:left w:w="108" w:type="dxa"/>
            <w:bottom w:w="0" w:type="dxa"/>
            <w:right w:w="108" w:type="dxa"/>
          </w:tblCellMar>
        </w:tblPrEx>
        <w:trPr>
          <w:trHeight w:val="397" w:hRule="atLeast"/>
        </w:trPr>
        <w:tc>
          <w:tcPr>
            <w:tcW w:w="4379"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b/>
                <w:bCs/>
                <w:kern w:val="0"/>
                <w:szCs w:val="21"/>
              </w:rPr>
            </w:pPr>
            <w:r>
              <w:rPr>
                <w:rFonts w:hint="eastAsia" w:ascii="宋体" w:hAnsi="宋体" w:cs="宋体"/>
                <w:b/>
                <w:bCs/>
                <w:kern w:val="0"/>
                <w:szCs w:val="21"/>
              </w:rPr>
              <w:t>项  目</w:t>
            </w:r>
          </w:p>
        </w:tc>
        <w:tc>
          <w:tcPr>
            <w:tcW w:w="2157" w:type="dxa"/>
            <w:tcBorders>
              <w:top w:val="single" w:color="auto" w:sz="4" w:space="0"/>
              <w:left w:val="nil"/>
              <w:bottom w:val="single" w:color="auto" w:sz="4" w:space="0"/>
              <w:right w:val="single" w:color="auto" w:sz="4" w:space="0"/>
            </w:tcBorders>
            <w:noWrap w:val="0"/>
            <w:vAlign w:val="center"/>
          </w:tcPr>
          <w:p>
            <w:pPr>
              <w:widowControl/>
              <w:jc w:val="center"/>
              <w:rPr>
                <w:rFonts w:ascii="宋体" w:hAnsi="宋体" w:cs="宋体"/>
                <w:b/>
                <w:bCs/>
                <w:kern w:val="0"/>
                <w:szCs w:val="21"/>
              </w:rPr>
            </w:pPr>
            <w:r>
              <w:rPr>
                <w:rFonts w:hint="eastAsia" w:ascii="宋体" w:hAnsi="宋体" w:cs="宋体"/>
                <w:b/>
                <w:bCs/>
                <w:kern w:val="0"/>
                <w:szCs w:val="21"/>
              </w:rPr>
              <w:t>预 算 数</w:t>
            </w:r>
          </w:p>
        </w:tc>
        <w:tc>
          <w:tcPr>
            <w:tcW w:w="2220" w:type="dxa"/>
            <w:tcBorders>
              <w:top w:val="single" w:color="auto" w:sz="4" w:space="0"/>
              <w:left w:val="nil"/>
              <w:bottom w:val="single" w:color="auto" w:sz="4" w:space="0"/>
              <w:right w:val="single" w:color="auto" w:sz="4" w:space="0"/>
            </w:tcBorders>
            <w:noWrap w:val="0"/>
            <w:vAlign w:val="center"/>
          </w:tcPr>
          <w:p>
            <w:pPr>
              <w:widowControl/>
              <w:jc w:val="center"/>
              <w:rPr>
                <w:rFonts w:ascii="宋体" w:hAnsi="宋体" w:cs="宋体"/>
                <w:b/>
                <w:bCs/>
                <w:kern w:val="0"/>
                <w:szCs w:val="21"/>
              </w:rPr>
            </w:pPr>
            <w:r>
              <w:rPr>
                <w:rFonts w:hint="eastAsia" w:ascii="宋体" w:hAnsi="宋体" w:cs="宋体"/>
                <w:b/>
                <w:bCs/>
                <w:kern w:val="0"/>
                <w:szCs w:val="21"/>
              </w:rPr>
              <w:t>决 算 数</w:t>
            </w:r>
          </w:p>
        </w:tc>
      </w:tr>
      <w:tr>
        <w:tblPrEx>
          <w:tblCellMar>
            <w:top w:w="0" w:type="dxa"/>
            <w:left w:w="108" w:type="dxa"/>
            <w:bottom w:w="0" w:type="dxa"/>
            <w:right w:w="108" w:type="dxa"/>
          </w:tblCellMar>
        </w:tblPrEx>
        <w:trPr>
          <w:trHeight w:val="397" w:hRule="atLeast"/>
        </w:trPr>
        <w:tc>
          <w:tcPr>
            <w:tcW w:w="4379" w:type="dxa"/>
            <w:tcBorders>
              <w:top w:val="nil"/>
              <w:left w:val="single" w:color="auto" w:sz="4" w:space="0"/>
              <w:bottom w:val="single" w:color="auto" w:sz="4" w:space="0"/>
              <w:right w:val="single" w:color="auto" w:sz="4" w:space="0"/>
            </w:tcBorders>
            <w:noWrap w:val="0"/>
            <w:vAlign w:val="center"/>
          </w:tcPr>
          <w:p>
            <w:pPr>
              <w:widowControl/>
              <w:jc w:val="center"/>
              <w:rPr>
                <w:rFonts w:ascii="宋体" w:hAnsi="宋体" w:cs="宋体"/>
                <w:b/>
                <w:bCs/>
                <w:kern w:val="0"/>
                <w:szCs w:val="21"/>
              </w:rPr>
            </w:pPr>
            <w:r>
              <w:rPr>
                <w:rFonts w:hint="eastAsia" w:ascii="宋体" w:hAnsi="宋体" w:cs="宋体"/>
                <w:b/>
                <w:bCs/>
                <w:kern w:val="0"/>
                <w:szCs w:val="21"/>
              </w:rPr>
              <w:t>合  计</w:t>
            </w:r>
          </w:p>
        </w:tc>
        <w:tc>
          <w:tcPr>
            <w:tcW w:w="2157" w:type="dxa"/>
            <w:tcBorders>
              <w:top w:val="nil"/>
              <w:left w:val="nil"/>
              <w:bottom w:val="single" w:color="auto" w:sz="4" w:space="0"/>
              <w:right w:val="single" w:color="auto" w:sz="4" w:space="0"/>
            </w:tcBorders>
            <w:noWrap w:val="0"/>
            <w:vAlign w:val="center"/>
          </w:tcPr>
          <w:p>
            <w:pPr>
              <w:widowControl/>
              <w:jc w:val="center"/>
              <w:rPr>
                <w:rFonts w:hint="default" w:ascii="宋体" w:hAnsi="宋体" w:eastAsia="仿宋_GB2312" w:cs="宋体"/>
                <w:b/>
                <w:bCs/>
                <w:kern w:val="0"/>
                <w:szCs w:val="21"/>
                <w:lang w:val="en-US" w:eastAsia="zh-CN"/>
              </w:rPr>
            </w:pPr>
            <w:r>
              <w:rPr>
                <w:rFonts w:hint="eastAsia" w:ascii="宋体" w:hAnsi="宋体" w:cs="宋体"/>
                <w:kern w:val="0"/>
                <w:szCs w:val="21"/>
                <w:lang w:val="en-US" w:eastAsia="zh-CN"/>
              </w:rPr>
              <w:t>16</w:t>
            </w:r>
          </w:p>
        </w:tc>
        <w:tc>
          <w:tcPr>
            <w:tcW w:w="2220" w:type="dxa"/>
            <w:tcBorders>
              <w:top w:val="nil"/>
              <w:left w:val="nil"/>
              <w:bottom w:val="single" w:color="auto" w:sz="4" w:space="0"/>
              <w:right w:val="single" w:color="auto" w:sz="4" w:space="0"/>
            </w:tcBorders>
            <w:noWrap w:val="0"/>
            <w:vAlign w:val="center"/>
          </w:tcPr>
          <w:p>
            <w:pPr>
              <w:widowControl/>
              <w:jc w:val="center"/>
              <w:rPr>
                <w:rFonts w:ascii="宋体" w:hAnsi="宋体" w:cs="宋体"/>
                <w:b/>
                <w:bCs/>
                <w:kern w:val="0"/>
                <w:szCs w:val="21"/>
              </w:rPr>
            </w:pPr>
            <w:r>
              <w:rPr>
                <w:rFonts w:hint="eastAsia" w:ascii="宋体" w:hAnsi="宋体" w:cs="宋体"/>
                <w:kern w:val="0"/>
                <w:szCs w:val="21"/>
                <w:lang w:val="en-US" w:eastAsia="zh-CN"/>
              </w:rPr>
              <w:t>13.39</w:t>
            </w:r>
            <w:r>
              <w:rPr>
                <w:rFonts w:hint="eastAsia" w:ascii="宋体" w:hAnsi="宋体" w:cs="宋体"/>
                <w:b/>
                <w:bCs/>
                <w:kern w:val="0"/>
                <w:szCs w:val="21"/>
              </w:rPr>
              <w:t>　</w:t>
            </w:r>
          </w:p>
        </w:tc>
      </w:tr>
      <w:tr>
        <w:tblPrEx>
          <w:tblCellMar>
            <w:top w:w="0" w:type="dxa"/>
            <w:left w:w="108" w:type="dxa"/>
            <w:bottom w:w="0" w:type="dxa"/>
            <w:right w:w="108" w:type="dxa"/>
          </w:tblCellMar>
        </w:tblPrEx>
        <w:trPr>
          <w:trHeight w:val="397" w:hRule="atLeast"/>
        </w:trPr>
        <w:tc>
          <w:tcPr>
            <w:tcW w:w="4379" w:type="dxa"/>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kern w:val="0"/>
                <w:szCs w:val="21"/>
              </w:rPr>
            </w:pPr>
            <w:r>
              <w:rPr>
                <w:rFonts w:hint="eastAsia" w:ascii="宋体" w:hAnsi="宋体" w:cs="宋体"/>
                <w:kern w:val="0"/>
                <w:szCs w:val="21"/>
              </w:rPr>
              <w:t>因公出国（境）费</w:t>
            </w:r>
          </w:p>
        </w:tc>
        <w:tc>
          <w:tcPr>
            <w:tcW w:w="2157" w:type="dxa"/>
            <w:tcBorders>
              <w:top w:val="nil"/>
              <w:left w:val="nil"/>
              <w:bottom w:val="single" w:color="auto" w:sz="4" w:space="0"/>
              <w:right w:val="single" w:color="auto" w:sz="4" w:space="0"/>
            </w:tcBorders>
            <w:noWrap w:val="0"/>
            <w:vAlign w:val="bottom"/>
          </w:tcPr>
          <w:p>
            <w:pPr>
              <w:widowControl/>
              <w:jc w:val="left"/>
              <w:rPr>
                <w:rFonts w:ascii="宋体" w:hAnsi="宋体" w:cs="宋体"/>
                <w:kern w:val="0"/>
                <w:szCs w:val="21"/>
              </w:rPr>
            </w:pPr>
            <w:r>
              <w:rPr>
                <w:rFonts w:hint="eastAsia" w:ascii="宋体" w:hAnsi="宋体" w:cs="宋体"/>
                <w:kern w:val="0"/>
                <w:szCs w:val="21"/>
              </w:rPr>
              <w:t>　</w:t>
            </w:r>
          </w:p>
        </w:tc>
        <w:tc>
          <w:tcPr>
            <w:tcW w:w="2220" w:type="dxa"/>
            <w:tcBorders>
              <w:top w:val="nil"/>
              <w:left w:val="nil"/>
              <w:bottom w:val="single" w:color="auto" w:sz="4" w:space="0"/>
              <w:right w:val="single" w:color="auto" w:sz="4" w:space="0"/>
            </w:tcBorders>
            <w:noWrap w:val="0"/>
            <w:vAlign w:val="bottom"/>
          </w:tcPr>
          <w:p>
            <w:pPr>
              <w:widowControl/>
              <w:jc w:val="left"/>
              <w:rPr>
                <w:rFonts w:ascii="宋体" w:hAnsi="宋体" w:cs="宋体"/>
                <w:kern w:val="0"/>
                <w:szCs w:val="21"/>
              </w:rPr>
            </w:pPr>
            <w:r>
              <w:rPr>
                <w:rFonts w:hint="eastAsia" w:ascii="宋体" w:hAnsi="宋体" w:cs="宋体"/>
                <w:kern w:val="0"/>
                <w:szCs w:val="21"/>
              </w:rPr>
              <w:t>　</w:t>
            </w:r>
          </w:p>
        </w:tc>
      </w:tr>
      <w:tr>
        <w:tblPrEx>
          <w:tblCellMar>
            <w:top w:w="0" w:type="dxa"/>
            <w:left w:w="108" w:type="dxa"/>
            <w:bottom w:w="0" w:type="dxa"/>
            <w:right w:w="108" w:type="dxa"/>
          </w:tblCellMar>
        </w:tblPrEx>
        <w:trPr>
          <w:trHeight w:val="397" w:hRule="atLeast"/>
        </w:trPr>
        <w:tc>
          <w:tcPr>
            <w:tcW w:w="4379" w:type="dxa"/>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kern w:val="0"/>
                <w:szCs w:val="21"/>
              </w:rPr>
            </w:pPr>
            <w:r>
              <w:rPr>
                <w:rFonts w:hint="eastAsia" w:ascii="宋体" w:hAnsi="宋体" w:cs="宋体"/>
                <w:kern w:val="0"/>
                <w:szCs w:val="21"/>
              </w:rPr>
              <w:t>公务接待费</w:t>
            </w:r>
          </w:p>
        </w:tc>
        <w:tc>
          <w:tcPr>
            <w:tcW w:w="2157" w:type="dxa"/>
            <w:tcBorders>
              <w:top w:val="nil"/>
              <w:left w:val="nil"/>
              <w:bottom w:val="single" w:color="auto" w:sz="4" w:space="0"/>
              <w:right w:val="single" w:color="auto" w:sz="4" w:space="0"/>
            </w:tcBorders>
            <w:noWrap w:val="0"/>
            <w:vAlign w:val="bottom"/>
          </w:tcPr>
          <w:p>
            <w:pPr>
              <w:widowControl/>
              <w:jc w:val="center"/>
              <w:rPr>
                <w:rFonts w:hint="default" w:ascii="宋体" w:hAnsi="宋体" w:eastAsia="仿宋_GB2312" w:cs="宋体"/>
                <w:kern w:val="0"/>
                <w:szCs w:val="21"/>
                <w:lang w:val="en-US" w:eastAsia="zh-CN"/>
              </w:rPr>
            </w:pPr>
            <w:r>
              <w:rPr>
                <w:rFonts w:hint="eastAsia" w:ascii="宋体" w:hAnsi="宋体" w:cs="宋体"/>
                <w:kern w:val="0"/>
                <w:szCs w:val="21"/>
                <w:lang w:val="en-US" w:eastAsia="zh-CN"/>
              </w:rPr>
              <w:t>2</w:t>
            </w:r>
          </w:p>
        </w:tc>
        <w:tc>
          <w:tcPr>
            <w:tcW w:w="2220" w:type="dxa"/>
            <w:tcBorders>
              <w:top w:val="nil"/>
              <w:left w:val="nil"/>
              <w:bottom w:val="single" w:color="auto" w:sz="4" w:space="0"/>
              <w:right w:val="single" w:color="auto" w:sz="4" w:space="0"/>
            </w:tcBorders>
            <w:noWrap w:val="0"/>
            <w:vAlign w:val="bottom"/>
          </w:tcPr>
          <w:p>
            <w:pPr>
              <w:widowControl/>
              <w:jc w:val="center"/>
              <w:rPr>
                <w:rFonts w:hint="default" w:ascii="宋体" w:hAnsi="宋体" w:eastAsia="仿宋_GB2312" w:cs="宋体"/>
                <w:kern w:val="0"/>
                <w:szCs w:val="21"/>
                <w:lang w:val="en-US" w:eastAsia="zh-CN"/>
              </w:rPr>
            </w:pPr>
            <w:r>
              <w:rPr>
                <w:rFonts w:hint="eastAsia" w:ascii="宋体" w:hAnsi="宋体" w:cs="宋体"/>
                <w:kern w:val="0"/>
                <w:szCs w:val="21"/>
                <w:lang w:val="en-US" w:eastAsia="zh-CN"/>
              </w:rPr>
              <w:t>0.09</w:t>
            </w:r>
          </w:p>
        </w:tc>
      </w:tr>
      <w:tr>
        <w:tblPrEx>
          <w:tblCellMar>
            <w:top w:w="0" w:type="dxa"/>
            <w:left w:w="108" w:type="dxa"/>
            <w:bottom w:w="0" w:type="dxa"/>
            <w:right w:w="108" w:type="dxa"/>
          </w:tblCellMar>
        </w:tblPrEx>
        <w:trPr>
          <w:trHeight w:val="397" w:hRule="atLeast"/>
        </w:trPr>
        <w:tc>
          <w:tcPr>
            <w:tcW w:w="4379" w:type="dxa"/>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kern w:val="0"/>
                <w:szCs w:val="21"/>
              </w:rPr>
            </w:pPr>
            <w:r>
              <w:rPr>
                <w:rFonts w:hint="eastAsia" w:ascii="宋体" w:hAnsi="宋体" w:cs="宋体"/>
                <w:kern w:val="0"/>
                <w:szCs w:val="21"/>
              </w:rPr>
              <w:t>公务用车购置及运行维护费</w:t>
            </w:r>
          </w:p>
        </w:tc>
        <w:tc>
          <w:tcPr>
            <w:tcW w:w="2157" w:type="dxa"/>
            <w:tcBorders>
              <w:top w:val="nil"/>
              <w:left w:val="nil"/>
              <w:bottom w:val="single" w:color="auto" w:sz="4" w:space="0"/>
              <w:right w:val="single" w:color="auto" w:sz="4" w:space="0"/>
            </w:tcBorders>
            <w:noWrap w:val="0"/>
            <w:vAlign w:val="bottom"/>
          </w:tcPr>
          <w:p>
            <w:pPr>
              <w:widowControl/>
              <w:jc w:val="center"/>
              <w:rPr>
                <w:rFonts w:hint="default" w:ascii="宋体" w:hAnsi="宋体" w:eastAsia="仿宋_GB2312" w:cs="宋体"/>
                <w:kern w:val="0"/>
                <w:szCs w:val="21"/>
                <w:lang w:val="en-US" w:eastAsia="zh-CN"/>
              </w:rPr>
            </w:pPr>
            <w:r>
              <w:rPr>
                <w:rFonts w:hint="eastAsia" w:ascii="宋体" w:hAnsi="宋体" w:cs="宋体"/>
                <w:kern w:val="0"/>
                <w:szCs w:val="21"/>
                <w:lang w:val="en-US" w:eastAsia="zh-CN"/>
              </w:rPr>
              <w:t>14</w:t>
            </w:r>
          </w:p>
        </w:tc>
        <w:tc>
          <w:tcPr>
            <w:tcW w:w="2220" w:type="dxa"/>
            <w:tcBorders>
              <w:top w:val="nil"/>
              <w:left w:val="nil"/>
              <w:bottom w:val="single" w:color="auto" w:sz="4" w:space="0"/>
              <w:right w:val="single" w:color="auto" w:sz="4" w:space="0"/>
            </w:tcBorders>
            <w:noWrap w:val="0"/>
            <w:vAlign w:val="bottom"/>
          </w:tcPr>
          <w:p>
            <w:pPr>
              <w:widowControl/>
              <w:jc w:val="center"/>
              <w:rPr>
                <w:rFonts w:hint="default" w:ascii="宋体" w:hAnsi="宋体" w:eastAsia="仿宋_GB2312" w:cs="宋体"/>
                <w:kern w:val="0"/>
                <w:szCs w:val="21"/>
                <w:lang w:val="en-US" w:eastAsia="zh-CN"/>
              </w:rPr>
            </w:pPr>
            <w:r>
              <w:rPr>
                <w:rFonts w:hint="eastAsia" w:ascii="宋体" w:hAnsi="宋体" w:cs="宋体"/>
                <w:kern w:val="0"/>
                <w:szCs w:val="21"/>
                <w:lang w:val="en-US" w:eastAsia="zh-CN"/>
              </w:rPr>
              <w:t>13.3</w:t>
            </w:r>
          </w:p>
        </w:tc>
      </w:tr>
      <w:tr>
        <w:tblPrEx>
          <w:tblCellMar>
            <w:top w:w="0" w:type="dxa"/>
            <w:left w:w="108" w:type="dxa"/>
            <w:bottom w:w="0" w:type="dxa"/>
            <w:right w:w="108" w:type="dxa"/>
          </w:tblCellMar>
        </w:tblPrEx>
        <w:trPr>
          <w:trHeight w:val="397" w:hRule="atLeast"/>
        </w:trPr>
        <w:tc>
          <w:tcPr>
            <w:tcW w:w="4379" w:type="dxa"/>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kern w:val="0"/>
                <w:szCs w:val="21"/>
              </w:rPr>
            </w:pPr>
            <w:r>
              <w:rPr>
                <w:rFonts w:hint="eastAsia" w:ascii="宋体" w:hAnsi="宋体" w:cs="宋体"/>
                <w:kern w:val="0"/>
                <w:szCs w:val="21"/>
              </w:rPr>
              <w:t xml:space="preserve">  其中：公务用车购置费</w:t>
            </w:r>
          </w:p>
        </w:tc>
        <w:tc>
          <w:tcPr>
            <w:tcW w:w="2157" w:type="dxa"/>
            <w:tcBorders>
              <w:top w:val="nil"/>
              <w:left w:val="nil"/>
              <w:bottom w:val="single" w:color="auto" w:sz="4" w:space="0"/>
              <w:right w:val="single" w:color="auto" w:sz="4" w:space="0"/>
            </w:tcBorders>
            <w:noWrap w:val="0"/>
            <w:vAlign w:val="bottom"/>
          </w:tcPr>
          <w:p>
            <w:pPr>
              <w:widowControl/>
              <w:jc w:val="left"/>
              <w:rPr>
                <w:rFonts w:ascii="宋体" w:hAnsi="宋体" w:cs="宋体"/>
                <w:kern w:val="0"/>
                <w:szCs w:val="21"/>
              </w:rPr>
            </w:pPr>
            <w:r>
              <w:rPr>
                <w:rFonts w:hint="eastAsia" w:ascii="宋体" w:hAnsi="宋体" w:cs="宋体"/>
                <w:kern w:val="0"/>
                <w:szCs w:val="21"/>
              </w:rPr>
              <w:t>　</w:t>
            </w:r>
          </w:p>
        </w:tc>
        <w:tc>
          <w:tcPr>
            <w:tcW w:w="2220" w:type="dxa"/>
            <w:tcBorders>
              <w:top w:val="nil"/>
              <w:left w:val="nil"/>
              <w:bottom w:val="single" w:color="auto" w:sz="4" w:space="0"/>
              <w:right w:val="single" w:color="auto" w:sz="4" w:space="0"/>
            </w:tcBorders>
            <w:noWrap w:val="0"/>
            <w:vAlign w:val="bottom"/>
          </w:tcPr>
          <w:p>
            <w:pPr>
              <w:widowControl/>
              <w:jc w:val="center"/>
              <w:rPr>
                <w:rFonts w:ascii="宋体" w:hAnsi="宋体" w:cs="宋体"/>
                <w:kern w:val="0"/>
                <w:szCs w:val="21"/>
              </w:rPr>
            </w:pPr>
          </w:p>
        </w:tc>
      </w:tr>
      <w:tr>
        <w:tblPrEx>
          <w:tblCellMar>
            <w:top w:w="0" w:type="dxa"/>
            <w:left w:w="108" w:type="dxa"/>
            <w:bottom w:w="0" w:type="dxa"/>
            <w:right w:w="108" w:type="dxa"/>
          </w:tblCellMar>
        </w:tblPrEx>
        <w:trPr>
          <w:trHeight w:val="397" w:hRule="atLeast"/>
        </w:trPr>
        <w:tc>
          <w:tcPr>
            <w:tcW w:w="4379" w:type="dxa"/>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kern w:val="0"/>
                <w:szCs w:val="21"/>
              </w:rPr>
            </w:pPr>
            <w:r>
              <w:rPr>
                <w:rFonts w:hint="eastAsia" w:ascii="宋体" w:hAnsi="宋体" w:cs="宋体"/>
                <w:kern w:val="0"/>
                <w:szCs w:val="21"/>
              </w:rPr>
              <w:t xml:space="preserve">        公务用车运行维护费 </w:t>
            </w:r>
          </w:p>
        </w:tc>
        <w:tc>
          <w:tcPr>
            <w:tcW w:w="2157" w:type="dxa"/>
            <w:tcBorders>
              <w:top w:val="nil"/>
              <w:left w:val="nil"/>
              <w:bottom w:val="single" w:color="auto" w:sz="4" w:space="0"/>
              <w:right w:val="single" w:color="auto" w:sz="4" w:space="0"/>
            </w:tcBorders>
            <w:noWrap w:val="0"/>
            <w:vAlign w:val="bottom"/>
          </w:tcPr>
          <w:p>
            <w:pPr>
              <w:widowControl/>
              <w:jc w:val="center"/>
              <w:rPr>
                <w:rFonts w:hint="default" w:ascii="宋体" w:hAnsi="宋体" w:eastAsia="仿宋_GB2312" w:cs="宋体"/>
                <w:kern w:val="0"/>
                <w:szCs w:val="21"/>
                <w:lang w:val="en-US" w:eastAsia="zh-CN"/>
              </w:rPr>
            </w:pPr>
            <w:r>
              <w:rPr>
                <w:rFonts w:hint="eastAsia" w:ascii="宋体" w:hAnsi="宋体" w:cs="宋体"/>
                <w:kern w:val="0"/>
                <w:szCs w:val="21"/>
                <w:lang w:val="en-US" w:eastAsia="zh-CN"/>
              </w:rPr>
              <w:t>14</w:t>
            </w:r>
          </w:p>
        </w:tc>
        <w:tc>
          <w:tcPr>
            <w:tcW w:w="2220" w:type="dxa"/>
            <w:tcBorders>
              <w:top w:val="nil"/>
              <w:left w:val="nil"/>
              <w:bottom w:val="single" w:color="auto" w:sz="4" w:space="0"/>
              <w:right w:val="single" w:color="auto" w:sz="4" w:space="0"/>
            </w:tcBorders>
            <w:noWrap w:val="0"/>
            <w:vAlign w:val="bottom"/>
          </w:tcPr>
          <w:p>
            <w:pPr>
              <w:widowControl/>
              <w:jc w:val="center"/>
              <w:rPr>
                <w:rFonts w:hint="default" w:ascii="宋体" w:hAnsi="宋体" w:eastAsia="仿宋_GB2312" w:cs="宋体"/>
                <w:kern w:val="0"/>
                <w:szCs w:val="21"/>
                <w:lang w:val="en-US" w:eastAsia="zh-CN"/>
              </w:rPr>
            </w:pPr>
            <w:r>
              <w:rPr>
                <w:rFonts w:hint="eastAsia" w:ascii="宋体" w:hAnsi="宋体" w:cs="宋体"/>
                <w:kern w:val="0"/>
                <w:szCs w:val="21"/>
                <w:lang w:val="en-US" w:eastAsia="zh-CN"/>
              </w:rPr>
              <w:t>13.3</w:t>
            </w:r>
          </w:p>
        </w:tc>
      </w:tr>
    </w:tbl>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both"/>
        <w:textAlignment w:val="auto"/>
        <w:outlineLvl w:val="9"/>
        <w:rPr>
          <w:rFonts w:hint="eastAsia" w:ascii="仿宋_GB2312" w:hAnsi="仿宋"/>
          <w:sz w:val="21"/>
          <w:szCs w:val="21"/>
          <w:lang w:val="en-US" w:eastAsia="zh-CN"/>
        </w:rPr>
      </w:pPr>
    </w:p>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both"/>
        <w:textAlignment w:val="auto"/>
        <w:outlineLvl w:val="9"/>
        <w:rPr>
          <w:rFonts w:hint="eastAsia" w:ascii="黑体" w:hAnsi="黑体" w:eastAsia="黑体"/>
          <w:szCs w:val="32"/>
        </w:rPr>
      </w:pPr>
      <w:r>
        <w:rPr>
          <w:rFonts w:hint="eastAsia" w:ascii="仿宋_GB2312" w:hAnsi="仿宋"/>
          <w:sz w:val="21"/>
          <w:szCs w:val="21"/>
          <w:lang w:val="en-US" w:eastAsia="zh-CN"/>
        </w:rPr>
        <w:t>注：本表反映单位本年度一般公共预算财政拨款“三公”经费支出预决算情况。其中，预算数为“三公”经费全年预算数，反映按规定程序调整后的预算数;决算数是包括当年一般公共预算财政拨款和以前年度结转资金安排的实际支出。</w:t>
      </w:r>
      <w:r>
        <w:rPr>
          <w:rFonts w:hint="eastAsia" w:ascii="仿宋_GB2312" w:hAnsi="仿宋"/>
          <w:sz w:val="21"/>
          <w:szCs w:val="21"/>
          <w:lang w:eastAsia="zh-CN"/>
        </w:rPr>
        <w:t xml:space="preserve"> </w:t>
      </w:r>
      <w:r>
        <w:rPr>
          <w:rFonts w:hint="eastAsia" w:ascii="仿宋_GB2312" w:hAnsi="仿宋"/>
          <w:szCs w:val="32"/>
          <w:lang w:eastAsia="zh-CN"/>
        </w:rPr>
        <w:t xml:space="preserve">  </w:t>
      </w:r>
      <w:r>
        <w:rPr>
          <w:rFonts w:hint="eastAsia" w:ascii="黑体" w:hAnsi="黑体" w:eastAsia="黑体"/>
          <w:szCs w:val="32"/>
        </w:rPr>
        <w:t xml:space="preserve">                                    </w:t>
      </w:r>
    </w:p>
    <w:p>
      <w:pPr>
        <w:rPr>
          <w:rFonts w:hint="eastAsia" w:ascii="黑体" w:hAnsi="黑体" w:eastAsia="黑体"/>
          <w:szCs w:val="32"/>
        </w:rPr>
      </w:pPr>
      <w:r>
        <w:rPr>
          <w:rFonts w:ascii="黑体" w:hAnsi="黑体" w:eastAsia="黑体"/>
          <w:szCs w:val="32"/>
        </w:rPr>
        <w:t xml:space="preserve">    </w:t>
      </w:r>
      <w:r>
        <w:rPr>
          <w:rFonts w:hint="eastAsia" w:ascii="黑体" w:hAnsi="黑体" w:eastAsia="黑体"/>
          <w:szCs w:val="32"/>
        </w:rPr>
        <w:t>二</w:t>
      </w:r>
      <w:r>
        <w:rPr>
          <w:rFonts w:ascii="黑体" w:hAnsi="黑体" w:eastAsia="黑体"/>
          <w:szCs w:val="32"/>
        </w:rPr>
        <w:t>、</w:t>
      </w:r>
      <w:r>
        <w:rPr>
          <w:rFonts w:hint="eastAsia" w:ascii="黑体" w:hAnsi="黑体" w:eastAsia="黑体"/>
          <w:szCs w:val="32"/>
          <w:lang w:eastAsia="zh-CN"/>
        </w:rPr>
        <w:t>202</w:t>
      </w:r>
      <w:r>
        <w:rPr>
          <w:rFonts w:hint="eastAsia" w:ascii="黑体" w:hAnsi="黑体" w:eastAsia="黑体"/>
          <w:szCs w:val="32"/>
          <w:lang w:val="en-US" w:eastAsia="zh-CN"/>
        </w:rPr>
        <w:t>5</w:t>
      </w:r>
      <w:r>
        <w:rPr>
          <w:rFonts w:ascii="黑体" w:hAnsi="黑体" w:eastAsia="黑体"/>
          <w:szCs w:val="32"/>
        </w:rPr>
        <w:t>年</w:t>
      </w:r>
      <w:r>
        <w:rPr>
          <w:rFonts w:hint="eastAsia" w:ascii="黑体" w:hAnsi="黑体" w:eastAsia="黑体"/>
          <w:szCs w:val="32"/>
        </w:rPr>
        <w:t>度一般公共预算财政拨款“三公”经费支出</w:t>
      </w:r>
      <w:r>
        <w:rPr>
          <w:rFonts w:ascii="黑体" w:hAnsi="黑体" w:eastAsia="黑体"/>
          <w:szCs w:val="32"/>
        </w:rPr>
        <w:t>情况说明</w:t>
      </w:r>
    </w:p>
    <w:p>
      <w:pPr>
        <w:ind w:firstLine="628" w:firstLineChars="200"/>
        <w:rPr>
          <w:rFonts w:hint="eastAsia" w:ascii="仿宋_GB2312" w:hAnsi="仿宋"/>
          <w:b/>
          <w:szCs w:val="32"/>
        </w:rPr>
      </w:pPr>
      <w:r>
        <w:rPr>
          <w:rFonts w:hint="eastAsia" w:ascii="仿宋_GB2312" w:hAnsi="仿宋"/>
          <w:b/>
          <w:szCs w:val="32"/>
        </w:rPr>
        <w:t>（一）一般公共预算财政拨款“三公”经费支出决算总体情况说明。</w:t>
      </w:r>
    </w:p>
    <w:p>
      <w:pPr>
        <w:ind w:firstLine="628" w:firstLineChars="200"/>
        <w:rPr>
          <w:rFonts w:hint="eastAsia" w:ascii="仿宋_GB2312" w:hAnsi="仿宋"/>
          <w:szCs w:val="32"/>
        </w:rPr>
      </w:pPr>
      <w:r>
        <w:rPr>
          <w:rFonts w:hint="eastAsia" w:ascii="仿宋_GB2312" w:hAnsi="仿宋"/>
          <w:szCs w:val="32"/>
          <w:lang w:val="en-US" w:eastAsia="zh-CN"/>
        </w:rPr>
        <w:t>淮南市</w:t>
      </w:r>
      <w:r>
        <w:rPr>
          <w:rFonts w:hint="eastAsia" w:ascii="仿宋_GB2312" w:hAnsi="仿宋"/>
          <w:szCs w:val="32"/>
          <w:lang w:eastAsia="zh-CN"/>
        </w:rPr>
        <w:t>市场监管综合行政执法支队202</w:t>
      </w:r>
      <w:r>
        <w:rPr>
          <w:rFonts w:hint="eastAsia" w:ascii="仿宋_GB2312" w:hAnsi="仿宋"/>
          <w:szCs w:val="32"/>
          <w:lang w:val="en-US" w:eastAsia="zh-CN"/>
        </w:rPr>
        <w:t>5</w:t>
      </w:r>
      <w:r>
        <w:rPr>
          <w:rFonts w:hint="eastAsia" w:ascii="仿宋_GB2312" w:hAnsi="仿宋"/>
          <w:szCs w:val="32"/>
        </w:rPr>
        <w:t>年度一般公共预算财政拨款“三公”经费支出预算为</w:t>
      </w:r>
      <w:r>
        <w:rPr>
          <w:rFonts w:hint="eastAsia" w:ascii="仿宋_GB2312" w:hAnsi="仿宋"/>
          <w:szCs w:val="32"/>
          <w:lang w:val="en-US" w:eastAsia="zh-CN"/>
        </w:rPr>
        <w:t>16</w:t>
      </w:r>
      <w:r>
        <w:rPr>
          <w:rFonts w:hint="eastAsia" w:ascii="仿宋_GB2312" w:hAnsi="仿宋"/>
          <w:szCs w:val="32"/>
        </w:rPr>
        <w:t>万元，支出决算为</w:t>
      </w:r>
      <w:r>
        <w:rPr>
          <w:rFonts w:hint="eastAsia" w:ascii="仿宋_GB2312" w:hAnsi="仿宋"/>
          <w:szCs w:val="32"/>
          <w:lang w:val="en-US" w:eastAsia="zh-CN"/>
        </w:rPr>
        <w:t>13.39</w:t>
      </w:r>
      <w:r>
        <w:rPr>
          <w:rFonts w:hint="eastAsia" w:ascii="仿宋_GB2312" w:hAnsi="仿宋"/>
          <w:szCs w:val="32"/>
        </w:rPr>
        <w:t>万元，完成预算的</w:t>
      </w:r>
      <w:r>
        <w:rPr>
          <w:rFonts w:hint="eastAsia" w:ascii="仿宋_GB2312" w:hAnsi="仿宋"/>
          <w:szCs w:val="32"/>
          <w:lang w:val="en-US" w:eastAsia="zh-CN"/>
        </w:rPr>
        <w:t>83.69</w:t>
      </w:r>
      <w:r>
        <w:rPr>
          <w:rFonts w:hint="eastAsia" w:ascii="仿宋_GB2312" w:hAnsi="仿宋"/>
          <w:szCs w:val="32"/>
        </w:rPr>
        <w:t>%，</w:t>
      </w:r>
      <w:r>
        <w:rPr>
          <w:rFonts w:hint="eastAsia" w:ascii="仿宋_GB2312" w:hAnsi="仿宋"/>
          <w:szCs w:val="32"/>
          <w:lang w:eastAsia="zh-CN"/>
        </w:rPr>
        <w:t>较上年减少</w:t>
      </w:r>
      <w:r>
        <w:rPr>
          <w:rFonts w:hint="eastAsia" w:ascii="仿宋_GB2312" w:hAnsi="仿宋"/>
          <w:szCs w:val="32"/>
          <w:lang w:val="en-US" w:eastAsia="zh-CN"/>
        </w:rPr>
        <w:t>0.05</w:t>
      </w:r>
      <w:r>
        <w:rPr>
          <w:rFonts w:hint="eastAsia" w:ascii="仿宋_GB2312" w:hAnsi="仿宋"/>
          <w:szCs w:val="32"/>
        </w:rPr>
        <w:t>万元</w:t>
      </w:r>
      <w:r>
        <w:rPr>
          <w:rFonts w:hint="eastAsia" w:ascii="仿宋_GB2312" w:hAnsi="仿宋"/>
          <w:szCs w:val="32"/>
          <w:lang w:eastAsia="zh-CN"/>
        </w:rPr>
        <w:t>，下降</w:t>
      </w:r>
      <w:r>
        <w:rPr>
          <w:rFonts w:hint="eastAsia" w:ascii="仿宋_GB2312" w:hAnsi="仿宋"/>
          <w:szCs w:val="32"/>
          <w:lang w:val="en-US" w:eastAsia="zh-CN"/>
        </w:rPr>
        <w:t>0.37%。</w:t>
      </w:r>
      <w:r>
        <w:rPr>
          <w:rFonts w:hint="eastAsia" w:ascii="仿宋_GB2312" w:hAnsi="仿宋"/>
          <w:szCs w:val="32"/>
        </w:rPr>
        <w:t>决算数</w:t>
      </w:r>
      <w:r>
        <w:rPr>
          <w:rFonts w:hint="eastAsia" w:ascii="仿宋_GB2312" w:hAnsi="仿宋"/>
          <w:szCs w:val="32"/>
          <w:lang w:eastAsia="zh-CN"/>
        </w:rPr>
        <w:t>小</w:t>
      </w:r>
      <w:r>
        <w:rPr>
          <w:rFonts w:hint="eastAsia" w:ascii="仿宋_GB2312" w:hAnsi="仿宋"/>
          <w:szCs w:val="32"/>
        </w:rPr>
        <w:t>于预算数的主要原因是</w:t>
      </w:r>
      <w:r>
        <w:rPr>
          <w:rFonts w:hint="eastAsia" w:ascii="仿宋_GB2312" w:eastAsia="仿宋_GB2312" w:cs="仿宋_GB2312"/>
          <w:color w:val="auto"/>
          <w:sz w:val="32"/>
          <w:szCs w:val="32"/>
        </w:rPr>
        <w:t>厉行节约，</w:t>
      </w:r>
      <w:r>
        <w:rPr>
          <w:rFonts w:ascii="仿宋_GB2312" w:eastAsia="仿宋_GB2312" w:cs="仿宋_GB2312"/>
          <w:color w:val="auto"/>
          <w:sz w:val="32"/>
          <w:szCs w:val="32"/>
        </w:rPr>
        <w:t>减少支出</w:t>
      </w:r>
      <w:r>
        <w:rPr>
          <w:rFonts w:hint="eastAsia" w:ascii="仿宋_GB2312" w:hAnsi="仿宋"/>
          <w:szCs w:val="32"/>
        </w:rPr>
        <w:t>。</w:t>
      </w:r>
    </w:p>
    <w:p>
      <w:pPr>
        <w:ind w:firstLine="628" w:firstLineChars="200"/>
        <w:rPr>
          <w:rFonts w:hint="eastAsia" w:ascii="仿宋_GB2312" w:hAnsi="仿宋"/>
          <w:b/>
          <w:szCs w:val="32"/>
        </w:rPr>
      </w:pPr>
      <w:r>
        <w:rPr>
          <w:rFonts w:hint="eastAsia" w:ascii="仿宋_GB2312" w:hAnsi="仿宋"/>
          <w:b/>
          <w:bCs/>
          <w:szCs w:val="32"/>
        </w:rPr>
        <w:t>（二）</w:t>
      </w:r>
      <w:r>
        <w:rPr>
          <w:rFonts w:hint="eastAsia" w:ascii="仿宋_GB2312" w:hAnsi="仿宋"/>
          <w:b/>
          <w:szCs w:val="32"/>
        </w:rPr>
        <w:t>一般公共预算财政拨款“三公”经费支出决算具体情况说明。</w:t>
      </w:r>
    </w:p>
    <w:p>
      <w:pPr>
        <w:ind w:firstLine="628" w:firstLineChars="200"/>
        <w:rPr>
          <w:rFonts w:hint="eastAsia" w:ascii="仿宋_GB2312" w:hAnsi="仿宋"/>
          <w:szCs w:val="32"/>
        </w:rPr>
      </w:pPr>
      <w:r>
        <w:rPr>
          <w:rFonts w:hint="eastAsia" w:ascii="仿宋_GB2312" w:hAnsi="仿宋"/>
          <w:szCs w:val="32"/>
          <w:lang w:val="en-US" w:eastAsia="zh-CN"/>
        </w:rPr>
        <w:t>淮南市</w:t>
      </w:r>
      <w:r>
        <w:rPr>
          <w:rFonts w:hint="eastAsia" w:ascii="仿宋_GB2312" w:hAnsi="仿宋"/>
          <w:szCs w:val="32"/>
          <w:lang w:eastAsia="zh-CN"/>
        </w:rPr>
        <w:t>市场监管综合行政执法支队202</w:t>
      </w:r>
      <w:r>
        <w:rPr>
          <w:rFonts w:hint="eastAsia" w:ascii="仿宋_GB2312" w:hAnsi="仿宋"/>
          <w:szCs w:val="32"/>
          <w:lang w:val="en-US" w:eastAsia="zh-CN"/>
        </w:rPr>
        <w:t>5</w:t>
      </w:r>
      <w:r>
        <w:rPr>
          <w:rFonts w:hint="eastAsia" w:ascii="仿宋_GB2312" w:hAnsi="仿宋"/>
          <w:szCs w:val="32"/>
        </w:rPr>
        <w:t>年度一般公共预算财政拨款“三公”经费支出决算中，因公出国（境）费支出决算</w:t>
      </w:r>
      <w:r>
        <w:rPr>
          <w:rFonts w:hint="eastAsia" w:ascii="仿宋_GB2312" w:hAnsi="仿宋"/>
          <w:szCs w:val="32"/>
          <w:lang w:val="en-US" w:eastAsia="zh-CN"/>
        </w:rPr>
        <w:t>0</w:t>
      </w:r>
      <w:r>
        <w:rPr>
          <w:rFonts w:hint="eastAsia" w:ascii="仿宋_GB2312" w:hAnsi="仿宋"/>
          <w:szCs w:val="32"/>
        </w:rPr>
        <w:t>万元，占</w:t>
      </w:r>
      <w:r>
        <w:rPr>
          <w:rFonts w:hint="eastAsia" w:ascii="仿宋_GB2312" w:hAnsi="仿宋"/>
          <w:szCs w:val="32"/>
          <w:lang w:val="en-US" w:eastAsia="zh-CN"/>
        </w:rPr>
        <w:t>0</w:t>
      </w:r>
      <w:r>
        <w:rPr>
          <w:rFonts w:hint="eastAsia" w:ascii="仿宋_GB2312" w:hAnsi="仿宋"/>
          <w:szCs w:val="32"/>
        </w:rPr>
        <w:t>%;公务接待费支出决算</w:t>
      </w:r>
      <w:r>
        <w:rPr>
          <w:rFonts w:hint="eastAsia" w:ascii="仿宋_GB2312" w:hAnsi="仿宋"/>
          <w:szCs w:val="32"/>
          <w:lang w:val="en-US" w:eastAsia="zh-CN"/>
        </w:rPr>
        <w:t>0.09</w:t>
      </w:r>
      <w:r>
        <w:rPr>
          <w:rFonts w:hint="eastAsia" w:ascii="仿宋_GB2312" w:hAnsi="仿宋"/>
          <w:szCs w:val="32"/>
        </w:rPr>
        <w:t>万元，占</w:t>
      </w:r>
      <w:r>
        <w:rPr>
          <w:rFonts w:hint="eastAsia" w:ascii="仿宋_GB2312" w:hAnsi="仿宋"/>
          <w:szCs w:val="32"/>
          <w:lang w:val="en-US" w:eastAsia="zh-CN"/>
        </w:rPr>
        <w:t>0.67</w:t>
      </w:r>
      <w:r>
        <w:rPr>
          <w:rFonts w:hint="eastAsia" w:ascii="仿宋_GB2312" w:hAnsi="仿宋"/>
          <w:szCs w:val="32"/>
        </w:rPr>
        <w:t>%；公务用车购置及运行维护费支出决算</w:t>
      </w:r>
      <w:r>
        <w:rPr>
          <w:rFonts w:hint="eastAsia" w:ascii="仿宋_GB2312" w:hAnsi="仿宋"/>
          <w:szCs w:val="32"/>
          <w:lang w:val="en-US" w:eastAsia="zh-CN"/>
        </w:rPr>
        <w:t>13.3</w:t>
      </w:r>
      <w:r>
        <w:rPr>
          <w:rFonts w:hint="eastAsia" w:ascii="仿宋_GB2312" w:hAnsi="仿宋"/>
          <w:szCs w:val="32"/>
        </w:rPr>
        <w:t>万元，占</w:t>
      </w:r>
      <w:r>
        <w:rPr>
          <w:rFonts w:hint="eastAsia" w:ascii="仿宋_GB2312" w:hAnsi="仿宋"/>
          <w:szCs w:val="32"/>
          <w:lang w:val="en-US" w:eastAsia="zh-CN"/>
        </w:rPr>
        <w:t>99.33</w:t>
      </w:r>
      <w:r>
        <w:rPr>
          <w:rFonts w:hint="eastAsia" w:ascii="仿宋_GB2312" w:hAnsi="仿宋"/>
          <w:szCs w:val="32"/>
        </w:rPr>
        <w:t>%。具体情况如下：</w:t>
      </w:r>
    </w:p>
    <w:p>
      <w:pPr>
        <w:ind w:firstLine="628" w:firstLineChars="200"/>
        <w:rPr>
          <w:rFonts w:hint="eastAsia" w:ascii="仿宋_GB2312" w:hAnsi="仿宋"/>
          <w:sz w:val="32"/>
        </w:rPr>
      </w:pPr>
      <w:r>
        <w:rPr>
          <w:rFonts w:hint="eastAsia" w:ascii="仿宋_GB2312" w:hAnsi="仿宋"/>
          <w:b/>
          <w:bCs/>
          <w:szCs w:val="32"/>
        </w:rPr>
        <w:t>1.因公出国（境）费</w:t>
      </w:r>
      <w:r>
        <w:rPr>
          <w:rFonts w:hint="eastAsia" w:ascii="仿宋_GB2312" w:hAnsi="仿宋"/>
          <w:szCs w:val="32"/>
          <w:lang w:eastAsia="zh-CN"/>
        </w:rPr>
        <w:t>预算为</w:t>
      </w:r>
      <w:r>
        <w:rPr>
          <w:rFonts w:hint="eastAsia" w:ascii="仿宋_GB2312" w:hAnsi="仿宋"/>
          <w:szCs w:val="32"/>
          <w:lang w:val="en-US" w:eastAsia="zh-CN"/>
        </w:rPr>
        <w:t>0</w:t>
      </w:r>
      <w:r>
        <w:rPr>
          <w:rFonts w:hint="eastAsia" w:ascii="仿宋_GB2312" w:hAnsi="仿宋"/>
          <w:szCs w:val="32"/>
          <w:lang w:eastAsia="zh-CN"/>
        </w:rPr>
        <w:t>万元，支出决算为</w:t>
      </w:r>
      <w:r>
        <w:rPr>
          <w:rFonts w:hint="eastAsia" w:ascii="仿宋_GB2312" w:hAnsi="仿宋"/>
          <w:szCs w:val="32"/>
          <w:lang w:val="en-US" w:eastAsia="zh-CN"/>
        </w:rPr>
        <w:t>0万元</w:t>
      </w:r>
      <w:r>
        <w:rPr>
          <w:rFonts w:hint="eastAsia" w:ascii="仿宋_GB2312" w:hAnsi="仿宋"/>
          <w:szCs w:val="32"/>
          <w:lang w:eastAsia="zh-CN"/>
        </w:rPr>
        <w:t>。202</w:t>
      </w:r>
      <w:r>
        <w:rPr>
          <w:rFonts w:hint="eastAsia" w:ascii="仿宋_GB2312" w:hAnsi="仿宋"/>
          <w:szCs w:val="32"/>
          <w:lang w:val="en-US" w:eastAsia="zh-CN"/>
        </w:rPr>
        <w:t>5</w:t>
      </w:r>
      <w:r>
        <w:rPr>
          <w:rFonts w:hint="eastAsia" w:ascii="仿宋_GB2312" w:hAnsi="仿宋"/>
          <w:szCs w:val="32"/>
        </w:rPr>
        <w:t>年</w:t>
      </w:r>
      <w:r>
        <w:rPr>
          <w:rFonts w:hint="eastAsia" w:ascii="仿宋_GB2312" w:hAnsi="仿宋"/>
          <w:szCs w:val="32"/>
          <w:lang w:val="en-US" w:eastAsia="zh-CN"/>
        </w:rPr>
        <w:t>淮南市</w:t>
      </w:r>
      <w:r>
        <w:rPr>
          <w:rFonts w:hint="eastAsia" w:ascii="仿宋_GB2312" w:hAnsi="仿宋"/>
          <w:szCs w:val="32"/>
          <w:lang w:eastAsia="zh-CN"/>
        </w:rPr>
        <w:t>市场监管综合行政执法支队</w:t>
      </w:r>
      <w:r>
        <w:rPr>
          <w:rFonts w:hint="eastAsia" w:ascii="仿宋_GB2312" w:hAnsi="仿宋"/>
          <w:szCs w:val="32"/>
        </w:rPr>
        <w:t>因公出国（境）团组</w:t>
      </w:r>
      <w:r>
        <w:rPr>
          <w:rFonts w:hint="eastAsia" w:ascii="仿宋_GB2312" w:hAnsi="仿宋"/>
          <w:szCs w:val="32"/>
          <w:lang w:val="en-US" w:eastAsia="zh-CN"/>
        </w:rPr>
        <w:t>0</w:t>
      </w:r>
      <w:r>
        <w:rPr>
          <w:rFonts w:hint="eastAsia" w:ascii="仿宋_GB2312" w:hAnsi="仿宋"/>
          <w:szCs w:val="32"/>
        </w:rPr>
        <w:t>次，累计出国（境）</w:t>
      </w:r>
      <w:r>
        <w:rPr>
          <w:rFonts w:hint="eastAsia" w:ascii="仿宋_GB2312" w:hAnsi="仿宋"/>
          <w:szCs w:val="32"/>
          <w:lang w:val="en-US" w:eastAsia="zh-CN"/>
        </w:rPr>
        <w:t>0</w:t>
      </w:r>
      <w:r>
        <w:rPr>
          <w:rFonts w:hint="eastAsia" w:ascii="仿宋_GB2312" w:hAnsi="仿宋"/>
          <w:szCs w:val="32"/>
        </w:rPr>
        <w:t>人次。该项经费根据省外办批准的因公临时出国（境）计划，按照规定标准安排。</w:t>
      </w:r>
      <w:r>
        <w:rPr>
          <w:rFonts w:hint="eastAsia" w:ascii="仿宋_GB2312" w:hAnsi="仿宋"/>
          <w:sz w:val="32"/>
        </w:rPr>
        <w:t>经费使用深入贯彻中央八项规定精神，严格执行《党政机关厉行节约反对浪费条例》、《淮南市党政机关国内公务接待管理办法》(淮办发[2024]22号)等相关规定。</w:t>
      </w:r>
      <w:bookmarkStart w:id="0" w:name="_GoBack"/>
      <w:bookmarkEnd w:id="0"/>
    </w:p>
    <w:p>
      <w:pPr>
        <w:ind w:firstLine="628" w:firstLineChars="200"/>
        <w:rPr>
          <w:rFonts w:hint="eastAsia" w:ascii="仿宋_GB2312" w:hAnsi="仿宋"/>
          <w:szCs w:val="32"/>
        </w:rPr>
      </w:pPr>
      <w:r>
        <w:rPr>
          <w:rFonts w:hint="eastAsia" w:ascii="仿宋_GB2312" w:hAnsi="仿宋"/>
          <w:b/>
          <w:bCs/>
          <w:szCs w:val="32"/>
        </w:rPr>
        <w:t>2.公务接待费</w:t>
      </w:r>
      <w:r>
        <w:rPr>
          <w:rFonts w:hint="eastAsia" w:ascii="仿宋_GB2312" w:hAnsi="仿宋"/>
          <w:szCs w:val="32"/>
          <w:lang w:eastAsia="zh-CN"/>
        </w:rPr>
        <w:t>预算为</w:t>
      </w:r>
      <w:r>
        <w:rPr>
          <w:rFonts w:hint="eastAsia" w:ascii="仿宋_GB2312" w:hAnsi="仿宋"/>
          <w:szCs w:val="32"/>
          <w:lang w:val="en-US" w:eastAsia="zh-CN"/>
        </w:rPr>
        <w:t>2</w:t>
      </w:r>
      <w:r>
        <w:rPr>
          <w:rFonts w:hint="eastAsia" w:ascii="仿宋_GB2312" w:hAnsi="仿宋"/>
          <w:szCs w:val="32"/>
          <w:lang w:eastAsia="zh-CN"/>
        </w:rPr>
        <w:t>万元，支出决算为</w:t>
      </w:r>
      <w:r>
        <w:rPr>
          <w:rFonts w:hint="eastAsia" w:ascii="仿宋_GB2312" w:hAnsi="仿宋"/>
          <w:szCs w:val="32"/>
          <w:lang w:val="en-US" w:eastAsia="zh-CN"/>
        </w:rPr>
        <w:t>0.09万元</w:t>
      </w:r>
      <w:r>
        <w:rPr>
          <w:rFonts w:hint="eastAsia" w:ascii="仿宋_GB2312" w:hAnsi="仿宋"/>
          <w:szCs w:val="32"/>
          <w:lang w:eastAsia="zh-CN"/>
        </w:rPr>
        <w:t>，完成预算的</w:t>
      </w:r>
      <w:r>
        <w:rPr>
          <w:rFonts w:hint="eastAsia" w:ascii="仿宋_GB2312" w:hAnsi="仿宋"/>
          <w:szCs w:val="32"/>
          <w:lang w:val="en-US" w:eastAsia="zh-CN"/>
        </w:rPr>
        <w:t>0.45</w:t>
      </w:r>
      <w:r>
        <w:rPr>
          <w:rFonts w:hint="eastAsia" w:ascii="仿宋_GB2312" w:hAnsi="仿宋"/>
          <w:szCs w:val="32"/>
          <w:lang w:eastAsia="zh-CN"/>
        </w:rPr>
        <w:t>%；较上年持平，无增减</w:t>
      </w:r>
      <w:r>
        <w:rPr>
          <w:rFonts w:hint="eastAsia" w:ascii="仿宋_GB2312" w:hAnsi="仿宋"/>
          <w:szCs w:val="32"/>
          <w:lang w:val="en-US" w:eastAsia="zh-CN"/>
        </w:rPr>
        <w:t>。</w:t>
      </w:r>
      <w:r>
        <w:rPr>
          <w:rFonts w:hint="eastAsia" w:ascii="仿宋_GB2312" w:hAnsi="仿宋"/>
          <w:szCs w:val="32"/>
          <w:lang w:eastAsia="zh-CN"/>
        </w:rPr>
        <w:t>决算数小于预算数的主要原因是</w:t>
      </w:r>
      <w:r>
        <w:rPr>
          <w:rFonts w:hint="eastAsia" w:ascii="仿宋_GB2312" w:eastAsia="仿宋_GB2312" w:cs="仿宋_GB2312"/>
          <w:color w:val="auto"/>
          <w:sz w:val="32"/>
          <w:szCs w:val="32"/>
        </w:rPr>
        <w:t>厉行节约，</w:t>
      </w:r>
      <w:r>
        <w:rPr>
          <w:rFonts w:ascii="仿宋_GB2312" w:eastAsia="仿宋_GB2312" w:cs="仿宋_GB2312"/>
          <w:color w:val="auto"/>
          <w:sz w:val="32"/>
          <w:szCs w:val="32"/>
        </w:rPr>
        <w:t>减少支出</w:t>
      </w:r>
      <w:r>
        <w:rPr>
          <w:rFonts w:hint="eastAsia" w:ascii="仿宋_GB2312" w:hAnsi="仿宋"/>
          <w:szCs w:val="32"/>
          <w:lang w:eastAsia="zh-CN"/>
        </w:rPr>
        <w:t>。202</w:t>
      </w:r>
      <w:r>
        <w:rPr>
          <w:rFonts w:hint="eastAsia" w:ascii="仿宋_GB2312" w:hAnsi="仿宋"/>
          <w:szCs w:val="32"/>
          <w:lang w:val="en-US" w:eastAsia="zh-CN"/>
        </w:rPr>
        <w:t>5</w:t>
      </w:r>
      <w:r>
        <w:rPr>
          <w:rFonts w:hint="eastAsia" w:ascii="仿宋_GB2312" w:hAnsi="仿宋"/>
          <w:szCs w:val="32"/>
        </w:rPr>
        <w:t>年</w:t>
      </w:r>
      <w:r>
        <w:rPr>
          <w:rFonts w:hint="eastAsia" w:ascii="仿宋_GB2312" w:hAnsi="仿宋"/>
          <w:szCs w:val="32"/>
          <w:lang w:val="en-US" w:eastAsia="zh-CN"/>
        </w:rPr>
        <w:t>淮南市</w:t>
      </w:r>
      <w:r>
        <w:rPr>
          <w:rFonts w:hint="eastAsia" w:ascii="仿宋_GB2312" w:hAnsi="仿宋"/>
          <w:szCs w:val="32"/>
          <w:lang w:eastAsia="zh-CN"/>
        </w:rPr>
        <w:t>市场监管综合行政执法支队</w:t>
      </w:r>
      <w:r>
        <w:rPr>
          <w:rFonts w:hint="eastAsia" w:ascii="仿宋_GB2312" w:hAnsi="仿宋"/>
          <w:szCs w:val="32"/>
        </w:rPr>
        <w:t>国内公务接待共</w:t>
      </w:r>
      <w:r>
        <w:rPr>
          <w:rFonts w:hint="eastAsia" w:ascii="仿宋_GB2312" w:hAnsi="仿宋"/>
          <w:szCs w:val="32"/>
          <w:lang w:val="en-US" w:eastAsia="zh-CN"/>
        </w:rPr>
        <w:t>1</w:t>
      </w:r>
      <w:r>
        <w:rPr>
          <w:rFonts w:hint="eastAsia" w:ascii="仿宋_GB2312" w:hAnsi="仿宋"/>
          <w:szCs w:val="32"/>
        </w:rPr>
        <w:t>批次（其中外事接待</w:t>
      </w:r>
      <w:r>
        <w:rPr>
          <w:rFonts w:hint="eastAsia" w:ascii="仿宋_GB2312" w:hAnsi="仿宋"/>
          <w:szCs w:val="32"/>
          <w:lang w:val="en-US" w:eastAsia="zh-CN"/>
        </w:rPr>
        <w:t>0</w:t>
      </w:r>
      <w:r>
        <w:rPr>
          <w:rFonts w:hint="eastAsia" w:ascii="仿宋_GB2312" w:hAnsi="仿宋"/>
          <w:szCs w:val="32"/>
        </w:rPr>
        <w:t>批次），</w:t>
      </w:r>
      <w:r>
        <w:rPr>
          <w:rFonts w:hint="eastAsia" w:ascii="仿宋_GB2312" w:hAnsi="仿宋"/>
          <w:szCs w:val="32"/>
          <w:lang w:val="en-US" w:eastAsia="zh-CN"/>
        </w:rPr>
        <w:t>8</w:t>
      </w:r>
      <w:r>
        <w:rPr>
          <w:rFonts w:hint="eastAsia" w:ascii="仿宋_GB2312" w:hAnsi="仿宋"/>
          <w:szCs w:val="32"/>
        </w:rPr>
        <w:t>人次（其中外事接待</w:t>
      </w:r>
      <w:r>
        <w:rPr>
          <w:rFonts w:hint="eastAsia" w:ascii="仿宋_GB2312" w:hAnsi="仿宋"/>
          <w:szCs w:val="32"/>
          <w:lang w:val="en-US" w:eastAsia="zh-CN"/>
        </w:rPr>
        <w:t>0</w:t>
      </w:r>
      <w:r>
        <w:rPr>
          <w:rFonts w:hint="eastAsia" w:ascii="仿宋_GB2312" w:hAnsi="仿宋"/>
          <w:szCs w:val="32"/>
        </w:rPr>
        <w:t>人次）</w:t>
      </w:r>
      <w:r>
        <w:rPr>
          <w:rFonts w:hint="eastAsia" w:ascii="仿宋_GB2312" w:hAnsi="仿宋"/>
          <w:szCs w:val="32"/>
          <w:lang w:val="en-US" w:eastAsia="zh-CN"/>
        </w:rPr>
        <w:t>,</w:t>
      </w:r>
      <w:r>
        <w:rPr>
          <w:rFonts w:hint="eastAsia" w:ascii="仿宋_GB2312" w:hAnsi="仿宋"/>
          <w:szCs w:val="32"/>
        </w:rPr>
        <w:t>主要是用于</w:t>
      </w:r>
      <w:r>
        <w:rPr>
          <w:rFonts w:hint="eastAsia" w:ascii="仿宋_GB2312" w:hAnsi="仿宋"/>
          <w:color w:val="auto"/>
          <w:szCs w:val="32"/>
        </w:rPr>
        <w:t>公务接待</w:t>
      </w:r>
      <w:r>
        <w:rPr>
          <w:rFonts w:hint="eastAsia" w:ascii="仿宋_GB2312" w:hAnsi="仿宋"/>
          <w:szCs w:val="32"/>
        </w:rPr>
        <w:t>。经费使用贯彻中央八项规定</w:t>
      </w:r>
      <w:r>
        <w:rPr>
          <w:rFonts w:hint="eastAsia" w:ascii="仿宋_GB2312" w:hAnsi="仿宋"/>
          <w:szCs w:val="32"/>
          <w:lang w:eastAsia="zh-CN"/>
        </w:rPr>
        <w:t>精神</w:t>
      </w:r>
      <w:r>
        <w:rPr>
          <w:rFonts w:hint="eastAsia" w:ascii="仿宋_GB2312" w:hAnsi="仿宋"/>
          <w:szCs w:val="32"/>
        </w:rPr>
        <w:t>和省</w:t>
      </w:r>
      <w:r>
        <w:rPr>
          <w:rFonts w:hint="eastAsia" w:ascii="仿宋_GB2312" w:hAnsi="仿宋"/>
          <w:szCs w:val="32"/>
          <w:lang w:eastAsia="zh-CN"/>
        </w:rPr>
        <w:t>委</w:t>
      </w:r>
      <w:r>
        <w:rPr>
          <w:rFonts w:hint="eastAsia" w:ascii="仿宋_GB2312" w:hAnsi="仿宋"/>
          <w:szCs w:val="32"/>
        </w:rPr>
        <w:t>实</w:t>
      </w:r>
      <w:r>
        <w:rPr>
          <w:rFonts w:hint="eastAsia" w:ascii="仿宋_GB2312" w:hAnsi="宋体" w:cs="宋体"/>
          <w:color w:val="282828"/>
          <w:kern w:val="0"/>
          <w:szCs w:val="32"/>
        </w:rPr>
        <w:t>施细则</w:t>
      </w:r>
      <w:r>
        <w:rPr>
          <w:rFonts w:hint="eastAsia" w:ascii="仿宋_GB2312" w:hAnsi="仿宋"/>
          <w:szCs w:val="32"/>
        </w:rPr>
        <w:t>，严格执行《党政机关厉行节约反对浪费条例》、《</w:t>
      </w:r>
      <w:r>
        <w:rPr>
          <w:rFonts w:hint="eastAsia" w:ascii="仿宋_GB2312" w:hAnsi="仿宋"/>
          <w:szCs w:val="32"/>
          <w:lang w:eastAsia="zh-CN"/>
        </w:rPr>
        <w:t>淮南市党政机关国内公务接待管理办法</w:t>
      </w:r>
      <w:r>
        <w:rPr>
          <w:rFonts w:hint="eastAsia" w:ascii="仿宋_GB2312" w:hAnsi="仿宋"/>
          <w:szCs w:val="32"/>
        </w:rPr>
        <w:t>》（</w:t>
      </w:r>
      <w:r>
        <w:rPr>
          <w:rFonts w:hint="eastAsia" w:ascii="仿宋_GB2312" w:hAnsi="仿宋"/>
          <w:szCs w:val="32"/>
          <w:lang w:val="en-US" w:eastAsia="zh-CN"/>
        </w:rPr>
        <w:t>淮办发</w:t>
      </w:r>
      <w:r>
        <w:rPr>
          <w:rFonts w:hint="eastAsia" w:ascii="仿宋_GB2312" w:hAnsi="仿宋"/>
          <w:szCs w:val="32"/>
        </w:rPr>
        <w:t>〔20</w:t>
      </w:r>
      <w:r>
        <w:rPr>
          <w:rFonts w:hint="eastAsia" w:ascii="仿宋_GB2312" w:hAnsi="仿宋"/>
          <w:szCs w:val="32"/>
          <w:lang w:val="en-US" w:eastAsia="zh-CN"/>
        </w:rPr>
        <w:t>2</w:t>
      </w:r>
      <w:r>
        <w:rPr>
          <w:rFonts w:hint="eastAsia" w:ascii="仿宋_GB2312" w:hAnsi="仿宋"/>
          <w:szCs w:val="32"/>
        </w:rPr>
        <w:t>4〕2</w:t>
      </w:r>
      <w:r>
        <w:rPr>
          <w:rFonts w:hint="eastAsia" w:ascii="仿宋_GB2312" w:hAnsi="仿宋"/>
          <w:szCs w:val="32"/>
          <w:lang w:val="en-US" w:eastAsia="zh-CN"/>
        </w:rPr>
        <w:t>2</w:t>
      </w:r>
      <w:r>
        <w:rPr>
          <w:rFonts w:hint="eastAsia" w:ascii="仿宋_GB2312" w:hAnsi="仿宋"/>
          <w:szCs w:val="32"/>
        </w:rPr>
        <w:t>号）。</w:t>
      </w:r>
    </w:p>
    <w:p>
      <w:pPr>
        <w:ind w:firstLine="628" w:firstLineChars="200"/>
        <w:rPr>
          <w:rFonts w:hint="eastAsia" w:ascii="仿宋_GB2312" w:eastAsia="仿宋_GB2312"/>
          <w:sz w:val="32"/>
        </w:rPr>
      </w:pPr>
      <w:r>
        <w:rPr>
          <w:rFonts w:hint="eastAsia" w:ascii="仿宋_GB2312" w:hAnsi="仿宋"/>
          <w:b/>
          <w:bCs/>
          <w:szCs w:val="32"/>
        </w:rPr>
        <w:t>3.公务用车购置及运行维护费</w:t>
      </w:r>
      <w:r>
        <w:rPr>
          <w:rFonts w:hint="eastAsia" w:ascii="仿宋_GB2312" w:hAnsi="仿宋"/>
          <w:szCs w:val="32"/>
          <w:lang w:eastAsia="zh-CN"/>
        </w:rPr>
        <w:t>预算为</w:t>
      </w:r>
      <w:r>
        <w:rPr>
          <w:rFonts w:hint="eastAsia" w:ascii="仿宋_GB2312" w:hAnsi="仿宋"/>
          <w:szCs w:val="32"/>
          <w:lang w:val="en-US" w:eastAsia="zh-CN"/>
        </w:rPr>
        <w:t>14</w:t>
      </w:r>
      <w:r>
        <w:rPr>
          <w:rFonts w:hint="eastAsia" w:ascii="仿宋_GB2312" w:hAnsi="仿宋"/>
          <w:szCs w:val="32"/>
          <w:lang w:eastAsia="zh-CN"/>
        </w:rPr>
        <w:t>万元，支出决算为</w:t>
      </w:r>
      <w:r>
        <w:rPr>
          <w:rFonts w:hint="eastAsia" w:ascii="仿宋_GB2312" w:hAnsi="仿宋"/>
          <w:szCs w:val="32"/>
          <w:lang w:val="en-US" w:eastAsia="zh-CN"/>
        </w:rPr>
        <w:t xml:space="preserve">  13.3万元</w:t>
      </w:r>
      <w:r>
        <w:rPr>
          <w:rFonts w:hint="eastAsia" w:ascii="仿宋_GB2312" w:hAnsi="仿宋"/>
          <w:szCs w:val="32"/>
          <w:lang w:eastAsia="zh-CN"/>
        </w:rPr>
        <w:t>，完成预算的</w:t>
      </w:r>
      <w:r>
        <w:rPr>
          <w:rFonts w:hint="eastAsia" w:ascii="仿宋_GB2312" w:hAnsi="仿宋"/>
          <w:szCs w:val="32"/>
          <w:lang w:val="en-US" w:eastAsia="zh-CN"/>
        </w:rPr>
        <w:t>95</w:t>
      </w:r>
      <w:r>
        <w:rPr>
          <w:rFonts w:hint="eastAsia" w:ascii="仿宋_GB2312" w:hAnsi="仿宋"/>
          <w:szCs w:val="32"/>
          <w:lang w:eastAsia="zh-CN"/>
        </w:rPr>
        <w:t>%；较上年减少</w:t>
      </w:r>
      <w:r>
        <w:rPr>
          <w:rFonts w:hint="eastAsia" w:ascii="仿宋_GB2312" w:hAnsi="仿宋"/>
          <w:szCs w:val="32"/>
          <w:lang w:val="en-US" w:eastAsia="zh-CN"/>
        </w:rPr>
        <w:t>0.04</w:t>
      </w:r>
      <w:r>
        <w:rPr>
          <w:rFonts w:hint="eastAsia" w:ascii="仿宋_GB2312" w:hAnsi="仿宋"/>
          <w:szCs w:val="32"/>
          <w:lang w:eastAsia="zh-CN"/>
        </w:rPr>
        <w:t>万元，下降</w:t>
      </w:r>
      <w:r>
        <w:rPr>
          <w:rFonts w:hint="eastAsia" w:ascii="仿宋_GB2312" w:hAnsi="仿宋"/>
          <w:szCs w:val="32"/>
          <w:lang w:val="en-US" w:eastAsia="zh-CN"/>
        </w:rPr>
        <w:t>0.3%。</w:t>
      </w:r>
      <w:r>
        <w:rPr>
          <w:rFonts w:hint="eastAsia" w:ascii="仿宋_GB2312" w:hAnsi="仿宋"/>
          <w:szCs w:val="32"/>
          <w:lang w:eastAsia="zh-CN"/>
        </w:rPr>
        <w:t>决算数小于预算数的主要原因是</w:t>
      </w:r>
      <w:r>
        <w:rPr>
          <w:rFonts w:hint="eastAsia" w:ascii="仿宋_GB2312" w:eastAsia="仿宋_GB2312" w:cs="仿宋_GB2312"/>
          <w:color w:val="auto"/>
          <w:sz w:val="32"/>
          <w:szCs w:val="32"/>
        </w:rPr>
        <w:t>厉行节约，</w:t>
      </w:r>
      <w:r>
        <w:rPr>
          <w:rFonts w:ascii="仿宋_GB2312" w:eastAsia="仿宋_GB2312" w:cs="仿宋_GB2312"/>
          <w:color w:val="auto"/>
          <w:sz w:val="32"/>
          <w:szCs w:val="32"/>
        </w:rPr>
        <w:t>减少支出</w:t>
      </w:r>
      <w:r>
        <w:rPr>
          <w:rFonts w:hint="eastAsia" w:ascii="仿宋_GB2312" w:hAnsi="仿宋"/>
          <w:szCs w:val="32"/>
          <w:lang w:eastAsia="zh-CN"/>
        </w:rPr>
        <w:t>。决算数较上年减少的主要原因是</w:t>
      </w:r>
      <w:r>
        <w:rPr>
          <w:rFonts w:hint="eastAsia" w:ascii="仿宋_GB2312" w:eastAsia="仿宋_GB2312" w:cs="仿宋_GB2312"/>
          <w:color w:val="auto"/>
          <w:sz w:val="32"/>
          <w:szCs w:val="32"/>
        </w:rPr>
        <w:t>厉行节约，</w:t>
      </w:r>
      <w:r>
        <w:rPr>
          <w:rFonts w:ascii="仿宋_GB2312" w:eastAsia="仿宋_GB2312" w:cs="仿宋_GB2312"/>
          <w:color w:val="auto"/>
          <w:sz w:val="32"/>
          <w:szCs w:val="32"/>
        </w:rPr>
        <w:t>减少支出</w:t>
      </w:r>
      <w:r>
        <w:rPr>
          <w:rFonts w:hint="eastAsia" w:ascii="仿宋_GB2312" w:hAnsi="仿宋"/>
          <w:szCs w:val="32"/>
          <w:lang w:eastAsia="zh-CN"/>
        </w:rPr>
        <w:t>。</w:t>
      </w:r>
      <w:r>
        <w:rPr>
          <w:rFonts w:hint="eastAsia" w:ascii="仿宋_GB2312" w:hAnsi="仿宋"/>
          <w:szCs w:val="32"/>
        </w:rPr>
        <w:t>其中，</w:t>
      </w:r>
      <w:r>
        <w:rPr>
          <w:rFonts w:hint="eastAsia" w:ascii="仿宋_GB2312" w:hAnsi="仿宋" w:cs="Times New Roman"/>
          <w:szCs w:val="32"/>
          <w:lang w:eastAsia="zh-CN"/>
        </w:rPr>
        <w:t>202</w:t>
      </w:r>
      <w:r>
        <w:rPr>
          <w:rFonts w:hint="eastAsia" w:ascii="仿宋_GB2312" w:hAnsi="仿宋" w:cs="Times New Roman"/>
          <w:szCs w:val="32"/>
          <w:lang w:val="en-US" w:eastAsia="zh-CN"/>
        </w:rPr>
        <w:t>5</w:t>
      </w:r>
      <w:r>
        <w:rPr>
          <w:rFonts w:hint="eastAsia" w:ascii="仿宋_GB2312" w:hAnsi="仿宋" w:cs="Times New Roman"/>
          <w:szCs w:val="32"/>
        </w:rPr>
        <w:t>年没有安排公务用车购置费</w:t>
      </w:r>
      <w:r>
        <w:rPr>
          <w:rFonts w:hint="eastAsia" w:ascii="楷体_GB2312" w:hAnsi="仿宋" w:eastAsia="楷体_GB2312"/>
          <w:szCs w:val="32"/>
        </w:rPr>
        <w:t>。</w:t>
      </w:r>
      <w:r>
        <w:rPr>
          <w:rFonts w:hint="eastAsia" w:ascii="仿宋_GB2312" w:hAnsi="仿宋"/>
          <w:szCs w:val="32"/>
        </w:rPr>
        <w:t>公务用车运行维护费</w:t>
      </w:r>
      <w:r>
        <w:rPr>
          <w:rFonts w:hint="eastAsia" w:ascii="仿宋_GB2312" w:hAnsi="仿宋"/>
          <w:szCs w:val="32"/>
          <w:lang w:eastAsia="zh-CN"/>
        </w:rPr>
        <w:t>预算为</w:t>
      </w:r>
      <w:r>
        <w:rPr>
          <w:rFonts w:hint="eastAsia" w:ascii="仿宋_GB2312" w:hAnsi="仿宋"/>
          <w:szCs w:val="32"/>
          <w:lang w:val="en-US" w:eastAsia="zh-CN"/>
        </w:rPr>
        <w:t>14</w:t>
      </w:r>
      <w:r>
        <w:rPr>
          <w:rFonts w:hint="eastAsia" w:ascii="仿宋_GB2312" w:hAnsi="仿宋"/>
          <w:szCs w:val="32"/>
          <w:lang w:eastAsia="zh-CN"/>
        </w:rPr>
        <w:t>万元，支出决算为</w:t>
      </w:r>
      <w:r>
        <w:rPr>
          <w:rFonts w:hint="eastAsia" w:ascii="仿宋_GB2312" w:hAnsi="仿宋"/>
          <w:szCs w:val="32"/>
          <w:lang w:val="en-US" w:eastAsia="zh-CN"/>
        </w:rPr>
        <w:t>13.3万元</w:t>
      </w:r>
      <w:r>
        <w:rPr>
          <w:rFonts w:hint="eastAsia" w:ascii="仿宋_GB2312" w:hAnsi="仿宋"/>
          <w:szCs w:val="32"/>
          <w:lang w:eastAsia="zh-CN"/>
        </w:rPr>
        <w:t>，完成预算的</w:t>
      </w:r>
      <w:r>
        <w:rPr>
          <w:rFonts w:hint="eastAsia" w:ascii="仿宋_GB2312" w:hAnsi="仿宋"/>
          <w:szCs w:val="32"/>
          <w:lang w:val="en-US" w:eastAsia="zh-CN"/>
        </w:rPr>
        <w:t>95</w:t>
      </w:r>
      <w:r>
        <w:rPr>
          <w:rFonts w:hint="eastAsia" w:ascii="仿宋_GB2312" w:hAnsi="仿宋"/>
          <w:szCs w:val="32"/>
          <w:lang w:eastAsia="zh-CN"/>
        </w:rPr>
        <w:t>%；较上年减少</w:t>
      </w:r>
      <w:r>
        <w:rPr>
          <w:rFonts w:hint="eastAsia" w:ascii="仿宋_GB2312" w:hAnsi="仿宋"/>
          <w:szCs w:val="32"/>
          <w:lang w:val="en-US" w:eastAsia="zh-CN"/>
        </w:rPr>
        <w:t>0.04</w:t>
      </w:r>
      <w:r>
        <w:rPr>
          <w:rFonts w:hint="eastAsia" w:ascii="仿宋_GB2312" w:hAnsi="仿宋"/>
          <w:szCs w:val="32"/>
          <w:lang w:eastAsia="zh-CN"/>
        </w:rPr>
        <w:t>万元，下降</w:t>
      </w:r>
      <w:r>
        <w:rPr>
          <w:rFonts w:hint="eastAsia" w:ascii="仿宋_GB2312" w:hAnsi="仿宋"/>
          <w:szCs w:val="32"/>
          <w:lang w:val="en-US" w:eastAsia="zh-CN"/>
        </w:rPr>
        <w:t>0.3%。</w:t>
      </w:r>
      <w:r>
        <w:rPr>
          <w:rFonts w:hint="eastAsia" w:ascii="仿宋_GB2312" w:hAnsi="仿宋"/>
          <w:szCs w:val="32"/>
          <w:lang w:eastAsia="zh-CN"/>
        </w:rPr>
        <w:t>决算数小于预算数的主要原因是</w:t>
      </w:r>
      <w:r>
        <w:rPr>
          <w:rFonts w:hint="eastAsia" w:ascii="仿宋_GB2312" w:eastAsia="仿宋_GB2312" w:cs="仿宋_GB2312"/>
          <w:color w:val="auto"/>
          <w:sz w:val="32"/>
          <w:szCs w:val="32"/>
        </w:rPr>
        <w:t>厉行节约，</w:t>
      </w:r>
      <w:r>
        <w:rPr>
          <w:rFonts w:ascii="仿宋_GB2312" w:eastAsia="仿宋_GB2312" w:cs="仿宋_GB2312"/>
          <w:color w:val="auto"/>
          <w:sz w:val="32"/>
          <w:szCs w:val="32"/>
        </w:rPr>
        <w:t>减少支出</w:t>
      </w:r>
      <w:r>
        <w:rPr>
          <w:rFonts w:hint="eastAsia" w:ascii="仿宋_GB2312" w:hAnsi="仿宋"/>
          <w:szCs w:val="32"/>
          <w:lang w:eastAsia="zh-CN"/>
        </w:rPr>
        <w:t>。决算数较上年减少的主要原因是</w:t>
      </w:r>
      <w:r>
        <w:rPr>
          <w:rFonts w:hint="eastAsia" w:ascii="仿宋_GB2312" w:eastAsia="仿宋_GB2312" w:cs="仿宋_GB2312"/>
          <w:color w:val="auto"/>
          <w:sz w:val="32"/>
          <w:szCs w:val="32"/>
        </w:rPr>
        <w:t>厉行节约，</w:t>
      </w:r>
      <w:r>
        <w:rPr>
          <w:rFonts w:ascii="仿宋_GB2312" w:eastAsia="仿宋_GB2312" w:cs="仿宋_GB2312"/>
          <w:color w:val="auto"/>
          <w:sz w:val="32"/>
          <w:szCs w:val="32"/>
        </w:rPr>
        <w:t>减少支出</w:t>
      </w:r>
      <w:r>
        <w:rPr>
          <w:rFonts w:hint="eastAsia" w:ascii="仿宋_GB2312" w:hAnsi="仿宋"/>
          <w:szCs w:val="32"/>
          <w:lang w:eastAsia="zh-CN"/>
        </w:rPr>
        <w:t>。</w:t>
      </w:r>
      <w:r>
        <w:rPr>
          <w:rFonts w:hint="eastAsia" w:ascii="仿宋_GB2312" w:hAnsi="仿宋"/>
          <w:szCs w:val="32"/>
        </w:rPr>
        <w:t>公务用车运行维护费，包括车辆燃料费、维修费、过路过桥费、保险费等支出，主要用于</w:t>
      </w:r>
      <w:r>
        <w:rPr>
          <w:rFonts w:hint="eastAsia" w:ascii="仿宋_GB2312" w:eastAsia="仿宋_GB2312" w:cs="仿宋_GB2312"/>
          <w:color w:val="auto"/>
          <w:sz w:val="32"/>
          <w:szCs w:val="32"/>
          <w:lang w:eastAsia="zh-CN"/>
        </w:rPr>
        <w:t>执法</w:t>
      </w:r>
      <w:r>
        <w:rPr>
          <w:rFonts w:ascii="仿宋_GB2312" w:eastAsia="仿宋_GB2312" w:cs="仿宋_GB2312"/>
          <w:color w:val="auto"/>
          <w:sz w:val="32"/>
          <w:szCs w:val="32"/>
        </w:rPr>
        <w:t>用车运行维护</w:t>
      </w:r>
      <w:r>
        <w:rPr>
          <w:rFonts w:hint="eastAsia" w:ascii="仿宋_GB2312" w:hAnsi="仿宋"/>
          <w:szCs w:val="32"/>
        </w:rPr>
        <w:t>。截至</w:t>
      </w:r>
      <w:r>
        <w:rPr>
          <w:rFonts w:hint="eastAsia" w:ascii="仿宋_GB2312" w:hAnsi="仿宋"/>
          <w:szCs w:val="32"/>
          <w:lang w:eastAsia="zh-CN"/>
        </w:rPr>
        <w:t>202</w:t>
      </w:r>
      <w:r>
        <w:rPr>
          <w:rFonts w:hint="eastAsia" w:ascii="仿宋_GB2312" w:hAnsi="仿宋"/>
          <w:szCs w:val="32"/>
          <w:lang w:val="en-US" w:eastAsia="zh-CN"/>
        </w:rPr>
        <w:t>5</w:t>
      </w:r>
      <w:r>
        <w:rPr>
          <w:rFonts w:hint="eastAsia" w:ascii="仿宋_GB2312" w:hAnsi="仿宋"/>
          <w:szCs w:val="32"/>
        </w:rPr>
        <w:t>年12月31日，</w:t>
      </w:r>
      <w:r>
        <w:rPr>
          <w:rFonts w:hint="eastAsia" w:ascii="仿宋_GB2312" w:hAnsi="仿宋"/>
          <w:szCs w:val="32"/>
          <w:lang w:val="en-US" w:eastAsia="zh-CN"/>
        </w:rPr>
        <w:t>淮南市</w:t>
      </w:r>
      <w:r>
        <w:rPr>
          <w:rFonts w:hint="eastAsia" w:ascii="仿宋_GB2312" w:hAnsi="仿宋"/>
          <w:szCs w:val="32"/>
          <w:lang w:eastAsia="zh-CN"/>
        </w:rPr>
        <w:t>市场监管综合行政执法支队</w:t>
      </w:r>
      <w:r>
        <w:rPr>
          <w:rFonts w:hint="eastAsia" w:ascii="仿宋_GB2312" w:hAnsi="仿宋"/>
          <w:szCs w:val="32"/>
        </w:rPr>
        <w:t>开支财政拨款的公务用车保有量为</w:t>
      </w:r>
      <w:r>
        <w:rPr>
          <w:rFonts w:hint="eastAsia" w:ascii="仿宋_GB2312" w:hAnsi="仿宋"/>
          <w:szCs w:val="32"/>
          <w:lang w:val="en-US" w:eastAsia="zh-CN"/>
        </w:rPr>
        <w:t>7</w:t>
      </w:r>
      <w:r>
        <w:rPr>
          <w:rFonts w:hint="eastAsia" w:ascii="仿宋_GB2312" w:hAnsi="仿宋"/>
          <w:szCs w:val="32"/>
        </w:rPr>
        <w:t>辆。</w:t>
      </w:r>
    </w:p>
    <w:p>
      <w:pPr>
        <w:pStyle w:val="2"/>
        <w:ind w:left="1258" w:hanging="1258"/>
        <w:jc w:val="both"/>
        <w:rPr>
          <w:rFonts w:hint="eastAsia" w:ascii="仿宋_GB2312" w:eastAsia="仿宋_GB2312"/>
          <w:sz w:val="32"/>
        </w:rPr>
      </w:pPr>
    </w:p>
    <w:p>
      <w:pPr>
        <w:pStyle w:val="2"/>
        <w:ind w:left="1258" w:hanging="1258"/>
        <w:jc w:val="both"/>
        <w:rPr>
          <w:rFonts w:hint="eastAsia" w:ascii="仿宋_GB2312" w:eastAsia="仿宋_GB2312"/>
          <w:sz w:val="32"/>
        </w:rPr>
      </w:pPr>
    </w:p>
    <w:p>
      <w:pPr>
        <w:pStyle w:val="2"/>
        <w:jc w:val="both"/>
        <w:rPr>
          <w:rFonts w:hint="eastAsia"/>
        </w:rPr>
      </w:pPr>
    </w:p>
    <w:p/>
    <w:sectPr>
      <w:footerReference r:id="rId3" w:type="default"/>
      <w:footerReference r:id="rId4" w:type="even"/>
      <w:pgSz w:w="11906" w:h="16838"/>
      <w:pgMar w:top="2155" w:right="1531" w:bottom="1588" w:left="1588" w:header="0" w:footer="1588" w:gutter="0"/>
      <w:pgBorders>
        <w:top w:val="none" w:sz="0" w:space="0"/>
        <w:left w:val="none" w:sz="0" w:space="0"/>
        <w:bottom w:val="none" w:sz="0" w:space="0"/>
        <w:right w:val="none" w:sz="0" w:space="0"/>
      </w:pgBorders>
      <w:cols w:space="720" w:num="1"/>
      <w:docGrid w:type="linesAndChars" w:linePitch="569" w:charSpace="-126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right" w:y="1"/>
      <w:rPr>
        <w:rStyle w:val="6"/>
        <w:rFonts w:ascii="仿宋_GB2312"/>
        <w:sz w:val="28"/>
      </w:rPr>
    </w:pPr>
    <w:r>
      <w:rPr>
        <w:rStyle w:val="6"/>
        <w:rFonts w:hint="eastAsia" w:ascii="仿宋_GB2312"/>
        <w:sz w:val="28"/>
      </w:rPr>
      <w:t>-</w:t>
    </w:r>
    <w:r>
      <w:rPr>
        <w:rFonts w:hint="eastAsia" w:ascii="仿宋_GB2312"/>
        <w:sz w:val="28"/>
        <w:szCs w:val="28"/>
      </w:rPr>
      <w:fldChar w:fldCharType="begin"/>
    </w:r>
    <w:r>
      <w:rPr>
        <w:rStyle w:val="6"/>
        <w:rFonts w:hint="eastAsia" w:ascii="仿宋_GB2312"/>
        <w:sz w:val="28"/>
        <w:szCs w:val="28"/>
      </w:rPr>
      <w:instrText xml:space="preserve"> PAGE </w:instrText>
    </w:r>
    <w:r>
      <w:rPr>
        <w:rFonts w:hint="eastAsia" w:ascii="仿宋_GB2312"/>
        <w:sz w:val="28"/>
        <w:szCs w:val="28"/>
      </w:rPr>
      <w:fldChar w:fldCharType="separate"/>
    </w:r>
    <w:r>
      <w:rPr>
        <w:rStyle w:val="6"/>
        <w:rFonts w:ascii="仿宋_GB2312"/>
        <w:sz w:val="28"/>
        <w:szCs w:val="28"/>
      </w:rPr>
      <w:t>50</w:t>
    </w:r>
    <w:r>
      <w:rPr>
        <w:rFonts w:hint="eastAsia" w:ascii="仿宋_GB2312"/>
        <w:sz w:val="28"/>
        <w:szCs w:val="28"/>
      </w:rPr>
      <w:fldChar w:fldCharType="end"/>
    </w:r>
    <w:r>
      <w:rPr>
        <w:rStyle w:val="6"/>
        <w:rFonts w:hint="eastAsia" w:ascii="仿宋_GB2312"/>
        <w:sz w:val="28"/>
        <w:szCs w:val="28"/>
      </w:rPr>
      <w:t>-</w:t>
    </w:r>
  </w:p>
  <w:p>
    <w:pPr>
      <w:pStyle w:val="3"/>
      <w:ind w:right="360"/>
      <w:jc w:val="right"/>
      <w:rPr>
        <w:rFonts w:hint="eastAsia" w:ascii="仿宋_GB2312"/>
        <w:sz w:val="2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right" w:y="1"/>
      <w:rPr>
        <w:rStyle w:val="6"/>
      </w:rPr>
    </w:pPr>
    <w:r>
      <w:fldChar w:fldCharType="begin"/>
    </w:r>
    <w:r>
      <w:rPr>
        <w:rStyle w:val="6"/>
      </w:rPr>
      <w:instrText xml:space="preserve">PAGE  </w:instrText>
    </w:r>
    <w:r>
      <w:fldChar w:fldCharType="separate"/>
    </w:r>
    <w:r>
      <w:rPr>
        <w:rStyle w:val="6"/>
      </w:rPr>
      <w:t>1</w:t>
    </w:r>
    <w:r>
      <w:fldChar w:fldCharType="end"/>
    </w:r>
  </w:p>
  <w:p>
    <w:pPr>
      <w:pStyle w:val="3"/>
      <w:ind w:right="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7F96869"/>
    <w:rsid w:val="023D3735"/>
    <w:rsid w:val="44F86EB3"/>
    <w:rsid w:val="4E5669B4"/>
    <w:rsid w:val="50693D5C"/>
    <w:rsid w:val="77F968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pPr>
      <w:jc w:val="center"/>
    </w:pPr>
    <w:rPr>
      <w:rFonts w:eastAsia="黑体"/>
      <w:sz w:val="36"/>
    </w:rPr>
  </w:style>
  <w:style w:type="paragraph" w:styleId="3">
    <w:name w:val="footer"/>
    <w:basedOn w:val="1"/>
    <w:qFormat/>
    <w:uiPriority w:val="0"/>
    <w:pPr>
      <w:tabs>
        <w:tab w:val="center" w:pos="4153"/>
        <w:tab w:val="right" w:pos="8306"/>
      </w:tabs>
      <w:snapToGrid w:val="0"/>
      <w:jc w:val="left"/>
    </w:pPr>
    <w:rPr>
      <w:sz w:val="18"/>
    </w:rPr>
  </w:style>
  <w:style w:type="character" w:styleId="6">
    <w:name w:val="page number"/>
    <w:basedOn w:val="5"/>
    <w:qFormat/>
    <w:uiPriority w:val="0"/>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1240</Words>
  <Characters>1366</Characters>
  <Lines>0</Lines>
  <Paragraphs>0</Paragraphs>
  <TotalTime>0</TotalTime>
  <ScaleCrop>false</ScaleCrop>
  <LinksUpToDate>false</LinksUpToDate>
  <CharactersWithSpaces>1438</CharactersWithSpaces>
  <Application>WPS Office_11.1.0.10009_F1E327BC-269C-435d-A152-05C5408002CA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2026-07-29T02:21:00Z</dcterms:created>
  <dc:creator>张楠楠</dc:creator>
  <cp:lastModifiedBy>DAI</cp:lastModifiedBy>
  <dcterms:modified xsi:type="dcterms:W3CDTF">2026-08-06T07:35:12Z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2052-11.1.0.10009</vt:lpwstr>
  </property>
  <property fmtid="{D5CDD505-2E9C-101B-9397-08002B2CF9AE}" pid="3" name="ICV">
    <vt:lpwstr>48A9CC298ED548759F66839DC21272FB_13</vt:lpwstr>
  </property>
  <property fmtid="{D5CDD505-2E9C-101B-9397-08002B2CF9AE}" pid="4" name="KSOTemplateDocerSaveRecord">
    <vt:lpwstr>eyJoZGlkIjoiMjY3YTE3NjQ3NDhiMTYzMTY5Nzg4ZDFkOWNhNWMwYzQiLCJ1c2VySWQiOiI3MDUzOTkzODIifQ==</vt:lpwstr>
  </property>
</Properties>
</file>