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71DC6">
      <w:pPr>
        <w:jc w:val="center"/>
        <w:rPr>
          <w:rFonts w:hint="eastAsia" w:ascii="宋体" w:hAnsi="宋体"/>
          <w:b/>
          <w:sz w:val="36"/>
          <w:szCs w:val="36"/>
        </w:rPr>
      </w:pPr>
      <w:r>
        <w:rPr>
          <w:rFonts w:hint="eastAsia" w:ascii="宋体" w:hAnsi="宋体" w:cs="宋体"/>
          <w:b/>
          <w:color w:val="000000"/>
          <w:sz w:val="36"/>
          <w:szCs w:val="36"/>
        </w:rPr>
        <w:t>淮南市</w:t>
      </w:r>
      <w:r>
        <w:rPr>
          <w:rFonts w:hint="eastAsia" w:ascii="宋体" w:hAnsi="宋体" w:cs="宋体"/>
          <w:b/>
          <w:color w:val="000000"/>
          <w:sz w:val="36"/>
          <w:szCs w:val="36"/>
          <w:lang w:eastAsia="zh-CN"/>
        </w:rPr>
        <w:t>市场监管局（部门）</w:t>
      </w:r>
      <w:r>
        <w:rPr>
          <w:rFonts w:hint="eastAsia" w:ascii="宋体" w:hAnsi="宋体"/>
          <w:b/>
          <w:sz w:val="36"/>
          <w:szCs w:val="36"/>
          <w:lang w:eastAsia="zh-CN"/>
        </w:rPr>
        <w:t>202</w:t>
      </w:r>
      <w:r>
        <w:rPr>
          <w:rFonts w:hint="eastAsia" w:ascii="宋体" w:hAnsi="宋体"/>
          <w:b/>
          <w:sz w:val="36"/>
          <w:szCs w:val="36"/>
          <w:lang w:val="en-US" w:eastAsia="zh-CN"/>
        </w:rPr>
        <w:t>5</w:t>
      </w:r>
      <w:r>
        <w:rPr>
          <w:rFonts w:ascii="宋体" w:hAnsi="宋体"/>
          <w:b/>
          <w:sz w:val="36"/>
          <w:szCs w:val="36"/>
        </w:rPr>
        <w:t>年</w:t>
      </w:r>
      <w:r>
        <w:rPr>
          <w:rFonts w:hint="eastAsia" w:ascii="宋体" w:hAnsi="宋体"/>
          <w:b/>
          <w:sz w:val="36"/>
          <w:szCs w:val="36"/>
        </w:rPr>
        <w:t>度一般公共预算财政拨款</w:t>
      </w:r>
      <w:r>
        <w:rPr>
          <w:rFonts w:ascii="宋体" w:hAnsi="宋体"/>
          <w:b/>
          <w:sz w:val="36"/>
          <w:szCs w:val="36"/>
        </w:rPr>
        <w:t>“三公</w:t>
      </w:r>
      <w:r>
        <w:rPr>
          <w:rFonts w:hint="eastAsia" w:ascii="宋体" w:hAnsi="宋体"/>
          <w:b/>
          <w:sz w:val="36"/>
          <w:szCs w:val="36"/>
        </w:rPr>
        <w:t>”</w:t>
      </w:r>
      <w:r>
        <w:rPr>
          <w:rFonts w:ascii="宋体" w:hAnsi="宋体"/>
          <w:b/>
          <w:sz w:val="36"/>
          <w:szCs w:val="36"/>
        </w:rPr>
        <w:t>经费</w:t>
      </w:r>
      <w:r>
        <w:rPr>
          <w:rFonts w:hint="eastAsia" w:ascii="宋体" w:hAnsi="宋体"/>
          <w:b/>
          <w:sz w:val="36"/>
          <w:szCs w:val="36"/>
        </w:rPr>
        <w:t>支出决算</w:t>
      </w:r>
    </w:p>
    <w:p w14:paraId="55A3EBA5">
      <w:pPr>
        <w:jc w:val="center"/>
        <w:rPr>
          <w:rFonts w:hint="eastAsia" w:ascii="楷体_GB2312" w:eastAsia="楷体_GB2312"/>
          <w:szCs w:val="32"/>
        </w:rPr>
      </w:pPr>
    </w:p>
    <w:p w14:paraId="414868CF">
      <w:pPr>
        <w:ind w:firstLine="627"/>
        <w:rPr>
          <w:rFonts w:hint="eastAsia" w:ascii="黑体" w:hAnsi="黑体" w:eastAsia="黑体"/>
          <w:szCs w:val="32"/>
        </w:rPr>
      </w:pPr>
      <w:r>
        <w:rPr>
          <w:rFonts w:hint="eastAsia" w:ascii="黑体" w:hAnsi="黑体" w:eastAsia="黑体"/>
          <w:szCs w:val="32"/>
        </w:rPr>
        <w:t>一、</w:t>
      </w:r>
      <w:r>
        <w:rPr>
          <w:rFonts w:hint="eastAsia" w:ascii="黑体" w:hAnsi="黑体" w:eastAsia="黑体"/>
          <w:szCs w:val="32"/>
          <w:lang w:eastAsia="zh-CN"/>
        </w:rPr>
        <w:t>202</w:t>
      </w:r>
      <w:r>
        <w:rPr>
          <w:rFonts w:hint="eastAsia" w:ascii="黑体" w:hAnsi="黑体" w:eastAsia="黑体"/>
          <w:szCs w:val="32"/>
          <w:lang w:val="en-US" w:eastAsia="zh-CN"/>
        </w:rPr>
        <w:t>5</w:t>
      </w:r>
      <w:r>
        <w:rPr>
          <w:rFonts w:hint="eastAsia" w:ascii="黑体" w:hAnsi="黑体" w:eastAsia="黑体"/>
          <w:szCs w:val="32"/>
        </w:rPr>
        <w:t>年度一</w:t>
      </w:r>
      <w:bookmarkStart w:id="0" w:name="_GoBack"/>
      <w:bookmarkEnd w:id="0"/>
      <w:r>
        <w:rPr>
          <w:rFonts w:hint="eastAsia" w:ascii="黑体" w:hAnsi="黑体" w:eastAsia="黑体"/>
          <w:szCs w:val="32"/>
        </w:rPr>
        <w:t>般公共预算财政拨款“三公”经费支出决算表</w:t>
      </w:r>
    </w:p>
    <w:p w14:paraId="5F03F4A4">
      <w:pPr>
        <w:pStyle w:val="2"/>
        <w:jc w:val="both"/>
        <w:rPr>
          <w:rFonts w:hint="eastAsia"/>
        </w:rPr>
      </w:pPr>
      <w:r>
        <w:drawing>
          <wp:inline distT="0" distB="0" distL="114300" distR="114300">
            <wp:extent cx="5577840" cy="2232660"/>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577840" cy="2232660"/>
                    </a:xfrm>
                    <a:prstGeom prst="rect">
                      <a:avLst/>
                    </a:prstGeom>
                    <a:noFill/>
                    <a:ln>
                      <a:noFill/>
                    </a:ln>
                  </pic:spPr>
                </pic:pic>
              </a:graphicData>
            </a:graphic>
          </wp:inline>
        </w:drawing>
      </w:r>
    </w:p>
    <w:p w14:paraId="1D7DB2B3">
      <w:pPr>
        <w:keepNext w:val="0"/>
        <w:keepLines w:val="0"/>
        <w:pageBreakBefore w:val="0"/>
        <w:kinsoku/>
        <w:wordWrap/>
        <w:overflowPunct/>
        <w:topLinePunct w:val="0"/>
        <w:autoSpaceDE/>
        <w:autoSpaceDN/>
        <w:bidi w:val="0"/>
        <w:spacing w:line="560" w:lineRule="exact"/>
        <w:textAlignment w:val="auto"/>
        <w:rPr>
          <w:rFonts w:hint="eastAsia" w:ascii="黑体" w:hAnsi="黑体" w:eastAsia="黑体"/>
          <w:szCs w:val="32"/>
        </w:rPr>
      </w:pPr>
      <w:r>
        <w:rPr>
          <w:rFonts w:ascii="黑体" w:hAnsi="黑体" w:eastAsia="黑体"/>
          <w:szCs w:val="32"/>
        </w:rPr>
        <w:t xml:space="preserve">    </w:t>
      </w:r>
      <w:r>
        <w:rPr>
          <w:rFonts w:hint="eastAsia" w:ascii="黑体" w:hAnsi="黑体" w:eastAsia="黑体"/>
          <w:szCs w:val="32"/>
        </w:rPr>
        <w:t>二</w:t>
      </w:r>
      <w:r>
        <w:rPr>
          <w:rFonts w:ascii="黑体" w:hAnsi="黑体" w:eastAsia="黑体"/>
          <w:szCs w:val="32"/>
        </w:rPr>
        <w:t>、</w:t>
      </w:r>
      <w:r>
        <w:rPr>
          <w:rFonts w:hint="eastAsia" w:ascii="黑体" w:hAnsi="黑体" w:eastAsia="黑体"/>
          <w:szCs w:val="32"/>
          <w:lang w:eastAsia="zh-CN"/>
        </w:rPr>
        <w:t>202</w:t>
      </w:r>
      <w:r>
        <w:rPr>
          <w:rFonts w:hint="eastAsia" w:ascii="黑体" w:hAnsi="黑体" w:eastAsia="黑体"/>
          <w:szCs w:val="32"/>
          <w:lang w:val="en-US" w:eastAsia="zh-CN"/>
        </w:rPr>
        <w:t>5</w:t>
      </w:r>
      <w:r>
        <w:rPr>
          <w:rFonts w:ascii="黑体" w:hAnsi="黑体" w:eastAsia="黑体"/>
          <w:szCs w:val="32"/>
        </w:rPr>
        <w:t>年</w:t>
      </w:r>
      <w:r>
        <w:rPr>
          <w:rFonts w:hint="eastAsia" w:ascii="黑体" w:hAnsi="黑体" w:eastAsia="黑体"/>
          <w:szCs w:val="32"/>
        </w:rPr>
        <w:t>度一般公共预算财政拨款“三公”经费支出</w:t>
      </w:r>
      <w:r>
        <w:rPr>
          <w:rFonts w:ascii="黑体" w:hAnsi="黑体" w:eastAsia="黑体"/>
          <w:szCs w:val="32"/>
        </w:rPr>
        <w:t>情况说明</w:t>
      </w:r>
    </w:p>
    <w:p w14:paraId="6188D7BB">
      <w:pPr>
        <w:keepNext w:val="0"/>
        <w:keepLines w:val="0"/>
        <w:pageBreakBefore w:val="0"/>
        <w:kinsoku/>
        <w:wordWrap/>
        <w:overflowPunct/>
        <w:topLinePunct w:val="0"/>
        <w:autoSpaceDE/>
        <w:autoSpaceDN/>
        <w:bidi w:val="0"/>
        <w:spacing w:line="560" w:lineRule="exact"/>
        <w:ind w:firstLine="628" w:firstLineChars="200"/>
        <w:textAlignment w:val="auto"/>
        <w:rPr>
          <w:rFonts w:hint="eastAsia" w:ascii="仿宋_GB2312" w:hAnsi="仿宋"/>
          <w:b/>
          <w:szCs w:val="32"/>
        </w:rPr>
      </w:pPr>
      <w:r>
        <w:rPr>
          <w:rFonts w:hint="eastAsia" w:ascii="仿宋_GB2312" w:hAnsi="仿宋"/>
          <w:b/>
          <w:szCs w:val="32"/>
        </w:rPr>
        <w:t>（一）一般公共预算财政拨款“三公”经费支出决算总体情况说明。</w:t>
      </w:r>
    </w:p>
    <w:p w14:paraId="0B4B2D62">
      <w:pPr>
        <w:pStyle w:val="7"/>
        <w:keepNext w:val="0"/>
        <w:keepLines w:val="0"/>
        <w:pageBreakBefore w:val="0"/>
        <w:kinsoku/>
        <w:wordWrap/>
        <w:overflowPunct/>
        <w:topLinePunct w:val="0"/>
        <w:autoSpaceDE/>
        <w:autoSpaceDN/>
        <w:bidi w:val="0"/>
        <w:adjustRightInd w:val="0"/>
        <w:snapToGrid w:val="0"/>
        <w:spacing w:before="0" w:after="0" w:line="560" w:lineRule="exact"/>
        <w:ind w:firstLine="640"/>
        <w:textAlignment w:val="auto"/>
        <w:rPr>
          <w:rFonts w:hint="eastAsia" w:ascii="仿宋_GB2312" w:eastAsia="仿宋_GB2312" w:cs="仿宋_GB2312"/>
          <w:color w:val="000000"/>
          <w:sz w:val="32"/>
          <w:szCs w:val="32"/>
          <w:lang w:eastAsia="zh-CN"/>
        </w:rPr>
      </w:pPr>
      <w:r>
        <w:rPr>
          <w:rFonts w:ascii="仿宋_GB2312" w:eastAsia="仿宋_GB2312" w:cs="仿宋_GB2312"/>
          <w:color w:val="000000"/>
          <w:sz w:val="32"/>
          <w:szCs w:val="32"/>
        </w:rPr>
        <w:t>淮南市</w:t>
      </w:r>
      <w:r>
        <w:rPr>
          <w:rFonts w:hint="eastAsia" w:ascii="仿宋_GB2312" w:eastAsia="仿宋_GB2312" w:cs="仿宋_GB2312"/>
          <w:color w:val="000000"/>
          <w:sz w:val="32"/>
          <w:szCs w:val="32"/>
          <w:lang w:eastAsia="zh-CN"/>
        </w:rPr>
        <w:t>市场监管局（</w:t>
      </w:r>
      <w:r>
        <w:rPr>
          <w:rFonts w:hint="eastAsia" w:ascii="仿宋_GB2312" w:cs="仿宋_GB2312"/>
          <w:color w:val="000000"/>
          <w:sz w:val="32"/>
          <w:szCs w:val="32"/>
          <w:lang w:eastAsia="zh-CN"/>
        </w:rPr>
        <w:t>部门</w:t>
      </w:r>
      <w:r>
        <w:rPr>
          <w:rFonts w:hint="eastAsia" w:ascii="仿宋_GB2312" w:eastAsia="仿宋_GB2312" w:cs="仿宋_GB2312"/>
          <w:color w:val="000000"/>
          <w:sz w:val="32"/>
          <w:szCs w:val="32"/>
          <w:lang w:eastAsia="zh-CN"/>
        </w:rPr>
        <w:t>）202</w:t>
      </w:r>
      <w:r>
        <w:rPr>
          <w:rFonts w:hint="eastAsia" w:ascii="仿宋_GB2312" w:cs="仿宋_GB2312"/>
          <w:color w:val="000000"/>
          <w:sz w:val="32"/>
          <w:szCs w:val="32"/>
          <w:lang w:val="en-US" w:eastAsia="zh-CN"/>
        </w:rPr>
        <w:t>5</w:t>
      </w:r>
      <w:r>
        <w:rPr>
          <w:rFonts w:hint="eastAsia" w:ascii="仿宋_GB2312" w:eastAsia="仿宋_GB2312" w:cs="仿宋_GB2312"/>
          <w:color w:val="000000"/>
          <w:sz w:val="32"/>
          <w:szCs w:val="32"/>
          <w:lang w:eastAsia="zh-CN"/>
        </w:rPr>
        <w:t>年度一般公共预算财政拨款“三公”经费支出预算为</w:t>
      </w:r>
      <w:r>
        <w:rPr>
          <w:rFonts w:hint="eastAsia" w:ascii="仿宋_GB2312" w:cs="仿宋_GB2312"/>
          <w:color w:val="000000"/>
          <w:sz w:val="32"/>
          <w:szCs w:val="32"/>
          <w:lang w:val="en-US" w:eastAsia="zh-CN"/>
        </w:rPr>
        <w:t>112.03</w:t>
      </w:r>
      <w:r>
        <w:rPr>
          <w:rFonts w:hint="eastAsia" w:ascii="仿宋_GB2312" w:eastAsia="仿宋_GB2312" w:cs="仿宋_GB2312"/>
          <w:color w:val="000000"/>
          <w:sz w:val="32"/>
          <w:szCs w:val="32"/>
          <w:lang w:eastAsia="zh-CN"/>
        </w:rPr>
        <w:t>万元，支出决算为</w:t>
      </w:r>
      <w:r>
        <w:rPr>
          <w:rFonts w:hint="eastAsia" w:ascii="仿宋_GB2312" w:cs="仿宋_GB2312"/>
          <w:color w:val="000000"/>
          <w:sz w:val="32"/>
          <w:szCs w:val="32"/>
          <w:lang w:val="en-US" w:eastAsia="zh-CN"/>
        </w:rPr>
        <w:t>110.2</w:t>
      </w:r>
      <w:r>
        <w:rPr>
          <w:rFonts w:hint="eastAsia" w:ascii="仿宋_GB2312" w:eastAsia="仿宋_GB2312" w:cs="仿宋_GB2312"/>
          <w:color w:val="000000"/>
          <w:sz w:val="32"/>
          <w:szCs w:val="32"/>
          <w:lang w:eastAsia="zh-CN"/>
        </w:rPr>
        <w:t>万元，完成预算的</w:t>
      </w:r>
      <w:r>
        <w:rPr>
          <w:rFonts w:hint="eastAsia" w:ascii="仿宋_GB2312" w:cs="仿宋_GB2312"/>
          <w:color w:val="000000"/>
          <w:sz w:val="32"/>
          <w:szCs w:val="32"/>
          <w:lang w:val="en-US" w:eastAsia="zh-CN"/>
        </w:rPr>
        <w:t>98.37</w:t>
      </w:r>
      <w:r>
        <w:rPr>
          <w:rFonts w:hint="eastAsia" w:ascii="仿宋_GB2312" w:eastAsia="仿宋_GB2312" w:cs="仿宋_GB2312"/>
          <w:color w:val="000000"/>
          <w:sz w:val="32"/>
          <w:szCs w:val="32"/>
          <w:lang w:eastAsia="zh-CN"/>
        </w:rPr>
        <w:t>%，较上年</w:t>
      </w:r>
      <w:r>
        <w:rPr>
          <w:rFonts w:hint="eastAsia" w:ascii="仿宋_GB2312" w:cs="仿宋_GB2312"/>
          <w:color w:val="000000"/>
          <w:sz w:val="32"/>
          <w:szCs w:val="32"/>
          <w:lang w:eastAsia="zh-CN"/>
        </w:rPr>
        <w:t>减少</w:t>
      </w:r>
      <w:r>
        <w:rPr>
          <w:rFonts w:hint="eastAsia" w:ascii="仿宋_GB2312" w:cs="仿宋_GB2312"/>
          <w:color w:val="000000"/>
          <w:sz w:val="32"/>
          <w:szCs w:val="32"/>
          <w:lang w:val="en-US" w:eastAsia="zh-CN"/>
        </w:rPr>
        <w:t>4.54</w:t>
      </w:r>
      <w:r>
        <w:rPr>
          <w:rFonts w:hint="eastAsia" w:ascii="仿宋_GB2312" w:eastAsia="仿宋_GB2312" w:cs="仿宋_GB2312"/>
          <w:color w:val="000000"/>
          <w:sz w:val="32"/>
          <w:szCs w:val="32"/>
          <w:lang w:eastAsia="zh-CN"/>
        </w:rPr>
        <w:t>万元，</w:t>
      </w:r>
      <w:r>
        <w:rPr>
          <w:rFonts w:hint="eastAsia" w:ascii="仿宋_GB2312" w:cs="仿宋_GB2312"/>
          <w:color w:val="000000"/>
          <w:sz w:val="32"/>
          <w:szCs w:val="32"/>
          <w:lang w:eastAsia="zh-CN"/>
        </w:rPr>
        <w:t>下降</w:t>
      </w:r>
      <w:r>
        <w:rPr>
          <w:rFonts w:hint="eastAsia" w:ascii="仿宋_GB2312" w:cs="仿宋_GB2312"/>
          <w:color w:val="000000"/>
          <w:sz w:val="32"/>
          <w:szCs w:val="32"/>
          <w:lang w:val="en-US" w:eastAsia="zh-CN"/>
        </w:rPr>
        <w:t>3.96</w:t>
      </w:r>
      <w:r>
        <w:rPr>
          <w:rFonts w:hint="eastAsia" w:ascii="仿宋_GB2312" w:eastAsia="仿宋_GB2312" w:cs="仿宋_GB2312"/>
          <w:color w:val="000000"/>
          <w:sz w:val="32"/>
          <w:szCs w:val="32"/>
          <w:lang w:val="en-US" w:eastAsia="zh-CN"/>
        </w:rPr>
        <w:t>%。</w:t>
      </w:r>
      <w:r>
        <w:rPr>
          <w:rFonts w:hint="default" w:ascii="Times New Roman" w:hAnsi="Times New Roman" w:eastAsia="仿宋_GB2312" w:cs="Times New Roman"/>
          <w:color w:val="000000"/>
          <w:sz w:val="32"/>
          <w:szCs w:val="32"/>
        </w:rPr>
        <w:t>决算数小于预算数的主要原因是</w:t>
      </w:r>
      <w:r>
        <w:rPr>
          <w:rFonts w:hint="eastAsia" w:ascii="Times New Roman" w:hAnsi="Times New Roman" w:eastAsia="仿宋_GB2312" w:cs="Times New Roman"/>
          <w:color w:val="000000"/>
          <w:sz w:val="32"/>
          <w:szCs w:val="32"/>
          <w:lang w:eastAsia="zh-CN"/>
        </w:rPr>
        <w:t>严格控制经费管理、坚持压减“三公”经费支出。</w:t>
      </w:r>
      <w:r>
        <w:rPr>
          <w:rFonts w:hint="eastAsia" w:ascii="仿宋_GB2312" w:eastAsia="仿宋_GB2312" w:cs="仿宋_GB2312"/>
          <w:color w:val="000000"/>
          <w:sz w:val="32"/>
          <w:szCs w:val="32"/>
          <w:lang w:eastAsia="zh-CN"/>
        </w:rPr>
        <w:t>为全面反映“三公”经费支出，</w:t>
      </w:r>
      <w:r>
        <w:rPr>
          <w:rFonts w:hint="eastAsia" w:ascii="仿宋_GB2312" w:eastAsia="仿宋_GB2312" w:cs="仿宋_GB2312"/>
          <w:color w:val="auto"/>
          <w:sz w:val="32"/>
          <w:szCs w:val="32"/>
          <w:lang w:eastAsia="zh-CN"/>
        </w:rPr>
        <w:t>本次公布的“三公”经费决算为单位汇总数，包含单位本级和所属单位。</w:t>
      </w:r>
    </w:p>
    <w:p w14:paraId="40D083A7">
      <w:pPr>
        <w:keepNext w:val="0"/>
        <w:keepLines w:val="0"/>
        <w:pageBreakBefore w:val="0"/>
        <w:kinsoku/>
        <w:wordWrap/>
        <w:overflowPunct/>
        <w:topLinePunct w:val="0"/>
        <w:autoSpaceDE/>
        <w:autoSpaceDN/>
        <w:bidi w:val="0"/>
        <w:spacing w:line="560" w:lineRule="exact"/>
        <w:ind w:firstLine="628" w:firstLineChars="200"/>
        <w:textAlignment w:val="auto"/>
        <w:rPr>
          <w:rFonts w:hint="eastAsia" w:ascii="仿宋_GB2312" w:hAnsi="仿宋"/>
          <w:b/>
          <w:szCs w:val="32"/>
        </w:rPr>
      </w:pPr>
      <w:r>
        <w:rPr>
          <w:rFonts w:hint="eastAsia" w:ascii="仿宋_GB2312" w:hAnsi="仿宋"/>
          <w:b/>
          <w:bCs/>
          <w:szCs w:val="32"/>
        </w:rPr>
        <w:t>（二）</w:t>
      </w:r>
      <w:r>
        <w:rPr>
          <w:rFonts w:hint="eastAsia" w:ascii="仿宋_GB2312" w:hAnsi="仿宋"/>
          <w:b/>
          <w:szCs w:val="32"/>
        </w:rPr>
        <w:t>一般公共预算财政拨款“三公”经费支出决算具体情况说明。</w:t>
      </w:r>
    </w:p>
    <w:p w14:paraId="64B199B9">
      <w:pPr>
        <w:pStyle w:val="7"/>
        <w:keepNext w:val="0"/>
        <w:keepLines w:val="0"/>
        <w:pageBreakBefore w:val="0"/>
        <w:widowControl w:val="0"/>
        <w:kinsoku/>
        <w:wordWrap/>
        <w:overflowPunct/>
        <w:topLinePunct w:val="0"/>
        <w:autoSpaceDE/>
        <w:autoSpaceDN/>
        <w:bidi w:val="0"/>
        <w:adjustRightInd w:val="0"/>
        <w:snapToGrid w:val="0"/>
        <w:spacing w:before="0" w:after="0" w:line="560" w:lineRule="exact"/>
        <w:ind w:left="314" w:leftChars="100" w:firstLine="628" w:firstLineChars="200"/>
        <w:textAlignment w:val="auto"/>
        <w:rPr>
          <w:rFonts w:ascii="仿宋_GB2312" w:eastAsia="仿宋_GB2312" w:cs="仿宋_GB2312"/>
          <w:color w:val="000000"/>
          <w:sz w:val="32"/>
          <w:szCs w:val="32"/>
        </w:rPr>
      </w:pPr>
      <w:r>
        <w:rPr>
          <w:rFonts w:ascii="仿宋_GB2312" w:eastAsia="仿宋_GB2312" w:cs="仿宋_GB2312"/>
          <w:color w:val="000000"/>
          <w:sz w:val="32"/>
          <w:szCs w:val="32"/>
        </w:rPr>
        <w:t>淮南市</w:t>
      </w:r>
      <w:r>
        <w:rPr>
          <w:rFonts w:hint="eastAsia" w:ascii="仿宋_GB2312" w:eastAsia="仿宋_GB2312" w:cs="仿宋_GB2312"/>
          <w:color w:val="000000"/>
          <w:sz w:val="32"/>
          <w:szCs w:val="32"/>
          <w:lang w:eastAsia="zh-CN"/>
        </w:rPr>
        <w:t>市场监管局（</w:t>
      </w:r>
      <w:r>
        <w:rPr>
          <w:rFonts w:hint="eastAsia" w:ascii="仿宋_GB2312" w:cs="仿宋_GB2312"/>
          <w:color w:val="000000"/>
          <w:sz w:val="32"/>
          <w:szCs w:val="32"/>
          <w:lang w:eastAsia="zh-CN"/>
        </w:rPr>
        <w:t>部门</w:t>
      </w:r>
      <w:r>
        <w:rPr>
          <w:rFonts w:hint="eastAsia" w:ascii="仿宋_GB2312" w:eastAsia="仿宋_GB2312" w:cs="仿宋_GB2312"/>
          <w:color w:val="000000"/>
          <w:sz w:val="32"/>
          <w:szCs w:val="32"/>
          <w:lang w:eastAsia="zh-CN"/>
        </w:rPr>
        <w:t>）</w:t>
      </w:r>
      <w:r>
        <w:rPr>
          <w:rFonts w:ascii="仿宋_GB2312" w:eastAsia="仿宋_GB2312" w:cs="仿宋_GB2312"/>
          <w:color w:val="000000"/>
          <w:sz w:val="32"/>
          <w:szCs w:val="32"/>
        </w:rPr>
        <w:t>202</w:t>
      </w:r>
      <w:r>
        <w:rPr>
          <w:rFonts w:hint="eastAsia" w:ascii="仿宋_GB2312" w:cs="仿宋_GB2312"/>
          <w:color w:val="000000"/>
          <w:sz w:val="32"/>
          <w:szCs w:val="32"/>
          <w:lang w:val="en-US" w:eastAsia="zh-CN"/>
        </w:rPr>
        <w:t>5</w:t>
      </w:r>
      <w:r>
        <w:rPr>
          <w:rFonts w:ascii="仿宋_GB2312" w:eastAsia="仿宋_GB2312" w:cs="仿宋_GB2312"/>
          <w:color w:val="000000"/>
          <w:sz w:val="32"/>
          <w:szCs w:val="32"/>
        </w:rPr>
        <w:t>年度一般公共预算财政拨款</w:t>
      </w:r>
      <w:r>
        <w:rPr>
          <w:rFonts w:hint="eastAsia" w:ascii="仿宋" w:hAnsi="仿宋" w:eastAsia="仿宋" w:cs="仿宋"/>
          <w:color w:val="000000"/>
          <w:sz w:val="32"/>
          <w:szCs w:val="32"/>
        </w:rPr>
        <w:t>“</w:t>
      </w:r>
      <w:r>
        <w:rPr>
          <w:rFonts w:ascii="仿宋_GB2312" w:eastAsia="仿宋_GB2312" w:cs="仿宋_GB2312"/>
          <w:color w:val="000000"/>
          <w:sz w:val="32"/>
          <w:szCs w:val="32"/>
        </w:rPr>
        <w:t>三公</w:t>
      </w:r>
      <w:r>
        <w:rPr>
          <w:rFonts w:hint="eastAsia" w:ascii="仿宋" w:hAnsi="仿宋" w:eastAsia="仿宋" w:cs="仿宋"/>
          <w:color w:val="000000"/>
          <w:sz w:val="32"/>
          <w:szCs w:val="32"/>
        </w:rPr>
        <w:t>”</w:t>
      </w:r>
      <w:r>
        <w:rPr>
          <w:rFonts w:ascii="仿宋_GB2312" w:eastAsia="仿宋_GB2312" w:cs="仿宋_GB2312"/>
          <w:color w:val="000000"/>
          <w:sz w:val="32"/>
          <w:szCs w:val="32"/>
        </w:rPr>
        <w:t>经费支出决算中，公务接待费支出决算</w:t>
      </w:r>
      <w:r>
        <w:rPr>
          <w:rFonts w:hint="eastAsia" w:ascii="仿宋_GB2312" w:cs="仿宋_GB2312"/>
          <w:color w:val="000000"/>
          <w:sz w:val="32"/>
          <w:szCs w:val="32"/>
          <w:lang w:val="en-US" w:eastAsia="zh-CN"/>
        </w:rPr>
        <w:t>8.86</w:t>
      </w:r>
      <w:r>
        <w:rPr>
          <w:rFonts w:ascii="仿宋_GB2312" w:eastAsia="仿宋_GB2312" w:cs="仿宋_GB2312"/>
          <w:color w:val="000000"/>
          <w:sz w:val="32"/>
          <w:szCs w:val="32"/>
        </w:rPr>
        <w:t>万元，占</w:t>
      </w:r>
      <w:r>
        <w:rPr>
          <w:rFonts w:hint="eastAsia" w:ascii="仿宋_GB2312" w:cs="仿宋_GB2312"/>
          <w:color w:val="000000"/>
          <w:sz w:val="32"/>
          <w:szCs w:val="32"/>
          <w:lang w:val="en-US" w:eastAsia="zh-CN"/>
        </w:rPr>
        <w:t>8.04</w:t>
      </w:r>
      <w:r>
        <w:rPr>
          <w:rFonts w:ascii="仿宋_GB2312" w:eastAsia="仿宋_GB2312" w:cs="仿宋_GB2312"/>
          <w:color w:val="000000"/>
          <w:sz w:val="32"/>
          <w:szCs w:val="32"/>
        </w:rPr>
        <w:t>%；公务用车购置及运行维护费支出决算</w:t>
      </w:r>
      <w:r>
        <w:rPr>
          <w:rFonts w:hint="eastAsia" w:ascii="宋体" w:hAnsi="宋体" w:cs="宋体"/>
          <w:color w:val="000000"/>
          <w:sz w:val="32"/>
          <w:szCs w:val="32"/>
          <w:lang w:val="en-US" w:eastAsia="zh-CN"/>
        </w:rPr>
        <w:t>101.34</w:t>
      </w:r>
      <w:r>
        <w:rPr>
          <w:rFonts w:ascii="仿宋_GB2312" w:eastAsia="仿宋_GB2312" w:cs="仿宋_GB2312"/>
          <w:color w:val="000000"/>
          <w:sz w:val="32"/>
          <w:szCs w:val="32"/>
        </w:rPr>
        <w:t>万元，占</w:t>
      </w:r>
      <w:r>
        <w:rPr>
          <w:rFonts w:hint="eastAsia" w:ascii="仿宋_GB2312" w:cs="仿宋_GB2312"/>
          <w:color w:val="000000"/>
          <w:sz w:val="32"/>
          <w:szCs w:val="32"/>
          <w:lang w:val="en-US" w:eastAsia="zh-CN"/>
        </w:rPr>
        <w:t>91.96</w:t>
      </w:r>
      <w:r>
        <w:rPr>
          <w:rFonts w:ascii="仿宋_GB2312" w:eastAsia="仿宋_GB2312" w:cs="仿宋_GB2312"/>
          <w:color w:val="000000"/>
          <w:sz w:val="32"/>
          <w:szCs w:val="32"/>
        </w:rPr>
        <w:t>%。具体情况如下：</w:t>
      </w:r>
    </w:p>
    <w:p w14:paraId="34E187B0">
      <w:pPr>
        <w:ind w:firstLine="628" w:firstLineChars="200"/>
        <w:rPr>
          <w:rFonts w:hint="eastAsia" w:ascii="仿宋_GB2312" w:hAnsi="仿宋"/>
          <w:sz w:val="32"/>
        </w:rPr>
      </w:pPr>
      <w:r>
        <w:rPr>
          <w:rFonts w:hint="eastAsia" w:ascii="仿宋_GB2312" w:cs="仿宋_GB2312"/>
          <w:b/>
          <w:color w:val="auto"/>
          <w:sz w:val="32"/>
          <w:szCs w:val="32"/>
          <w:lang w:val="en-US" w:eastAsia="zh-CN"/>
        </w:rPr>
        <w:t>1、</w:t>
      </w:r>
      <w:r>
        <w:rPr>
          <w:rFonts w:ascii="仿宋_GB2312" w:eastAsia="仿宋_GB2312" w:cs="仿宋_GB2312"/>
          <w:b/>
          <w:color w:val="auto"/>
          <w:sz w:val="32"/>
          <w:szCs w:val="32"/>
        </w:rPr>
        <w:t>公务接待费</w:t>
      </w:r>
      <w:r>
        <w:rPr>
          <w:rFonts w:hint="eastAsia" w:ascii="仿宋_GB2312" w:eastAsia="仿宋_GB2312" w:cs="仿宋_GB2312"/>
          <w:color w:val="auto"/>
          <w:sz w:val="32"/>
          <w:szCs w:val="32"/>
          <w:lang w:eastAsia="zh-CN"/>
        </w:rPr>
        <w:t>预</w:t>
      </w:r>
      <w:r>
        <w:rPr>
          <w:rFonts w:hint="eastAsia" w:ascii="仿宋_GB2312" w:cs="仿宋_GB2312"/>
          <w:color w:val="auto"/>
          <w:sz w:val="32"/>
          <w:szCs w:val="32"/>
          <w:lang w:eastAsia="zh-CN"/>
        </w:rPr>
        <w:t>算为</w:t>
      </w:r>
      <w:r>
        <w:rPr>
          <w:rFonts w:hint="eastAsia" w:ascii="仿宋_GB2312" w:cs="仿宋_GB2312"/>
          <w:color w:val="000000"/>
          <w:sz w:val="32"/>
          <w:szCs w:val="32"/>
          <w:lang w:val="en-US" w:eastAsia="zh-CN"/>
        </w:rPr>
        <w:t>8.94</w:t>
      </w:r>
      <w:r>
        <w:rPr>
          <w:rFonts w:ascii="仿宋_GB2312" w:eastAsia="仿宋_GB2312" w:cs="仿宋_GB2312"/>
          <w:color w:val="000000"/>
          <w:sz w:val="32"/>
          <w:szCs w:val="32"/>
        </w:rPr>
        <w:t>万元,</w:t>
      </w:r>
      <w:r>
        <w:rPr>
          <w:rFonts w:hint="eastAsia" w:ascii="仿宋_GB2312" w:cs="仿宋_GB2312"/>
          <w:color w:val="000000"/>
          <w:sz w:val="32"/>
          <w:szCs w:val="32"/>
          <w:lang w:eastAsia="zh-CN"/>
        </w:rPr>
        <w:t>支出决算</w:t>
      </w:r>
      <w:r>
        <w:rPr>
          <w:rFonts w:hint="eastAsia" w:ascii="仿宋_GB2312" w:cs="仿宋_GB2312"/>
          <w:color w:val="000000"/>
          <w:sz w:val="32"/>
          <w:szCs w:val="32"/>
          <w:lang w:val="en-US" w:eastAsia="zh-CN"/>
        </w:rPr>
        <w:t>8.86万元，完成99.11</w:t>
      </w:r>
      <w:r>
        <w:rPr>
          <w:rFonts w:hint="eastAsia" w:ascii="仿宋_GB2312" w:eastAsia="仿宋_GB2312" w:cs="仿宋_GB2312"/>
          <w:color w:val="000000"/>
          <w:sz w:val="32"/>
          <w:szCs w:val="32"/>
          <w:lang w:val="en-US" w:eastAsia="zh-CN"/>
        </w:rPr>
        <w:t>%；</w:t>
      </w:r>
      <w:r>
        <w:rPr>
          <w:rFonts w:hint="eastAsia" w:ascii="仿宋_GB2312" w:eastAsia="仿宋_GB2312" w:cs="仿宋_GB2312"/>
          <w:color w:val="000000"/>
          <w:sz w:val="32"/>
          <w:szCs w:val="32"/>
          <w:lang w:eastAsia="zh-CN"/>
        </w:rPr>
        <w:t>较上年</w:t>
      </w:r>
      <w:r>
        <w:rPr>
          <w:rFonts w:hint="eastAsia" w:ascii="仿宋_GB2312" w:cs="仿宋_GB2312"/>
          <w:color w:val="000000"/>
          <w:sz w:val="32"/>
          <w:szCs w:val="32"/>
          <w:lang w:eastAsia="zh-CN"/>
        </w:rPr>
        <w:t>增加</w:t>
      </w:r>
      <w:r>
        <w:rPr>
          <w:rFonts w:hint="eastAsia" w:ascii="仿宋_GB2312" w:cs="仿宋_GB2312"/>
          <w:color w:val="000000"/>
          <w:sz w:val="32"/>
          <w:szCs w:val="32"/>
          <w:lang w:val="en-US" w:eastAsia="zh-CN"/>
        </w:rPr>
        <w:t>0.09</w:t>
      </w:r>
      <w:r>
        <w:rPr>
          <w:rFonts w:hint="eastAsia"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w:t>
      </w:r>
      <w:r>
        <w:rPr>
          <w:rFonts w:hint="eastAsia" w:ascii="仿宋_GB2312" w:cs="仿宋_GB2312"/>
          <w:color w:val="000000"/>
          <w:sz w:val="32"/>
          <w:szCs w:val="32"/>
          <w:lang w:eastAsia="zh-CN"/>
        </w:rPr>
        <w:t>增加</w:t>
      </w:r>
      <w:r>
        <w:rPr>
          <w:rFonts w:hint="eastAsia" w:ascii="仿宋_GB2312" w:cs="仿宋_GB2312"/>
          <w:color w:val="000000"/>
          <w:sz w:val="32"/>
          <w:szCs w:val="32"/>
          <w:lang w:val="en-US" w:eastAsia="zh-CN"/>
        </w:rPr>
        <w:t>1.03</w:t>
      </w:r>
      <w:r>
        <w:rPr>
          <w:rFonts w:hint="eastAsia" w:ascii="仿宋_GB2312" w:eastAsia="仿宋_GB2312" w:cs="仿宋_GB2312"/>
          <w:color w:val="000000"/>
          <w:sz w:val="32"/>
          <w:szCs w:val="32"/>
          <w:lang w:val="en-US" w:eastAsia="zh-CN"/>
        </w:rPr>
        <w:t>%。</w:t>
      </w:r>
      <w:r>
        <w:rPr>
          <w:rFonts w:hint="eastAsia" w:ascii="仿宋_GB2312" w:cs="仿宋_GB2312"/>
          <w:color w:val="000000"/>
          <w:sz w:val="32"/>
          <w:szCs w:val="32"/>
          <w:lang w:val="en-US" w:eastAsia="zh-CN"/>
        </w:rPr>
        <w:t>与上年相比较基本持平。</w:t>
      </w:r>
      <w:r>
        <w:rPr>
          <w:rFonts w:hint="eastAsia" w:ascii="仿宋_GB2312" w:cs="仿宋_GB2312"/>
          <w:color w:val="000000"/>
          <w:sz w:val="32"/>
          <w:szCs w:val="32"/>
          <w:lang w:eastAsia="zh-CN"/>
        </w:rPr>
        <w:t>其</w:t>
      </w:r>
      <w:r>
        <w:rPr>
          <w:rFonts w:hint="eastAsia" w:ascii="仿宋_GB2312" w:eastAsia="仿宋_GB2312" w:cs="仿宋_GB2312"/>
          <w:color w:val="000000"/>
          <w:sz w:val="32"/>
          <w:szCs w:val="32"/>
        </w:rPr>
        <w:t>主要原因是</w:t>
      </w:r>
      <w:r>
        <w:rPr>
          <w:rFonts w:hint="default" w:ascii="仿宋_GB2312" w:eastAsia="仿宋_GB2312" w:cs="仿宋_GB2312"/>
          <w:color w:val="000000"/>
          <w:sz w:val="32"/>
          <w:szCs w:val="32"/>
          <w:lang w:val="en-US" w:eastAsia="zh-CN"/>
        </w:rPr>
        <w:t>深入贯彻中央八项</w:t>
      </w:r>
      <w:r>
        <w:rPr>
          <w:rFonts w:hint="default" w:ascii="Times New Roman" w:hAnsi="Times New Roman" w:eastAsia="仿宋_GB2312" w:cs="Times New Roman"/>
          <w:kern w:val="2"/>
          <w:sz w:val="32"/>
          <w:szCs w:val="32"/>
          <w:lang w:val="en-US" w:eastAsia="zh-CN" w:bidi="ar-SA"/>
        </w:rPr>
        <w:t>规定</w:t>
      </w:r>
      <w:r>
        <w:rPr>
          <w:rFonts w:hint="eastAsia" w:ascii="Times New Roman" w:hAnsi="Times New Roman" w:cs="Times New Roman"/>
          <w:kern w:val="2"/>
          <w:sz w:val="32"/>
          <w:szCs w:val="32"/>
          <w:lang w:val="en-US" w:eastAsia="zh-CN" w:bidi="ar-SA"/>
        </w:rPr>
        <w:t>精神</w:t>
      </w:r>
      <w:r>
        <w:rPr>
          <w:rFonts w:hint="default" w:ascii="Times New Roman" w:hAnsi="Times New Roman" w:eastAsia="仿宋_GB2312" w:cs="Times New Roman"/>
          <w:kern w:val="2"/>
          <w:sz w:val="32"/>
          <w:szCs w:val="32"/>
          <w:lang w:val="en-US" w:eastAsia="zh-CN" w:bidi="ar-SA"/>
        </w:rPr>
        <w:t>、《党政机关厉行节约反对浪费条例》及市委市政府有关具体要求，严格控制公务接待支出。</w:t>
      </w:r>
      <w:r>
        <w:rPr>
          <w:rFonts w:hint="eastAsia" w:ascii="仿宋_GB2312" w:cs="仿宋_GB2312"/>
          <w:color w:val="000000"/>
          <w:sz w:val="32"/>
          <w:szCs w:val="32"/>
          <w:lang w:val="en-US" w:eastAsia="zh-CN"/>
        </w:rPr>
        <w:t>2025</w:t>
      </w:r>
      <w:r>
        <w:rPr>
          <w:rFonts w:ascii="仿宋_GB2312" w:eastAsia="仿宋_GB2312" w:cs="仿宋_GB2312"/>
          <w:color w:val="000000"/>
          <w:sz w:val="32"/>
          <w:szCs w:val="32"/>
        </w:rPr>
        <w:t>年淮南市</w:t>
      </w:r>
      <w:r>
        <w:rPr>
          <w:rFonts w:hint="eastAsia" w:ascii="仿宋_GB2312" w:eastAsia="仿宋_GB2312" w:cs="仿宋_GB2312"/>
          <w:color w:val="000000"/>
          <w:sz w:val="32"/>
          <w:szCs w:val="32"/>
          <w:lang w:eastAsia="zh-CN"/>
        </w:rPr>
        <w:t>市场监管局</w:t>
      </w:r>
      <w:r>
        <w:rPr>
          <w:rFonts w:ascii="仿宋_GB2312" w:eastAsia="仿宋_GB2312" w:cs="仿宋_GB2312"/>
          <w:color w:val="000000"/>
          <w:sz w:val="32"/>
          <w:szCs w:val="32"/>
        </w:rPr>
        <w:t>国内公务接待共</w:t>
      </w:r>
      <w:r>
        <w:rPr>
          <w:rFonts w:hint="eastAsia" w:ascii="仿宋_GB2312" w:cs="仿宋_GB2312"/>
          <w:color w:val="000000"/>
          <w:sz w:val="32"/>
          <w:szCs w:val="32"/>
          <w:lang w:val="en-US" w:eastAsia="zh-CN"/>
        </w:rPr>
        <w:t>116</w:t>
      </w:r>
      <w:r>
        <w:rPr>
          <w:rFonts w:ascii="仿宋_GB2312" w:eastAsia="仿宋_GB2312" w:cs="仿宋_GB2312"/>
          <w:color w:val="000000"/>
          <w:sz w:val="32"/>
          <w:szCs w:val="32"/>
        </w:rPr>
        <w:t>批次（其中外事接待</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批次），</w:t>
      </w:r>
      <w:r>
        <w:rPr>
          <w:rFonts w:hint="eastAsia" w:ascii="仿宋_GB2312" w:cs="仿宋_GB2312"/>
          <w:color w:val="000000"/>
          <w:sz w:val="32"/>
          <w:szCs w:val="32"/>
          <w:lang w:val="en-US" w:eastAsia="zh-CN"/>
        </w:rPr>
        <w:t>929</w:t>
      </w:r>
      <w:r>
        <w:rPr>
          <w:rFonts w:ascii="仿宋_GB2312" w:eastAsia="仿宋_GB2312" w:cs="仿宋_GB2312"/>
          <w:color w:val="000000"/>
          <w:sz w:val="32"/>
          <w:szCs w:val="32"/>
        </w:rPr>
        <w:t>人次（其中外事接待</w:t>
      </w:r>
      <w:r>
        <w:rPr>
          <w:rFonts w:hint="eastAsia" w:ascii="仿宋_GB2312" w:eastAsia="仿宋_GB2312" w:cs="仿宋_GB2312"/>
          <w:color w:val="000000"/>
          <w:sz w:val="32"/>
          <w:szCs w:val="32"/>
          <w:lang w:val="en-US" w:eastAsia="zh-CN"/>
        </w:rPr>
        <w:t>0</w:t>
      </w:r>
      <w:r>
        <w:rPr>
          <w:rFonts w:ascii="仿宋_GB2312" w:eastAsia="仿宋_GB2312" w:cs="仿宋_GB2312"/>
          <w:color w:val="000000"/>
          <w:sz w:val="32"/>
          <w:szCs w:val="32"/>
        </w:rPr>
        <w:t>人次）。</w:t>
      </w:r>
      <w:r>
        <w:rPr>
          <w:rFonts w:hint="default" w:ascii="Times New Roman" w:hAnsi="Times New Roman" w:eastAsia="仿宋_GB2312" w:cs="Times New Roman"/>
          <w:kern w:val="2"/>
          <w:sz w:val="32"/>
          <w:szCs w:val="32"/>
          <w:lang w:val="en-US" w:eastAsia="zh-CN" w:bidi="ar-SA"/>
        </w:rPr>
        <w:t>主要用于接待上级、外市单位业务指导和工作调研等公务往来支出。</w:t>
      </w:r>
      <w:r>
        <w:rPr>
          <w:rFonts w:hint="eastAsia" w:ascii="仿宋_GB2312" w:hAnsi="仿宋"/>
          <w:sz w:val="32"/>
        </w:rPr>
        <w:t>经费使用深入贯彻中央八项规定精神，严格执行《党政机关厉行节约反对浪费条例》、《淮南市党政机关国内公务接待管理办法》(淮办发[2024]22号)等相关规定。</w:t>
      </w:r>
    </w:p>
    <w:p w14:paraId="650B715E">
      <w:pPr>
        <w:pStyle w:val="7"/>
        <w:keepNext w:val="0"/>
        <w:keepLines w:val="0"/>
        <w:pageBreakBefore w:val="0"/>
        <w:widowControl/>
        <w:numPr>
          <w:ilvl w:val="0"/>
          <w:numId w:val="0"/>
        </w:numPr>
        <w:kinsoku/>
        <w:wordWrap/>
        <w:overflowPunct/>
        <w:topLinePunct w:val="0"/>
        <w:autoSpaceDE/>
        <w:autoSpaceDN/>
        <w:bidi w:val="0"/>
        <w:spacing w:before="0" w:after="0" w:line="560" w:lineRule="exact"/>
        <w:ind w:left="628" w:leftChars="0" w:right="0" w:rightChars="0" w:firstLine="314" w:firstLineChars="100"/>
        <w:textAlignment w:val="auto"/>
        <w:rPr>
          <w:rFonts w:hint="eastAsia" w:ascii="仿宋_GB2312" w:cs="仿宋_GB2312"/>
          <w:color w:val="auto"/>
          <w:sz w:val="32"/>
          <w:szCs w:val="32"/>
          <w:lang w:val="en-US" w:eastAsia="zh-CN"/>
        </w:rPr>
      </w:pPr>
      <w:r>
        <w:rPr>
          <w:rFonts w:hint="eastAsia" w:ascii="仿宋_GB2312" w:cs="仿宋_GB2312"/>
          <w:b/>
          <w:color w:val="000000"/>
          <w:sz w:val="32"/>
          <w:szCs w:val="32"/>
          <w:lang w:val="en-US" w:eastAsia="zh-CN"/>
        </w:rPr>
        <w:t>2、</w:t>
      </w:r>
      <w:r>
        <w:rPr>
          <w:rFonts w:ascii="仿宋_GB2312" w:eastAsia="仿宋_GB2312" w:cs="仿宋_GB2312"/>
          <w:b/>
          <w:color w:val="000000"/>
          <w:sz w:val="32"/>
          <w:szCs w:val="32"/>
        </w:rPr>
        <w:t>公</w:t>
      </w:r>
      <w:r>
        <w:rPr>
          <w:rFonts w:ascii="仿宋_GB2312" w:eastAsia="仿宋_GB2312" w:cs="仿宋_GB2312"/>
          <w:b/>
          <w:color w:val="auto"/>
          <w:sz w:val="32"/>
          <w:szCs w:val="32"/>
        </w:rPr>
        <w:t>务用车购置及运行维护费</w:t>
      </w:r>
      <w:r>
        <w:rPr>
          <w:rFonts w:hint="eastAsia" w:ascii="仿宋_GB2312" w:cs="仿宋_GB2312"/>
          <w:color w:val="auto"/>
          <w:sz w:val="32"/>
          <w:szCs w:val="32"/>
          <w:lang w:val="en-US" w:eastAsia="zh-CN"/>
        </w:rPr>
        <w:t>预算为103.09万元，支出</w:t>
      </w:r>
    </w:p>
    <w:p w14:paraId="5F7EE346">
      <w:pPr>
        <w:pStyle w:val="7"/>
        <w:keepNext w:val="0"/>
        <w:keepLines w:val="0"/>
        <w:pageBreakBefore w:val="0"/>
        <w:widowControl/>
        <w:numPr>
          <w:ilvl w:val="0"/>
          <w:numId w:val="0"/>
        </w:numPr>
        <w:kinsoku/>
        <w:wordWrap/>
        <w:overflowPunct/>
        <w:topLinePunct w:val="0"/>
        <w:autoSpaceDE/>
        <w:autoSpaceDN/>
        <w:bidi w:val="0"/>
        <w:spacing w:before="0" w:after="0" w:line="560" w:lineRule="exact"/>
        <w:ind w:left="314" w:leftChars="100" w:right="0" w:rightChars="0" w:firstLine="0" w:firstLineChars="0"/>
        <w:textAlignment w:val="auto"/>
        <w:rPr>
          <w:rFonts w:hint="eastAsia" w:ascii="仿宋_GB2312" w:eastAsia="仿宋_GB2312" w:cs="仿宋_GB2312"/>
          <w:color w:val="auto"/>
          <w:sz w:val="32"/>
          <w:szCs w:val="32"/>
        </w:rPr>
      </w:pPr>
      <w:r>
        <w:rPr>
          <w:rFonts w:hint="eastAsia" w:ascii="仿宋_GB2312" w:cs="仿宋_GB2312"/>
          <w:color w:val="auto"/>
          <w:sz w:val="32"/>
          <w:szCs w:val="32"/>
          <w:lang w:val="en-US" w:eastAsia="zh-CN"/>
        </w:rPr>
        <w:t>决算为101.34万元，完成预算的98.3%；较上年增加1.35万元，增长1.35%。决算数小于预算数的主要原因是</w:t>
      </w:r>
      <w:r>
        <w:rPr>
          <w:rFonts w:hint="eastAsia" w:ascii="仿宋" w:hAnsi="仿宋" w:eastAsia="仿宋" w:cs="仿宋"/>
          <w:color w:val="auto"/>
          <w:sz w:val="32"/>
          <w:szCs w:val="32"/>
          <w:lang w:eastAsia="zh-CN"/>
        </w:rPr>
        <w:t>加强公务用车管理、坚持压减““三公”经费支出”</w:t>
      </w:r>
      <w:r>
        <w:rPr>
          <w:rFonts w:hint="eastAsia" w:ascii="仿宋_GB2312" w:cs="仿宋_GB2312"/>
          <w:color w:val="auto"/>
          <w:sz w:val="32"/>
          <w:szCs w:val="32"/>
          <w:lang w:val="en-US" w:eastAsia="zh-CN"/>
        </w:rPr>
        <w:t>。决算数较上年增加的原因是局属二级机构特种设备监督检验中心为自收自支单位，2025年</w:t>
      </w:r>
      <w:r>
        <w:rPr>
          <w:rFonts w:hint="eastAsia" w:ascii="仿宋_GB2312" w:hAnsi="仿宋"/>
          <w:color w:val="auto"/>
          <w:sz w:val="32"/>
          <w:szCs w:val="32"/>
          <w:highlight w:val="none"/>
          <w:u w:val="none"/>
          <w:lang w:val="en-US" w:eastAsia="zh-CN"/>
        </w:rPr>
        <w:t>按财政要求其“三公”经费要纳入一般公共预算，使得</w:t>
      </w:r>
      <w:r>
        <w:rPr>
          <w:rFonts w:ascii="仿宋_GB2312" w:eastAsia="仿宋_GB2312" w:cs="仿宋_GB2312"/>
          <w:b w:val="0"/>
          <w:bCs/>
          <w:color w:val="000000"/>
          <w:sz w:val="32"/>
          <w:szCs w:val="32"/>
        </w:rPr>
        <w:t>公</w:t>
      </w:r>
      <w:r>
        <w:rPr>
          <w:rFonts w:ascii="仿宋_GB2312" w:eastAsia="仿宋_GB2312" w:cs="仿宋_GB2312"/>
          <w:b w:val="0"/>
          <w:bCs/>
          <w:color w:val="auto"/>
          <w:sz w:val="32"/>
          <w:szCs w:val="32"/>
        </w:rPr>
        <w:t>务用车运行维护费</w:t>
      </w:r>
      <w:r>
        <w:rPr>
          <w:rFonts w:hint="eastAsia" w:ascii="仿宋_GB2312" w:hAnsi="仿宋"/>
          <w:b w:val="0"/>
          <w:bCs/>
          <w:color w:val="auto"/>
          <w:sz w:val="32"/>
          <w:szCs w:val="32"/>
          <w:highlight w:val="none"/>
          <w:u w:val="none"/>
          <w:lang w:val="en-US" w:eastAsia="zh-CN"/>
        </w:rPr>
        <w:t>较上年增加25万元，</w:t>
      </w:r>
      <w:r>
        <w:rPr>
          <w:rFonts w:ascii="仿宋_GB2312" w:eastAsia="仿宋_GB2312" w:cs="仿宋_GB2312"/>
          <w:color w:val="auto"/>
          <w:sz w:val="32"/>
          <w:szCs w:val="32"/>
        </w:rPr>
        <w:t>其中，公务用车购置费</w:t>
      </w:r>
      <w:r>
        <w:rPr>
          <w:rFonts w:hint="eastAsia" w:ascii="仿宋_GB2312" w:cs="仿宋_GB2312"/>
          <w:color w:val="auto"/>
          <w:sz w:val="32"/>
          <w:szCs w:val="32"/>
          <w:lang w:eastAsia="zh-CN"/>
        </w:rPr>
        <w:t>预算为</w:t>
      </w:r>
      <w:r>
        <w:rPr>
          <w:rFonts w:hint="eastAsia" w:ascii="仿宋_GB2312" w:cs="仿宋_GB2312"/>
          <w:color w:val="auto"/>
          <w:sz w:val="32"/>
          <w:szCs w:val="32"/>
          <w:lang w:val="en-US" w:eastAsia="zh-CN"/>
        </w:rPr>
        <w:t>27万元，支出决算为25.26</w:t>
      </w:r>
      <w:r>
        <w:rPr>
          <w:rFonts w:ascii="仿宋_GB2312" w:eastAsia="仿宋_GB2312" w:cs="仿宋_GB2312"/>
          <w:color w:val="auto"/>
          <w:sz w:val="32"/>
          <w:szCs w:val="32"/>
        </w:rPr>
        <w:t>万元，</w:t>
      </w:r>
      <w:r>
        <w:rPr>
          <w:rFonts w:hint="eastAsia" w:ascii="仿宋_GB2312" w:cs="仿宋_GB2312"/>
          <w:color w:val="auto"/>
          <w:sz w:val="32"/>
          <w:szCs w:val="32"/>
          <w:lang w:eastAsia="zh-CN"/>
        </w:rPr>
        <w:t>完成预算的</w:t>
      </w:r>
      <w:r>
        <w:rPr>
          <w:rFonts w:hint="eastAsia" w:ascii="仿宋_GB2312" w:cs="仿宋_GB2312"/>
          <w:color w:val="auto"/>
          <w:sz w:val="32"/>
          <w:szCs w:val="32"/>
          <w:lang w:val="en-US" w:eastAsia="zh-CN"/>
        </w:rPr>
        <w:t>93.56%；</w:t>
      </w:r>
      <w:r>
        <w:rPr>
          <w:rFonts w:hint="eastAsia" w:ascii="仿宋_GB2312" w:eastAsia="仿宋_GB2312" w:cs="仿宋_GB2312"/>
          <w:color w:val="auto"/>
          <w:sz w:val="32"/>
          <w:szCs w:val="32"/>
          <w:lang w:eastAsia="zh-CN"/>
        </w:rPr>
        <w:t>较上年</w:t>
      </w:r>
      <w:r>
        <w:rPr>
          <w:rFonts w:hint="eastAsia" w:ascii="仿宋_GB2312" w:cs="仿宋_GB2312"/>
          <w:color w:val="auto"/>
          <w:sz w:val="32"/>
          <w:szCs w:val="32"/>
          <w:lang w:eastAsia="zh-CN"/>
        </w:rPr>
        <w:t>减少</w:t>
      </w:r>
      <w:r>
        <w:rPr>
          <w:rFonts w:hint="eastAsia" w:ascii="仿宋_GB2312" w:cs="仿宋_GB2312"/>
          <w:color w:val="auto"/>
          <w:sz w:val="32"/>
          <w:szCs w:val="32"/>
          <w:lang w:val="en-US" w:eastAsia="zh-CN"/>
        </w:rPr>
        <w:t>23.62</w:t>
      </w:r>
      <w:r>
        <w:rPr>
          <w:rFonts w:hint="eastAsia" w:ascii="仿宋_GB2312" w:eastAsia="仿宋_GB2312" w:cs="仿宋_GB2312"/>
          <w:color w:val="auto"/>
          <w:sz w:val="32"/>
          <w:szCs w:val="32"/>
        </w:rPr>
        <w:t>万元</w:t>
      </w:r>
      <w:r>
        <w:rPr>
          <w:rFonts w:hint="eastAsia" w:ascii="仿宋_GB2312" w:eastAsia="仿宋_GB2312" w:cs="仿宋_GB2312"/>
          <w:color w:val="auto"/>
          <w:sz w:val="32"/>
          <w:szCs w:val="32"/>
          <w:lang w:eastAsia="zh-CN"/>
        </w:rPr>
        <w:t>，</w:t>
      </w:r>
      <w:r>
        <w:rPr>
          <w:rFonts w:hint="eastAsia" w:ascii="仿宋_GB2312" w:cs="仿宋_GB2312"/>
          <w:color w:val="auto"/>
          <w:sz w:val="32"/>
          <w:szCs w:val="32"/>
          <w:lang w:eastAsia="zh-CN"/>
        </w:rPr>
        <w:t>下降</w:t>
      </w:r>
      <w:r>
        <w:rPr>
          <w:rFonts w:hint="eastAsia" w:ascii="仿宋_GB2312" w:cs="仿宋_GB2312"/>
          <w:color w:val="auto"/>
          <w:sz w:val="32"/>
          <w:szCs w:val="32"/>
          <w:lang w:val="en-US" w:eastAsia="zh-CN"/>
        </w:rPr>
        <w:t>48.32</w:t>
      </w:r>
      <w:r>
        <w:rPr>
          <w:rFonts w:hint="eastAsia" w:ascii="仿宋_GB2312" w:eastAsia="仿宋_GB2312" w:cs="仿宋_GB2312"/>
          <w:color w:val="auto"/>
          <w:sz w:val="32"/>
          <w:szCs w:val="32"/>
          <w:lang w:val="en-US" w:eastAsia="zh-CN"/>
        </w:rPr>
        <w:t>%。</w:t>
      </w:r>
      <w:r>
        <w:rPr>
          <w:rFonts w:hint="eastAsia" w:ascii="仿宋_GB2312" w:cs="仿宋_GB2312"/>
          <w:color w:val="auto"/>
          <w:sz w:val="32"/>
          <w:szCs w:val="32"/>
          <w:lang w:val="en-US" w:eastAsia="zh-CN"/>
        </w:rPr>
        <w:t>决算数小于预算数的主要原因是</w:t>
      </w:r>
      <w:r>
        <w:rPr>
          <w:rFonts w:hint="eastAsia" w:ascii="Times New Roman" w:hAnsi="Times New Roman" w:eastAsia="仿宋_GB2312" w:cs="Times New Roman"/>
          <w:color w:val="auto"/>
          <w:sz w:val="32"/>
          <w:szCs w:val="32"/>
          <w:lang w:eastAsia="zh-CN"/>
        </w:rPr>
        <w:t>严格控制经费管理、坚</w:t>
      </w:r>
      <w:r>
        <w:rPr>
          <w:rFonts w:hint="eastAsia" w:ascii="Times New Roman" w:hAnsi="Times New Roman" w:eastAsia="仿宋_GB2312" w:cs="Times New Roman"/>
          <w:color w:val="000000"/>
          <w:sz w:val="32"/>
          <w:szCs w:val="32"/>
          <w:lang w:eastAsia="zh-CN"/>
        </w:rPr>
        <w:t>持压减“三公”经费支出。</w:t>
      </w:r>
      <w:r>
        <w:rPr>
          <w:rFonts w:hint="eastAsia" w:ascii="仿宋_GB2312" w:cs="仿宋_GB2312"/>
          <w:color w:val="auto"/>
          <w:sz w:val="32"/>
          <w:szCs w:val="32"/>
          <w:lang w:val="en-US" w:eastAsia="zh-CN"/>
        </w:rPr>
        <w:t>2025年公务用车运行维护费预算为76.09万元，支出决算为76.08万元，约完成预算的100%。预算与决算基本持平</w:t>
      </w:r>
      <w:r>
        <w:rPr>
          <w:rFonts w:ascii="仿宋_GB2312" w:eastAsia="仿宋_GB2312" w:cs="仿宋_GB2312"/>
          <w:color w:val="auto"/>
          <w:sz w:val="32"/>
          <w:szCs w:val="32"/>
        </w:rPr>
        <w:t>。</w:t>
      </w:r>
      <w:r>
        <w:rPr>
          <w:rFonts w:hint="eastAsia" w:ascii="仿宋_GB2312" w:cs="仿宋_GB2312"/>
          <w:color w:val="auto"/>
          <w:sz w:val="32"/>
          <w:szCs w:val="32"/>
          <w:lang w:eastAsia="zh-CN"/>
        </w:rPr>
        <w:t>与上年较上年增加</w:t>
      </w:r>
      <w:r>
        <w:rPr>
          <w:rFonts w:hint="eastAsia" w:ascii="仿宋_GB2312" w:cs="仿宋_GB2312"/>
          <w:color w:val="auto"/>
          <w:sz w:val="32"/>
          <w:szCs w:val="32"/>
          <w:lang w:val="en-US" w:eastAsia="zh-CN"/>
        </w:rPr>
        <w:t>24.97万元，增长的原因是：局属二级机构食品药品检验中心增加</w:t>
      </w:r>
      <w:r>
        <w:rPr>
          <w:rFonts w:hint="eastAsia" w:ascii="宋体" w:hAnsi="宋体" w:cs="宋体"/>
          <w:color w:val="auto"/>
          <w:kern w:val="0"/>
          <w:sz w:val="32"/>
          <w:szCs w:val="32"/>
        </w:rPr>
        <w:t>公务用车运行维护</w:t>
      </w:r>
      <w:r>
        <w:rPr>
          <w:rFonts w:hint="eastAsia" w:ascii="宋体" w:hAnsi="宋体" w:cs="宋体"/>
          <w:color w:val="auto"/>
          <w:kern w:val="0"/>
          <w:sz w:val="32"/>
          <w:szCs w:val="32"/>
          <w:lang w:eastAsia="zh-CN"/>
        </w:rPr>
        <w:t>费及局属二级机构特种设备监督检验中心为自收自支的事业单位，今年根据</w:t>
      </w:r>
      <w:r>
        <w:rPr>
          <w:rFonts w:hint="eastAsia" w:ascii="仿宋_GB2312" w:hAnsi="仿宋"/>
          <w:color w:val="auto"/>
          <w:sz w:val="32"/>
          <w:szCs w:val="32"/>
          <w:highlight w:val="none"/>
          <w:u w:val="none"/>
          <w:lang w:val="en-US" w:eastAsia="zh-CN"/>
        </w:rPr>
        <w:t>按财政要求，重新将其车辆维修维护费用要纳入“三公”经费科目统计，因此</w:t>
      </w:r>
      <w:r>
        <w:rPr>
          <w:rFonts w:hint="eastAsia" w:ascii="仿宋_GB2312" w:eastAsia="仿宋_GB2312" w:cs="仿宋_GB2312"/>
          <w:color w:val="auto"/>
          <w:sz w:val="32"/>
          <w:szCs w:val="32"/>
        </w:rPr>
        <w:t>公务用车运行维护费</w:t>
      </w:r>
      <w:r>
        <w:rPr>
          <w:rFonts w:hint="eastAsia" w:ascii="仿宋_GB2312" w:cs="仿宋_GB2312"/>
          <w:color w:val="auto"/>
          <w:sz w:val="32"/>
          <w:szCs w:val="32"/>
          <w:lang w:eastAsia="zh-CN"/>
        </w:rPr>
        <w:t>的决算支出超上年</w:t>
      </w:r>
      <w:r>
        <w:rPr>
          <w:rFonts w:hint="eastAsia" w:ascii="仿宋_GB2312" w:eastAsia="仿宋_GB2312" w:cs="仿宋_GB2312"/>
          <w:color w:val="auto"/>
          <w:sz w:val="32"/>
          <w:szCs w:val="32"/>
        </w:rPr>
        <w:t>，</w:t>
      </w:r>
      <w:r>
        <w:rPr>
          <w:rFonts w:hint="eastAsia" w:ascii="仿宋_GB2312" w:cs="仿宋_GB2312"/>
          <w:color w:val="auto"/>
          <w:sz w:val="32"/>
          <w:szCs w:val="32"/>
          <w:lang w:eastAsia="zh-CN"/>
        </w:rPr>
        <w:t>公务用车</w:t>
      </w:r>
      <w:r>
        <w:rPr>
          <w:rFonts w:ascii="仿宋_GB2312" w:eastAsia="仿宋_GB2312" w:cs="仿宋_GB2312"/>
          <w:b w:val="0"/>
          <w:bCs/>
          <w:color w:val="auto"/>
          <w:sz w:val="32"/>
          <w:szCs w:val="32"/>
        </w:rPr>
        <w:t>运行维护费</w:t>
      </w:r>
      <w:r>
        <w:rPr>
          <w:rFonts w:hint="eastAsia" w:ascii="仿宋_GB2312" w:eastAsia="仿宋_GB2312" w:cs="仿宋_GB2312"/>
          <w:color w:val="auto"/>
          <w:sz w:val="32"/>
          <w:szCs w:val="32"/>
        </w:rPr>
        <w:t>包括车辆燃料费、维修费、过路过桥费、保险费等支出</w:t>
      </w:r>
      <w:r>
        <w:rPr>
          <w:rFonts w:hint="eastAsia" w:ascii="仿宋_GB2312" w:cs="仿宋_GB2312"/>
          <w:color w:val="auto"/>
          <w:sz w:val="32"/>
          <w:szCs w:val="32"/>
          <w:lang w:eastAsia="zh-CN"/>
        </w:rPr>
        <w:t>。</w:t>
      </w:r>
    </w:p>
    <w:p w14:paraId="3454D6EB">
      <w:pPr>
        <w:keepNext w:val="0"/>
        <w:keepLines w:val="0"/>
        <w:pageBreakBefore w:val="0"/>
        <w:kinsoku/>
        <w:wordWrap/>
        <w:overflowPunct/>
        <w:topLinePunct w:val="0"/>
        <w:autoSpaceDE/>
        <w:autoSpaceDN/>
        <w:bidi w:val="0"/>
        <w:spacing w:line="560" w:lineRule="exact"/>
        <w:ind w:left="314" w:leftChars="100" w:firstLine="628" w:firstLineChars="200"/>
        <w:textAlignment w:val="auto"/>
        <w:rPr>
          <w:rFonts w:hint="eastAsia"/>
          <w:b w:val="0"/>
          <w:bCs w:val="0"/>
        </w:rPr>
      </w:pPr>
      <w:r>
        <w:rPr>
          <w:rFonts w:hint="eastAsia" w:ascii="仿宋_GB2312" w:hAnsi="仿宋"/>
          <w:szCs w:val="32"/>
        </w:rPr>
        <w:t>截至</w:t>
      </w:r>
      <w:r>
        <w:rPr>
          <w:rFonts w:hint="eastAsia" w:ascii="仿宋_GB2312" w:hAnsi="仿宋"/>
          <w:szCs w:val="32"/>
          <w:lang w:eastAsia="zh-CN"/>
        </w:rPr>
        <w:t>202</w:t>
      </w:r>
      <w:r>
        <w:rPr>
          <w:rFonts w:hint="eastAsia" w:ascii="仿宋_GB2312" w:hAnsi="仿宋"/>
          <w:szCs w:val="32"/>
          <w:lang w:val="en-US" w:eastAsia="zh-CN"/>
        </w:rPr>
        <w:t>5</w:t>
      </w:r>
      <w:r>
        <w:rPr>
          <w:rFonts w:hint="eastAsia" w:ascii="仿宋_GB2312" w:hAnsi="仿宋"/>
          <w:szCs w:val="32"/>
        </w:rPr>
        <w:t>年12月31日，</w:t>
      </w:r>
      <w:r>
        <w:rPr>
          <w:rFonts w:hint="eastAsia" w:ascii="仿宋_GB2312" w:hAnsi="仿宋"/>
          <w:szCs w:val="32"/>
          <w:lang w:eastAsia="zh-CN"/>
        </w:rPr>
        <w:t>淮南市市场监督管理局</w:t>
      </w:r>
      <w:r>
        <w:rPr>
          <w:rFonts w:hint="eastAsia" w:ascii="仿宋_GB2312" w:hAnsi="仿宋"/>
          <w:szCs w:val="32"/>
        </w:rPr>
        <w:t>机关</w:t>
      </w:r>
      <w:r>
        <w:rPr>
          <w:rFonts w:hint="eastAsia" w:ascii="仿宋_GB2312" w:hAnsi="仿宋"/>
          <w:b w:val="0"/>
          <w:bCs w:val="0"/>
          <w:szCs w:val="32"/>
        </w:rPr>
        <w:t>及所属单位公务用车保有量为</w:t>
      </w:r>
      <w:r>
        <w:rPr>
          <w:rFonts w:hint="eastAsia" w:ascii="仿宋_GB2312" w:hAnsi="仿宋"/>
          <w:b w:val="0"/>
          <w:bCs w:val="0"/>
          <w:szCs w:val="32"/>
          <w:lang w:val="en-US" w:eastAsia="zh-CN"/>
        </w:rPr>
        <w:t>50</w:t>
      </w:r>
      <w:r>
        <w:rPr>
          <w:rFonts w:hint="eastAsia" w:ascii="仿宋_GB2312" w:hAnsi="仿宋"/>
          <w:b w:val="0"/>
          <w:bCs w:val="0"/>
          <w:szCs w:val="32"/>
        </w:rPr>
        <w:t>辆。</w:t>
      </w:r>
    </w:p>
    <w:p w14:paraId="090A15A8">
      <w:pPr>
        <w:pStyle w:val="2"/>
        <w:keepNext w:val="0"/>
        <w:keepLines w:val="0"/>
        <w:pageBreakBefore w:val="0"/>
        <w:kinsoku/>
        <w:wordWrap/>
        <w:overflowPunct/>
        <w:topLinePunct w:val="0"/>
        <w:autoSpaceDE/>
        <w:autoSpaceDN/>
        <w:bidi w:val="0"/>
        <w:spacing w:line="560" w:lineRule="exact"/>
        <w:ind w:left="1258" w:hanging="1258"/>
        <w:jc w:val="both"/>
        <w:textAlignment w:val="auto"/>
        <w:rPr>
          <w:rFonts w:hint="eastAsia" w:ascii="仿宋_GB2312" w:eastAsia="仿宋_GB2312"/>
          <w:b w:val="0"/>
          <w:bCs w:val="0"/>
          <w:sz w:val="32"/>
        </w:rPr>
      </w:pPr>
    </w:p>
    <w:p w14:paraId="5C9E1D7B">
      <w:pPr>
        <w:pStyle w:val="2"/>
        <w:keepNext w:val="0"/>
        <w:keepLines w:val="0"/>
        <w:pageBreakBefore w:val="0"/>
        <w:kinsoku/>
        <w:wordWrap/>
        <w:overflowPunct/>
        <w:topLinePunct w:val="0"/>
        <w:autoSpaceDE/>
        <w:autoSpaceDN/>
        <w:bidi w:val="0"/>
        <w:spacing w:line="560" w:lineRule="exact"/>
        <w:ind w:left="1258" w:hanging="1258"/>
        <w:jc w:val="both"/>
        <w:textAlignment w:val="auto"/>
        <w:rPr>
          <w:rFonts w:hint="eastAsia" w:ascii="仿宋_GB2312" w:eastAsia="仿宋_GB2312"/>
          <w:sz w:val="32"/>
        </w:rPr>
      </w:pPr>
    </w:p>
    <w:p w14:paraId="4F681232">
      <w:pPr>
        <w:pStyle w:val="2"/>
        <w:keepNext w:val="0"/>
        <w:keepLines w:val="0"/>
        <w:pageBreakBefore w:val="0"/>
        <w:kinsoku/>
        <w:wordWrap/>
        <w:overflowPunct/>
        <w:topLinePunct w:val="0"/>
        <w:autoSpaceDE/>
        <w:autoSpaceDN/>
        <w:bidi w:val="0"/>
        <w:spacing w:line="560" w:lineRule="exact"/>
        <w:jc w:val="both"/>
        <w:textAlignment w:val="auto"/>
        <w:rPr>
          <w:rFonts w:hint="eastAsia"/>
        </w:rPr>
      </w:pPr>
    </w:p>
    <w:p w14:paraId="11D26813">
      <w:pPr>
        <w:pStyle w:val="2"/>
        <w:keepNext w:val="0"/>
        <w:keepLines w:val="0"/>
        <w:pageBreakBefore w:val="0"/>
        <w:kinsoku/>
        <w:wordWrap/>
        <w:overflowPunct/>
        <w:topLinePunct w:val="0"/>
        <w:autoSpaceDE/>
        <w:autoSpaceDN/>
        <w:bidi w:val="0"/>
        <w:spacing w:line="560" w:lineRule="exact"/>
        <w:jc w:val="both"/>
        <w:textAlignment w:val="auto"/>
        <w:rPr>
          <w:rFonts w:hint="eastAsia"/>
        </w:rPr>
      </w:pPr>
    </w:p>
    <w:p w14:paraId="3597FA95">
      <w:pPr>
        <w:keepNext w:val="0"/>
        <w:keepLines w:val="0"/>
        <w:pageBreakBefore w:val="0"/>
        <w:kinsoku/>
        <w:wordWrap/>
        <w:overflowPunct/>
        <w:topLinePunct w:val="0"/>
        <w:autoSpaceDE/>
        <w:autoSpaceDN/>
        <w:bidi w:val="0"/>
        <w:spacing w:line="560" w:lineRule="exact"/>
        <w:textAlignment w:val="auto"/>
      </w:pPr>
    </w:p>
    <w:sectPr>
      <w:footerReference r:id="rId3" w:type="default"/>
      <w:footerReference r:id="rId4" w:type="even"/>
      <w:pgSz w:w="11906" w:h="16838"/>
      <w:pgMar w:top="2155" w:right="1531" w:bottom="1588" w:left="1588" w:header="0" w:footer="1588" w:gutter="0"/>
      <w:pgBorders>
        <w:top w:val="none" w:sz="0" w:space="0"/>
        <w:left w:val="none" w:sz="0" w:space="0"/>
        <w:bottom w:val="none" w:sz="0" w:space="0"/>
        <w:right w:val="none" w:sz="0" w:space="0"/>
      </w:pgBorders>
      <w:cols w:space="720" w:num="1"/>
      <w:docGrid w:type="linesAndChars" w:linePitch="569" w:charSpace="-126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7630C">
    <w:pPr>
      <w:pStyle w:val="3"/>
      <w:framePr w:wrap="around" w:vAnchor="text" w:hAnchor="margin" w:xAlign="right" w:y="1"/>
      <w:rPr>
        <w:rStyle w:val="6"/>
        <w:rFonts w:ascii="仿宋_GB2312"/>
        <w:sz w:val="28"/>
      </w:rPr>
    </w:pPr>
    <w:r>
      <w:rPr>
        <w:rStyle w:val="6"/>
        <w:rFonts w:hint="eastAsia" w:ascii="仿宋_GB2312"/>
        <w:sz w:val="28"/>
      </w:rPr>
      <w:t>-</w:t>
    </w:r>
    <w:r>
      <w:rPr>
        <w:rFonts w:hint="eastAsia" w:ascii="仿宋_GB2312"/>
        <w:sz w:val="28"/>
        <w:szCs w:val="28"/>
      </w:rPr>
      <w:fldChar w:fldCharType="begin"/>
    </w:r>
    <w:r>
      <w:rPr>
        <w:rStyle w:val="6"/>
        <w:rFonts w:hint="eastAsia" w:ascii="仿宋_GB2312"/>
        <w:sz w:val="28"/>
        <w:szCs w:val="28"/>
      </w:rPr>
      <w:instrText xml:space="preserve"> PAGE </w:instrText>
    </w:r>
    <w:r>
      <w:rPr>
        <w:rFonts w:hint="eastAsia" w:ascii="仿宋_GB2312"/>
        <w:sz w:val="28"/>
        <w:szCs w:val="28"/>
      </w:rPr>
      <w:fldChar w:fldCharType="separate"/>
    </w:r>
    <w:r>
      <w:rPr>
        <w:rStyle w:val="6"/>
        <w:rFonts w:ascii="仿宋_GB2312"/>
        <w:sz w:val="28"/>
        <w:szCs w:val="28"/>
      </w:rPr>
      <w:t>50</w:t>
    </w:r>
    <w:r>
      <w:rPr>
        <w:rFonts w:hint="eastAsia" w:ascii="仿宋_GB2312"/>
        <w:sz w:val="28"/>
        <w:szCs w:val="28"/>
      </w:rPr>
      <w:fldChar w:fldCharType="end"/>
    </w:r>
    <w:r>
      <w:rPr>
        <w:rStyle w:val="6"/>
        <w:rFonts w:hint="eastAsia" w:ascii="仿宋_GB2312"/>
        <w:sz w:val="28"/>
        <w:szCs w:val="28"/>
      </w:rPr>
      <w:t>-</w:t>
    </w:r>
  </w:p>
  <w:p w14:paraId="25010F60">
    <w:pPr>
      <w:pStyle w:val="3"/>
      <w:ind w:right="360"/>
      <w:jc w:val="right"/>
      <w:rPr>
        <w:rFonts w:hint="eastAsia" w:ascii="仿宋_GB2312"/>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F796">
    <w:pPr>
      <w:pStyle w:val="3"/>
      <w:framePr w:wrap="around" w:vAnchor="text" w:hAnchor="margin" w:xAlign="right" w:y="1"/>
      <w:rPr>
        <w:rStyle w:val="6"/>
      </w:rPr>
    </w:pPr>
    <w:r>
      <w:fldChar w:fldCharType="begin"/>
    </w:r>
    <w:r>
      <w:rPr>
        <w:rStyle w:val="6"/>
      </w:rPr>
      <w:instrText xml:space="preserve">PAGE  </w:instrText>
    </w:r>
    <w:r>
      <w:fldChar w:fldCharType="separate"/>
    </w:r>
    <w:r>
      <w:rPr>
        <w:rStyle w:val="6"/>
      </w:rPr>
      <w:t>1</w:t>
    </w:r>
    <w:r>
      <w:fldChar w:fldCharType="end"/>
    </w:r>
  </w:p>
  <w:p w14:paraId="2133D173">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xMGY0OTQ4MzgxZjBkYWUzYTA3MWM5NDgyNzNmNTIifQ=="/>
  </w:docVars>
  <w:rsids>
    <w:rsidRoot w:val="0C636E9A"/>
    <w:rsid w:val="00B4285A"/>
    <w:rsid w:val="01AB4524"/>
    <w:rsid w:val="01B360AB"/>
    <w:rsid w:val="08C67750"/>
    <w:rsid w:val="09632045"/>
    <w:rsid w:val="0A4340C7"/>
    <w:rsid w:val="0C636E9A"/>
    <w:rsid w:val="13F97010"/>
    <w:rsid w:val="141C371F"/>
    <w:rsid w:val="16A236C1"/>
    <w:rsid w:val="1CD472B1"/>
    <w:rsid w:val="22360D56"/>
    <w:rsid w:val="23A95FE7"/>
    <w:rsid w:val="27550D1C"/>
    <w:rsid w:val="2A550D75"/>
    <w:rsid w:val="39723501"/>
    <w:rsid w:val="43F25758"/>
    <w:rsid w:val="485E25F9"/>
    <w:rsid w:val="533334D4"/>
    <w:rsid w:val="54253787"/>
    <w:rsid w:val="587C04D1"/>
    <w:rsid w:val="5B876A0D"/>
    <w:rsid w:val="5B8C06EB"/>
    <w:rsid w:val="5BCA42DF"/>
    <w:rsid w:val="66384F8F"/>
    <w:rsid w:val="6989200C"/>
    <w:rsid w:val="73F310C6"/>
    <w:rsid w:val="7FBD2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rFonts w:eastAsia="黑体"/>
      <w:sz w:val="36"/>
    </w:rPr>
  </w:style>
  <w:style w:type="paragraph" w:styleId="3">
    <w:name w:val="footer"/>
    <w:basedOn w:val="1"/>
    <w:qFormat/>
    <w:uiPriority w:val="0"/>
    <w:pPr>
      <w:tabs>
        <w:tab w:val="center" w:pos="4153"/>
        <w:tab w:val="right" w:pos="8306"/>
      </w:tabs>
      <w:snapToGrid w:val="0"/>
      <w:jc w:val="left"/>
    </w:pPr>
    <w:rPr>
      <w:sz w:val="18"/>
    </w:rPr>
  </w:style>
  <w:style w:type="character" w:styleId="6">
    <w:name w:val="page number"/>
    <w:basedOn w:val="5"/>
    <w:qFormat/>
    <w:uiPriority w:val="0"/>
  </w:style>
  <w:style w:type="paragraph" w:customStyle="1" w:styleId="7">
    <w:name w:val="p0"/>
    <w:basedOn w:val="1"/>
    <w:qFormat/>
    <w:uiPriority w:val="0"/>
    <w:pPr>
      <w:spacing w:before="0" w:beforeAutospacing="0" w:after="0" w:afterAutospacing="0"/>
      <w:ind w:left="0" w:right="0"/>
      <w:jc w:val="both"/>
    </w:pPr>
    <w:rPr>
      <w:rFonts w:hint="default" w:ascii="Calibri" w:hAnsi="Calibri" w:cs="Calibri"/>
      <w:kern w:val="0"/>
      <w:sz w:val="21"/>
      <w:szCs w:val="21"/>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1126</Words>
  <Characters>1279</Characters>
  <Lines>0</Lines>
  <Paragraphs>0</Paragraphs>
  <TotalTime>1</TotalTime>
  <ScaleCrop>false</ScaleCrop>
  <LinksUpToDate>false</LinksUpToDate>
  <CharactersWithSpaces>1283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2024-07-30T01:10:00Z</dcterms:created>
  <dc:creator> 莉</dc:creator>
  <cp:lastModifiedBy>工号01</cp:lastModifiedBy>
  <dcterms:modified xsi:type="dcterms:W3CDTF">2026-08-26T06:25:39Z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2923B6D7FB674C69975ACB58E0C7B88D_13</vt:lpwstr>
  </property>
  <property fmtid="{D5CDD505-2E9C-101B-9397-08002B2CF9AE}" pid="4" name="KSOTemplateDocerSaveRecord">
    <vt:lpwstr>eyJoZGlkIjoiY2Q5NDliYTMyZjI2YTFmMGM1OGYwYTkxNjMzZjE4ZGUiLCJ1c2VySWQiOiIxNTcyMDYxNDU5In0=</vt:lpwstr>
  </property>
</Properties>
</file>