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widowControl/>
        <w:jc w:val="center"/>
        <w:rPr>
          <w:rFonts w:hint="eastAsia" w:ascii="宋体" w:hAnsi="宋体" w:cs="宋体"/>
          <w:b/>
          <w:color w:val="000000"/>
          <w:sz w:val="36"/>
          <w:szCs w:val="36"/>
        </w:rPr>
      </w:pPr>
      <w:r>
        <w:rPr>
          <w:rFonts w:hint="eastAsia" w:ascii="宋体" w:hAnsi="宋体" w:cs="宋体"/>
          <w:b/>
          <w:color w:val="000000"/>
          <w:sz w:val="36"/>
          <w:szCs w:val="36"/>
        </w:rPr>
        <w:t>淮南市</w:t>
      </w:r>
      <w:r>
        <w:rPr>
          <w:rFonts w:hint="eastAsia" w:ascii="宋体" w:hAnsi="宋体" w:cs="宋体"/>
          <w:b/>
          <w:color w:val="000000"/>
          <w:sz w:val="36"/>
          <w:szCs w:val="36"/>
          <w:lang w:val="en-US" w:eastAsia="zh-CN"/>
        </w:rPr>
        <w:t>标准化研究院</w:t>
      </w:r>
      <w:r>
        <w:rPr>
          <w:rFonts w:ascii="仿宋_GB2312" w:eastAsia="仿宋_GB2312" w:cs="仿宋_GB2312"/>
          <w:b/>
          <w:color w:val="000000"/>
          <w:sz w:val="36"/>
          <w:szCs w:val="36"/>
        </w:rPr>
        <w:t>202</w:t>
      </w:r>
      <w:r>
        <w:rPr>
          <w:rFonts w:hint="eastAsia" w:ascii="仿宋_GB2312" w:eastAsia="仿宋_GB2312" w:cs="仿宋_GB2312"/>
          <w:b/>
          <w:color w:val="000000"/>
          <w:sz w:val="36"/>
          <w:szCs w:val="36"/>
          <w:lang w:val="en-US" w:eastAsia="zh-CN"/>
        </w:rPr>
        <w:t>5</w:t>
      </w:r>
      <w:r>
        <w:rPr>
          <w:rFonts w:ascii="仿宋_GB2312" w:eastAsia="仿宋_GB2312" w:cs="仿宋_GB2312"/>
          <w:b/>
          <w:color w:val="000000"/>
          <w:sz w:val="36"/>
          <w:szCs w:val="36"/>
        </w:rPr>
        <w:t>年</w:t>
      </w:r>
      <w:r>
        <w:rPr>
          <w:rFonts w:hint="eastAsia" w:ascii="宋体" w:hAnsi="宋体" w:cs="宋体"/>
          <w:b/>
          <w:color w:val="000000"/>
          <w:sz w:val="36"/>
          <w:szCs w:val="36"/>
        </w:rPr>
        <w:t>度一般公共预算财政拨款</w:t>
      </w:r>
      <w:r>
        <w:rPr>
          <w:rFonts w:ascii="仿宋_GB2312" w:eastAsia="仿宋_GB2312" w:cs="仿宋_GB2312"/>
          <w:b/>
          <w:color w:val="000000"/>
          <w:sz w:val="36"/>
          <w:szCs w:val="36"/>
        </w:rPr>
        <w:t>“三公</w:t>
      </w:r>
      <w:r>
        <w:rPr>
          <w:rFonts w:hint="eastAsia" w:ascii="宋体" w:hAnsi="宋体" w:cs="宋体"/>
          <w:b/>
          <w:color w:val="000000"/>
          <w:sz w:val="36"/>
          <w:szCs w:val="36"/>
        </w:rPr>
        <w:t>”</w:t>
      </w:r>
      <w:r>
        <w:rPr>
          <w:rFonts w:ascii="仿宋_GB2312" w:eastAsia="仿宋_GB2312" w:cs="仿宋_GB2312"/>
          <w:b/>
          <w:color w:val="000000"/>
          <w:sz w:val="36"/>
          <w:szCs w:val="36"/>
        </w:rPr>
        <w:t>经费</w:t>
      </w:r>
      <w:r>
        <w:rPr>
          <w:rFonts w:hint="eastAsia" w:ascii="宋体" w:hAnsi="宋体" w:cs="宋体"/>
          <w:b/>
          <w:color w:val="000000"/>
          <w:sz w:val="36"/>
          <w:szCs w:val="36"/>
        </w:rPr>
        <w:t>支出决算情况说明</w:t>
      </w:r>
    </w:p>
    <w:p>
      <w:pPr>
        <w:pStyle w:val="6"/>
        <w:widowControl/>
        <w:jc w:val="center"/>
        <w:rPr>
          <w:rFonts w:ascii="楷体_GB2312" w:eastAsia="楷体_GB2312" w:cs="楷体_GB2312"/>
          <w:color w:val="000000"/>
          <w:sz w:val="32"/>
          <w:szCs w:val="32"/>
        </w:rPr>
      </w:pPr>
      <w:r>
        <w:rPr>
          <w:rFonts w:ascii="楷体_GB2312" w:eastAsia="楷体_GB2312" w:cs="楷体_GB2312"/>
          <w:color w:val="000000"/>
          <w:sz w:val="32"/>
          <w:szCs w:val="32"/>
        </w:rPr>
        <w:t xml:space="preserve"> </w:t>
      </w:r>
    </w:p>
    <w:p>
      <w:pPr>
        <w:pStyle w:val="6"/>
        <w:widowControl/>
        <w:snapToGrid w:val="0"/>
        <w:spacing w:line="360" w:lineRule="auto"/>
        <w:jc w:val="center"/>
        <w:rPr>
          <w:rFonts w:hint="eastAsia" w:ascii="宋体" w:hAnsi="宋体" w:cs="宋体"/>
          <w:color w:val="000000"/>
          <w:sz w:val="6"/>
          <w:szCs w:val="6"/>
        </w:rPr>
      </w:pPr>
      <w:r>
        <w:rPr>
          <w:rFonts w:hint="eastAsia" w:ascii="宋体" w:hAnsi="宋体" w:cs="宋体"/>
          <w:color w:val="000000"/>
          <w:sz w:val="6"/>
          <w:szCs w:val="6"/>
        </w:rPr>
        <w:t xml:space="preserve"> </w:t>
      </w:r>
    </w:p>
    <w:p>
      <w:pPr>
        <w:pStyle w:val="6"/>
        <w:widowControl/>
        <w:rPr>
          <w:rFonts w:hint="eastAsia" w:ascii="黑体" w:hAnsi="宋体" w:eastAsia="黑体" w:cs="黑体"/>
          <w:color w:val="000000"/>
          <w:sz w:val="32"/>
          <w:szCs w:val="32"/>
        </w:rPr>
      </w:pPr>
      <w:r>
        <w:rPr>
          <w:rFonts w:hint="eastAsia" w:ascii="黑体" w:hAnsi="宋体" w:eastAsia="黑体" w:cs="黑体"/>
          <w:color w:val="000000"/>
          <w:sz w:val="32"/>
          <w:szCs w:val="32"/>
        </w:rPr>
        <w:t xml:space="preserve">    一、202</w:t>
      </w:r>
      <w:r>
        <w:rPr>
          <w:rFonts w:hint="eastAsia" w:ascii="黑体" w:hAnsi="宋体" w:eastAsia="黑体" w:cs="黑体"/>
          <w:color w:val="000000"/>
          <w:sz w:val="32"/>
          <w:szCs w:val="32"/>
          <w:lang w:val="en-US" w:eastAsia="zh-CN"/>
        </w:rPr>
        <w:t>5</w:t>
      </w:r>
      <w:r>
        <w:rPr>
          <w:rFonts w:hint="eastAsia" w:ascii="黑体" w:hAnsi="宋体" w:eastAsia="黑体" w:cs="黑体"/>
          <w:color w:val="000000"/>
          <w:sz w:val="32"/>
          <w:szCs w:val="32"/>
        </w:rPr>
        <w:t>年度一般公共预算财政拨款“三公”经费支出决算表</w:t>
      </w:r>
    </w:p>
    <w:p>
      <w:pPr>
        <w:pStyle w:val="6"/>
        <w:widowControl/>
        <w:jc w:val="right"/>
        <w:rPr>
          <w:rFonts w:hint="eastAsia" w:ascii="黑体" w:hAnsi="宋体" w:eastAsia="黑体" w:cs="黑体"/>
          <w:color w:val="000000"/>
          <w:sz w:val="32"/>
          <w:szCs w:val="32"/>
        </w:rPr>
      </w:pPr>
      <w:r>
        <w:rPr>
          <w:rFonts w:ascii="仿宋_GB2312" w:eastAsia="仿宋_GB2312" w:cs="仿宋_GB2312"/>
          <w:color w:val="000000"/>
          <w:sz w:val="32"/>
          <w:szCs w:val="32"/>
        </w:rPr>
        <w:t>单位：万元</w:t>
      </w:r>
    </w:p>
    <w:tbl>
      <w:tblPr>
        <w:tblStyle w:val="2"/>
        <w:tblW w:w="0" w:type="auto"/>
        <w:tblInd w:w="135" w:type="dxa"/>
        <w:tblLayout w:type="fixed"/>
        <w:tblCellMar>
          <w:top w:w="0" w:type="dxa"/>
          <w:left w:w="108" w:type="dxa"/>
          <w:bottom w:w="0" w:type="dxa"/>
          <w:right w:w="108" w:type="dxa"/>
        </w:tblCellMar>
      </w:tblPr>
      <w:tblGrid>
        <w:gridCol w:w="4379"/>
        <w:gridCol w:w="2157"/>
        <w:gridCol w:w="2220"/>
      </w:tblGrid>
      <w:tr>
        <w:tblPrEx>
          <w:tblCellMar>
            <w:top w:w="0" w:type="dxa"/>
            <w:left w:w="108" w:type="dxa"/>
            <w:bottom w:w="0" w:type="dxa"/>
            <w:right w:w="108" w:type="dxa"/>
          </w:tblCellMar>
        </w:tblPrEx>
        <w:trPr>
          <w:trHeight w:val="397" w:hRule="atLeast"/>
        </w:trPr>
        <w:tc>
          <w:tcPr>
            <w:tcW w:w="4379" w:type="dxa"/>
            <w:tcBorders>
              <w:top w:val="single" w:color="000000" w:sz="4" w:space="0"/>
              <w:left w:val="single" w:color="000000" w:sz="4" w:space="0"/>
              <w:bottom w:val="single" w:color="000000" w:sz="4" w:space="0"/>
              <w:right w:val="single" w:color="000000" w:sz="4" w:space="0"/>
            </w:tcBorders>
            <w:noWrap w:val="0"/>
            <w:vAlign w:val="center"/>
          </w:tcPr>
          <w:p>
            <w:pPr>
              <w:pStyle w:val="6"/>
              <w:widowControl/>
              <w:jc w:val="center"/>
              <w:rPr>
                <w:rFonts w:ascii="仿宋_GB2312" w:eastAsia="仿宋_GB2312" w:cs="仿宋_GB2312"/>
                <w:b/>
                <w:color w:val="000000"/>
                <w:sz w:val="32"/>
                <w:szCs w:val="32"/>
              </w:rPr>
            </w:pPr>
            <w:r>
              <w:rPr>
                <w:rFonts w:hint="eastAsia" w:ascii="宋体" w:hAnsi="宋体" w:cs="宋体"/>
                <w:b/>
                <w:color w:val="000000"/>
                <w:sz w:val="32"/>
                <w:szCs w:val="32"/>
              </w:rPr>
              <w:t>项  目</w:t>
            </w:r>
          </w:p>
        </w:tc>
        <w:tc>
          <w:tcPr>
            <w:tcW w:w="2157" w:type="dxa"/>
            <w:tcBorders>
              <w:top w:val="single" w:color="000000" w:sz="4" w:space="0"/>
              <w:left w:val="nil"/>
              <w:bottom w:val="single" w:color="000000" w:sz="4" w:space="0"/>
              <w:right w:val="single" w:color="000000" w:sz="4" w:space="0"/>
            </w:tcBorders>
            <w:noWrap w:val="0"/>
            <w:vAlign w:val="center"/>
          </w:tcPr>
          <w:p>
            <w:pPr>
              <w:pStyle w:val="6"/>
              <w:widowControl/>
              <w:jc w:val="center"/>
              <w:rPr>
                <w:rFonts w:ascii="仿宋_GB2312" w:eastAsia="仿宋_GB2312" w:cs="仿宋_GB2312"/>
                <w:b/>
                <w:color w:val="000000"/>
                <w:sz w:val="32"/>
                <w:szCs w:val="32"/>
              </w:rPr>
            </w:pPr>
            <w:r>
              <w:rPr>
                <w:rFonts w:hint="eastAsia" w:ascii="宋体" w:hAnsi="宋体" w:cs="宋体"/>
                <w:b/>
                <w:color w:val="000000"/>
                <w:sz w:val="32"/>
                <w:szCs w:val="32"/>
              </w:rPr>
              <w:t>预 算 数</w:t>
            </w:r>
          </w:p>
        </w:tc>
        <w:tc>
          <w:tcPr>
            <w:tcW w:w="2220" w:type="dxa"/>
            <w:tcBorders>
              <w:top w:val="single" w:color="000000" w:sz="4" w:space="0"/>
              <w:left w:val="nil"/>
              <w:bottom w:val="single" w:color="000000" w:sz="4" w:space="0"/>
              <w:right w:val="single" w:color="000000" w:sz="4" w:space="0"/>
            </w:tcBorders>
            <w:noWrap w:val="0"/>
            <w:vAlign w:val="center"/>
          </w:tcPr>
          <w:p>
            <w:pPr>
              <w:pStyle w:val="6"/>
              <w:widowControl/>
              <w:jc w:val="center"/>
              <w:rPr>
                <w:rFonts w:ascii="仿宋_GB2312" w:eastAsia="仿宋_GB2312" w:cs="仿宋_GB2312"/>
                <w:b/>
                <w:color w:val="000000"/>
                <w:sz w:val="32"/>
                <w:szCs w:val="32"/>
              </w:rPr>
            </w:pPr>
            <w:r>
              <w:rPr>
                <w:rFonts w:hint="eastAsia" w:ascii="宋体" w:hAnsi="宋体" w:cs="宋体"/>
                <w:b/>
                <w:color w:val="000000"/>
                <w:sz w:val="32"/>
                <w:szCs w:val="32"/>
              </w:rPr>
              <w:t>决 算 数</w:t>
            </w:r>
          </w:p>
        </w:tc>
      </w:tr>
      <w:tr>
        <w:tblPrEx>
          <w:tblCellMar>
            <w:top w:w="0" w:type="dxa"/>
            <w:left w:w="108" w:type="dxa"/>
            <w:bottom w:w="0" w:type="dxa"/>
            <w:right w:w="108" w:type="dxa"/>
          </w:tblCellMar>
        </w:tblPrEx>
        <w:trPr>
          <w:trHeight w:val="397" w:hRule="atLeast"/>
        </w:trPr>
        <w:tc>
          <w:tcPr>
            <w:tcW w:w="4379" w:type="dxa"/>
            <w:tcBorders>
              <w:top w:val="nil"/>
              <w:left w:val="single" w:color="000000" w:sz="4" w:space="0"/>
              <w:bottom w:val="single" w:color="000000" w:sz="4" w:space="0"/>
              <w:right w:val="single" w:color="000000" w:sz="4" w:space="0"/>
            </w:tcBorders>
            <w:noWrap w:val="0"/>
            <w:vAlign w:val="center"/>
          </w:tcPr>
          <w:p>
            <w:pPr>
              <w:pStyle w:val="6"/>
              <w:widowControl/>
              <w:jc w:val="center"/>
              <w:rPr>
                <w:rFonts w:ascii="仿宋_GB2312" w:eastAsia="仿宋_GB2312" w:cs="仿宋_GB2312"/>
                <w:b/>
                <w:color w:val="000000"/>
                <w:sz w:val="32"/>
                <w:szCs w:val="32"/>
              </w:rPr>
            </w:pPr>
            <w:r>
              <w:rPr>
                <w:rFonts w:hint="eastAsia" w:ascii="宋体" w:hAnsi="宋体" w:cs="宋体"/>
                <w:b/>
                <w:color w:val="000000"/>
                <w:sz w:val="32"/>
                <w:szCs w:val="32"/>
              </w:rPr>
              <w:t>合  计</w:t>
            </w:r>
          </w:p>
        </w:tc>
        <w:tc>
          <w:tcPr>
            <w:tcW w:w="2157" w:type="dxa"/>
            <w:tcBorders>
              <w:top w:val="nil"/>
              <w:left w:val="nil"/>
              <w:bottom w:val="single" w:color="000000" w:sz="4" w:space="0"/>
              <w:right w:val="single" w:color="000000" w:sz="4" w:space="0"/>
            </w:tcBorders>
            <w:noWrap w:val="0"/>
            <w:vAlign w:val="center"/>
          </w:tcPr>
          <w:p>
            <w:pPr>
              <w:pStyle w:val="6"/>
              <w:widowControl/>
              <w:jc w:val="center"/>
              <w:rPr>
                <w:rFonts w:ascii="仿宋_GB2312" w:eastAsia="仿宋_GB2312" w:cs="仿宋_GB2312"/>
                <w:b/>
                <w:color w:val="000000"/>
                <w:sz w:val="32"/>
                <w:szCs w:val="32"/>
              </w:rPr>
            </w:pPr>
            <w:r>
              <w:rPr>
                <w:rFonts w:hint="eastAsia" w:ascii="宋体" w:hAnsi="宋体" w:cs="宋体"/>
                <w:b/>
                <w:color w:val="000000"/>
                <w:sz w:val="32"/>
                <w:szCs w:val="32"/>
                <w:lang w:val="en-US" w:eastAsia="zh-CN"/>
              </w:rPr>
              <w:t>0</w:t>
            </w:r>
            <w:r>
              <w:rPr>
                <w:rFonts w:hint="eastAsia" w:ascii="宋体" w:hAnsi="宋体" w:cs="宋体"/>
                <w:b/>
                <w:color w:val="000000"/>
                <w:sz w:val="32"/>
                <w:szCs w:val="32"/>
              </w:rPr>
              <w:t>　</w:t>
            </w:r>
          </w:p>
        </w:tc>
        <w:tc>
          <w:tcPr>
            <w:tcW w:w="2220" w:type="dxa"/>
            <w:tcBorders>
              <w:top w:val="nil"/>
              <w:left w:val="nil"/>
              <w:bottom w:val="single" w:color="000000" w:sz="4" w:space="0"/>
              <w:right w:val="single" w:color="000000" w:sz="4" w:space="0"/>
            </w:tcBorders>
            <w:noWrap w:val="0"/>
            <w:vAlign w:val="center"/>
          </w:tcPr>
          <w:p>
            <w:pPr>
              <w:pStyle w:val="6"/>
              <w:widowControl/>
              <w:jc w:val="center"/>
              <w:rPr>
                <w:rFonts w:ascii="仿宋_GB2312" w:eastAsia="仿宋_GB2312" w:cs="仿宋_GB2312"/>
                <w:b/>
                <w:color w:val="000000"/>
                <w:sz w:val="32"/>
                <w:szCs w:val="32"/>
              </w:rPr>
            </w:pPr>
            <w:r>
              <w:rPr>
                <w:rFonts w:hint="eastAsia" w:ascii="宋体" w:hAnsi="宋体" w:cs="宋体"/>
                <w:b/>
                <w:color w:val="000000"/>
                <w:sz w:val="32"/>
                <w:szCs w:val="32"/>
                <w:lang w:val="en-US" w:eastAsia="zh-CN"/>
              </w:rPr>
              <w:t>0</w:t>
            </w:r>
            <w:r>
              <w:rPr>
                <w:rFonts w:hint="eastAsia" w:ascii="宋体" w:hAnsi="宋体" w:cs="宋体"/>
                <w:b/>
                <w:color w:val="000000"/>
                <w:sz w:val="32"/>
                <w:szCs w:val="32"/>
              </w:rPr>
              <w:t>　</w:t>
            </w:r>
          </w:p>
        </w:tc>
      </w:tr>
      <w:tr>
        <w:tblPrEx>
          <w:tblCellMar>
            <w:top w:w="0" w:type="dxa"/>
            <w:left w:w="108" w:type="dxa"/>
            <w:bottom w:w="0" w:type="dxa"/>
            <w:right w:w="108" w:type="dxa"/>
          </w:tblCellMar>
        </w:tblPrEx>
        <w:trPr>
          <w:trHeight w:val="397" w:hRule="atLeast"/>
        </w:trPr>
        <w:tc>
          <w:tcPr>
            <w:tcW w:w="4379" w:type="dxa"/>
            <w:tcBorders>
              <w:top w:val="nil"/>
              <w:left w:val="single" w:color="000000" w:sz="4" w:space="0"/>
              <w:bottom w:val="single" w:color="000000" w:sz="4" w:space="0"/>
              <w:right w:val="single" w:color="000000" w:sz="4" w:space="0"/>
            </w:tcBorders>
            <w:noWrap w:val="0"/>
            <w:vAlign w:val="center"/>
          </w:tcPr>
          <w:p>
            <w:pPr>
              <w:pStyle w:val="6"/>
              <w:widowControl/>
              <w:jc w:val="left"/>
              <w:rPr>
                <w:rFonts w:ascii="仿宋_GB2312" w:eastAsia="仿宋_GB2312" w:cs="仿宋_GB2312"/>
                <w:color w:val="000000"/>
                <w:sz w:val="32"/>
                <w:szCs w:val="32"/>
              </w:rPr>
            </w:pPr>
            <w:r>
              <w:rPr>
                <w:rFonts w:hint="eastAsia" w:ascii="宋体" w:hAnsi="宋体" w:cs="宋体"/>
                <w:color w:val="000000"/>
                <w:sz w:val="32"/>
                <w:szCs w:val="32"/>
              </w:rPr>
              <w:t>因公出国（境）费</w:t>
            </w:r>
          </w:p>
        </w:tc>
        <w:tc>
          <w:tcPr>
            <w:tcW w:w="2157" w:type="dxa"/>
            <w:tcBorders>
              <w:top w:val="nil"/>
              <w:left w:val="nil"/>
              <w:bottom w:val="single" w:color="000000" w:sz="4" w:space="0"/>
              <w:right w:val="single" w:color="000000" w:sz="4" w:space="0"/>
            </w:tcBorders>
            <w:noWrap w:val="0"/>
            <w:vAlign w:val="bottom"/>
          </w:tcPr>
          <w:p>
            <w:pPr>
              <w:pStyle w:val="6"/>
              <w:widowControl/>
              <w:jc w:val="center"/>
              <w:rPr>
                <w:rFonts w:hint="eastAsia" w:ascii="仿宋_GB2312" w:eastAsia="宋体" w:cs="仿宋_GB2312"/>
                <w:color w:val="000000"/>
                <w:sz w:val="32"/>
                <w:szCs w:val="32"/>
                <w:lang w:val="en-US" w:eastAsia="zh-CN"/>
              </w:rPr>
            </w:pPr>
            <w:r>
              <w:rPr>
                <w:rFonts w:hint="eastAsia" w:ascii="宋体" w:hAnsi="宋体" w:cs="宋体"/>
                <w:color w:val="000000"/>
                <w:sz w:val="32"/>
                <w:szCs w:val="32"/>
                <w:lang w:val="en-US" w:eastAsia="zh-CN"/>
              </w:rPr>
              <w:t>0</w:t>
            </w:r>
          </w:p>
        </w:tc>
        <w:tc>
          <w:tcPr>
            <w:tcW w:w="2220" w:type="dxa"/>
            <w:tcBorders>
              <w:top w:val="nil"/>
              <w:left w:val="nil"/>
              <w:bottom w:val="single" w:color="000000" w:sz="4" w:space="0"/>
              <w:right w:val="single" w:color="000000" w:sz="4" w:space="0"/>
            </w:tcBorders>
            <w:noWrap w:val="0"/>
            <w:vAlign w:val="bottom"/>
          </w:tcPr>
          <w:p>
            <w:pPr>
              <w:pStyle w:val="6"/>
              <w:widowControl/>
              <w:jc w:val="center"/>
              <w:rPr>
                <w:rFonts w:hint="eastAsia" w:ascii="仿宋_GB2312" w:eastAsia="宋体" w:cs="仿宋_GB2312"/>
                <w:color w:val="000000"/>
                <w:sz w:val="32"/>
                <w:szCs w:val="32"/>
                <w:lang w:val="en-US" w:eastAsia="zh-CN"/>
              </w:rPr>
            </w:pPr>
            <w:r>
              <w:rPr>
                <w:rFonts w:hint="eastAsia" w:ascii="宋体" w:hAnsi="宋体" w:cs="宋体"/>
                <w:color w:val="000000"/>
                <w:sz w:val="32"/>
                <w:szCs w:val="32"/>
                <w:lang w:val="en-US" w:eastAsia="zh-CN"/>
              </w:rPr>
              <w:t>0</w:t>
            </w:r>
          </w:p>
        </w:tc>
      </w:tr>
      <w:tr>
        <w:tblPrEx>
          <w:tblCellMar>
            <w:top w:w="0" w:type="dxa"/>
            <w:left w:w="108" w:type="dxa"/>
            <w:bottom w:w="0" w:type="dxa"/>
            <w:right w:w="108" w:type="dxa"/>
          </w:tblCellMar>
        </w:tblPrEx>
        <w:trPr>
          <w:trHeight w:val="397" w:hRule="atLeast"/>
        </w:trPr>
        <w:tc>
          <w:tcPr>
            <w:tcW w:w="4379" w:type="dxa"/>
            <w:tcBorders>
              <w:top w:val="nil"/>
              <w:left w:val="single" w:color="000000" w:sz="4" w:space="0"/>
              <w:bottom w:val="single" w:color="000000" w:sz="4" w:space="0"/>
              <w:right w:val="single" w:color="000000" w:sz="4" w:space="0"/>
            </w:tcBorders>
            <w:noWrap w:val="0"/>
            <w:vAlign w:val="center"/>
          </w:tcPr>
          <w:p>
            <w:pPr>
              <w:pStyle w:val="6"/>
              <w:widowControl/>
              <w:jc w:val="left"/>
              <w:rPr>
                <w:rFonts w:ascii="仿宋_GB2312" w:eastAsia="仿宋_GB2312" w:cs="仿宋_GB2312"/>
                <w:color w:val="000000"/>
                <w:sz w:val="32"/>
                <w:szCs w:val="32"/>
              </w:rPr>
            </w:pPr>
            <w:r>
              <w:rPr>
                <w:rFonts w:hint="eastAsia" w:ascii="宋体" w:hAnsi="宋体" w:cs="宋体"/>
                <w:color w:val="000000"/>
                <w:sz w:val="32"/>
                <w:szCs w:val="32"/>
              </w:rPr>
              <w:t>公务接待费</w:t>
            </w:r>
          </w:p>
        </w:tc>
        <w:tc>
          <w:tcPr>
            <w:tcW w:w="2157" w:type="dxa"/>
            <w:tcBorders>
              <w:top w:val="nil"/>
              <w:left w:val="nil"/>
              <w:bottom w:val="single" w:color="000000" w:sz="4" w:space="0"/>
              <w:right w:val="single" w:color="000000" w:sz="4" w:space="0"/>
            </w:tcBorders>
            <w:noWrap w:val="0"/>
            <w:vAlign w:val="bottom"/>
          </w:tcPr>
          <w:p>
            <w:pPr>
              <w:pStyle w:val="6"/>
              <w:widowControl/>
              <w:jc w:val="center"/>
              <w:rPr>
                <w:rFonts w:hint="default" w:ascii="仿宋_GB2312" w:eastAsia="宋体" w:cs="仿宋_GB2312"/>
                <w:color w:val="000000"/>
                <w:sz w:val="32"/>
                <w:szCs w:val="32"/>
                <w:lang w:val="en-US" w:eastAsia="zh-CN"/>
              </w:rPr>
            </w:pPr>
            <w:r>
              <w:rPr>
                <w:rFonts w:hint="eastAsia" w:ascii="仿宋_GB2312" w:cs="仿宋_GB2312"/>
                <w:color w:val="000000"/>
                <w:sz w:val="32"/>
                <w:szCs w:val="32"/>
                <w:lang w:val="en-US" w:eastAsia="zh-CN"/>
              </w:rPr>
              <w:t>0.2</w:t>
            </w:r>
          </w:p>
        </w:tc>
        <w:tc>
          <w:tcPr>
            <w:tcW w:w="2220" w:type="dxa"/>
            <w:tcBorders>
              <w:top w:val="nil"/>
              <w:left w:val="nil"/>
              <w:bottom w:val="single" w:color="000000" w:sz="4" w:space="0"/>
              <w:right w:val="single" w:color="000000" w:sz="4" w:space="0"/>
            </w:tcBorders>
            <w:noWrap w:val="0"/>
            <w:vAlign w:val="bottom"/>
          </w:tcPr>
          <w:p>
            <w:pPr>
              <w:pStyle w:val="6"/>
              <w:widowControl/>
              <w:jc w:val="center"/>
              <w:rPr>
                <w:rFonts w:hint="default" w:ascii="仿宋_GB2312" w:eastAsia="宋体" w:cs="仿宋_GB2312"/>
                <w:color w:val="000000"/>
                <w:sz w:val="32"/>
                <w:szCs w:val="32"/>
                <w:lang w:val="en-US" w:eastAsia="zh-CN"/>
              </w:rPr>
            </w:pPr>
            <w:r>
              <w:rPr>
                <w:rFonts w:hint="eastAsia" w:ascii="仿宋_GB2312" w:cs="仿宋_GB2312"/>
                <w:color w:val="000000"/>
                <w:sz w:val="32"/>
                <w:szCs w:val="32"/>
                <w:lang w:val="en-US" w:eastAsia="zh-CN"/>
              </w:rPr>
              <w:t>0.04</w:t>
            </w:r>
          </w:p>
        </w:tc>
      </w:tr>
      <w:tr>
        <w:tblPrEx>
          <w:tblCellMar>
            <w:top w:w="0" w:type="dxa"/>
            <w:left w:w="108" w:type="dxa"/>
            <w:bottom w:w="0" w:type="dxa"/>
            <w:right w:w="108" w:type="dxa"/>
          </w:tblCellMar>
        </w:tblPrEx>
        <w:trPr>
          <w:trHeight w:val="397" w:hRule="atLeast"/>
        </w:trPr>
        <w:tc>
          <w:tcPr>
            <w:tcW w:w="4379" w:type="dxa"/>
            <w:tcBorders>
              <w:top w:val="nil"/>
              <w:left w:val="single" w:color="000000" w:sz="4" w:space="0"/>
              <w:bottom w:val="single" w:color="000000" w:sz="4" w:space="0"/>
              <w:right w:val="single" w:color="000000" w:sz="4" w:space="0"/>
            </w:tcBorders>
            <w:noWrap w:val="0"/>
            <w:vAlign w:val="center"/>
          </w:tcPr>
          <w:p>
            <w:pPr>
              <w:pStyle w:val="6"/>
              <w:widowControl/>
              <w:jc w:val="left"/>
              <w:rPr>
                <w:rFonts w:ascii="仿宋_GB2312" w:eastAsia="仿宋_GB2312" w:cs="仿宋_GB2312"/>
                <w:color w:val="000000"/>
                <w:sz w:val="32"/>
                <w:szCs w:val="32"/>
              </w:rPr>
            </w:pPr>
            <w:r>
              <w:rPr>
                <w:rFonts w:hint="eastAsia" w:ascii="宋体" w:hAnsi="宋体" w:cs="宋体"/>
                <w:color w:val="000000"/>
                <w:sz w:val="32"/>
                <w:szCs w:val="32"/>
              </w:rPr>
              <w:t>公务用车购置及运行维护费</w:t>
            </w:r>
          </w:p>
        </w:tc>
        <w:tc>
          <w:tcPr>
            <w:tcW w:w="2157" w:type="dxa"/>
            <w:tcBorders>
              <w:top w:val="nil"/>
              <w:left w:val="nil"/>
              <w:bottom w:val="single" w:color="000000" w:sz="4" w:space="0"/>
              <w:right w:val="single" w:color="000000" w:sz="4" w:space="0"/>
            </w:tcBorders>
            <w:noWrap w:val="0"/>
            <w:vAlign w:val="bottom"/>
          </w:tcPr>
          <w:p>
            <w:pPr>
              <w:pStyle w:val="6"/>
              <w:widowControl/>
              <w:jc w:val="center"/>
              <w:rPr>
                <w:rFonts w:hint="eastAsia" w:ascii="仿宋_GB2312" w:eastAsia="宋体" w:cs="仿宋_GB2312"/>
                <w:color w:val="000000"/>
                <w:sz w:val="32"/>
                <w:szCs w:val="32"/>
                <w:lang w:val="en-US" w:eastAsia="zh-CN"/>
              </w:rPr>
            </w:pPr>
            <w:r>
              <w:rPr>
                <w:rFonts w:hint="eastAsia" w:ascii="宋体" w:hAnsi="宋体" w:cs="宋体"/>
                <w:color w:val="000000"/>
                <w:sz w:val="32"/>
                <w:szCs w:val="32"/>
                <w:lang w:val="en-US" w:eastAsia="zh-CN"/>
              </w:rPr>
              <w:t>0</w:t>
            </w:r>
          </w:p>
        </w:tc>
        <w:tc>
          <w:tcPr>
            <w:tcW w:w="2220" w:type="dxa"/>
            <w:tcBorders>
              <w:top w:val="nil"/>
              <w:left w:val="nil"/>
              <w:bottom w:val="single" w:color="000000" w:sz="4" w:space="0"/>
              <w:right w:val="single" w:color="000000" w:sz="4" w:space="0"/>
            </w:tcBorders>
            <w:noWrap w:val="0"/>
            <w:vAlign w:val="bottom"/>
          </w:tcPr>
          <w:p>
            <w:pPr>
              <w:pStyle w:val="6"/>
              <w:widowControl/>
              <w:jc w:val="center"/>
              <w:rPr>
                <w:rFonts w:hint="eastAsia" w:ascii="仿宋_GB2312" w:eastAsia="宋体" w:cs="仿宋_GB2312"/>
                <w:color w:val="000000"/>
                <w:sz w:val="32"/>
                <w:szCs w:val="32"/>
                <w:lang w:val="en-US" w:eastAsia="zh-CN"/>
              </w:rPr>
            </w:pPr>
            <w:r>
              <w:rPr>
                <w:rFonts w:hint="eastAsia" w:ascii="宋体" w:hAnsi="宋体" w:cs="宋体"/>
                <w:color w:val="000000"/>
                <w:sz w:val="32"/>
                <w:szCs w:val="32"/>
                <w:lang w:val="en-US" w:eastAsia="zh-CN"/>
              </w:rPr>
              <w:t>0</w:t>
            </w:r>
          </w:p>
        </w:tc>
      </w:tr>
      <w:tr>
        <w:tblPrEx>
          <w:tblCellMar>
            <w:top w:w="0" w:type="dxa"/>
            <w:left w:w="108" w:type="dxa"/>
            <w:bottom w:w="0" w:type="dxa"/>
            <w:right w:w="108" w:type="dxa"/>
          </w:tblCellMar>
        </w:tblPrEx>
        <w:trPr>
          <w:trHeight w:val="397" w:hRule="atLeast"/>
        </w:trPr>
        <w:tc>
          <w:tcPr>
            <w:tcW w:w="4379" w:type="dxa"/>
            <w:tcBorders>
              <w:top w:val="nil"/>
              <w:left w:val="single" w:color="000000" w:sz="4" w:space="0"/>
              <w:bottom w:val="single" w:color="000000" w:sz="4" w:space="0"/>
              <w:right w:val="single" w:color="000000" w:sz="4" w:space="0"/>
            </w:tcBorders>
            <w:noWrap w:val="0"/>
            <w:vAlign w:val="center"/>
          </w:tcPr>
          <w:p>
            <w:pPr>
              <w:pStyle w:val="6"/>
              <w:widowControl/>
              <w:jc w:val="left"/>
              <w:rPr>
                <w:rFonts w:ascii="仿宋_GB2312" w:eastAsia="仿宋_GB2312" w:cs="仿宋_GB2312"/>
                <w:color w:val="000000"/>
                <w:sz w:val="32"/>
                <w:szCs w:val="32"/>
              </w:rPr>
            </w:pPr>
            <w:r>
              <w:rPr>
                <w:rFonts w:hint="eastAsia" w:ascii="宋体" w:hAnsi="宋体" w:cs="宋体"/>
                <w:color w:val="000000"/>
                <w:sz w:val="32"/>
                <w:szCs w:val="32"/>
              </w:rPr>
              <w:t xml:space="preserve">  其中：公务用车运行维护费</w:t>
            </w:r>
          </w:p>
        </w:tc>
        <w:tc>
          <w:tcPr>
            <w:tcW w:w="2157" w:type="dxa"/>
            <w:tcBorders>
              <w:top w:val="nil"/>
              <w:left w:val="nil"/>
              <w:bottom w:val="single" w:color="000000" w:sz="4" w:space="0"/>
              <w:right w:val="single" w:color="000000" w:sz="4" w:space="0"/>
            </w:tcBorders>
            <w:noWrap w:val="0"/>
            <w:vAlign w:val="bottom"/>
          </w:tcPr>
          <w:p>
            <w:pPr>
              <w:pStyle w:val="6"/>
              <w:widowControl/>
              <w:jc w:val="center"/>
              <w:rPr>
                <w:rFonts w:hint="eastAsia" w:ascii="仿宋_GB2312" w:eastAsia="宋体" w:cs="仿宋_GB2312"/>
                <w:color w:val="000000"/>
                <w:sz w:val="32"/>
                <w:szCs w:val="32"/>
                <w:lang w:val="en-US" w:eastAsia="zh-CN"/>
              </w:rPr>
            </w:pPr>
            <w:r>
              <w:rPr>
                <w:rFonts w:hint="eastAsia" w:ascii="宋体" w:hAnsi="宋体" w:cs="宋体"/>
                <w:color w:val="000000"/>
                <w:sz w:val="32"/>
                <w:szCs w:val="32"/>
                <w:lang w:val="en-US" w:eastAsia="zh-CN"/>
              </w:rPr>
              <w:t>0</w:t>
            </w:r>
          </w:p>
        </w:tc>
        <w:tc>
          <w:tcPr>
            <w:tcW w:w="2220" w:type="dxa"/>
            <w:tcBorders>
              <w:top w:val="nil"/>
              <w:left w:val="nil"/>
              <w:bottom w:val="single" w:color="000000" w:sz="4" w:space="0"/>
              <w:right w:val="single" w:color="000000" w:sz="4" w:space="0"/>
            </w:tcBorders>
            <w:noWrap w:val="0"/>
            <w:vAlign w:val="bottom"/>
          </w:tcPr>
          <w:p>
            <w:pPr>
              <w:pStyle w:val="6"/>
              <w:widowControl/>
              <w:jc w:val="center"/>
              <w:rPr>
                <w:rFonts w:hint="eastAsia" w:ascii="仿宋_GB2312" w:eastAsia="宋体" w:cs="仿宋_GB2312"/>
                <w:color w:val="000000"/>
                <w:sz w:val="32"/>
                <w:szCs w:val="32"/>
                <w:lang w:val="en-US" w:eastAsia="zh-CN"/>
              </w:rPr>
            </w:pPr>
            <w:r>
              <w:rPr>
                <w:rFonts w:hint="eastAsia" w:ascii="宋体" w:hAnsi="宋体" w:cs="宋体"/>
                <w:color w:val="000000"/>
                <w:sz w:val="32"/>
                <w:szCs w:val="32"/>
                <w:lang w:val="en-US" w:eastAsia="zh-CN"/>
              </w:rPr>
              <w:t>0</w:t>
            </w:r>
          </w:p>
        </w:tc>
      </w:tr>
      <w:tr>
        <w:tblPrEx>
          <w:tblCellMar>
            <w:top w:w="0" w:type="dxa"/>
            <w:left w:w="108" w:type="dxa"/>
            <w:bottom w:w="0" w:type="dxa"/>
            <w:right w:w="108" w:type="dxa"/>
          </w:tblCellMar>
        </w:tblPrEx>
        <w:trPr>
          <w:trHeight w:val="397" w:hRule="atLeast"/>
        </w:trPr>
        <w:tc>
          <w:tcPr>
            <w:tcW w:w="4379" w:type="dxa"/>
            <w:tcBorders>
              <w:top w:val="nil"/>
              <w:left w:val="single" w:color="000000" w:sz="4" w:space="0"/>
              <w:bottom w:val="single" w:color="000000" w:sz="4" w:space="0"/>
              <w:right w:val="single" w:color="000000" w:sz="4" w:space="0"/>
            </w:tcBorders>
            <w:noWrap w:val="0"/>
            <w:vAlign w:val="center"/>
          </w:tcPr>
          <w:p>
            <w:pPr>
              <w:pStyle w:val="6"/>
              <w:widowControl/>
              <w:jc w:val="left"/>
              <w:rPr>
                <w:rFonts w:ascii="仿宋_GB2312" w:eastAsia="仿宋_GB2312" w:cs="仿宋_GB2312"/>
                <w:color w:val="000000"/>
                <w:sz w:val="32"/>
                <w:szCs w:val="32"/>
              </w:rPr>
            </w:pPr>
            <w:r>
              <w:rPr>
                <w:rFonts w:hint="eastAsia" w:ascii="宋体" w:hAnsi="宋体" w:cs="宋体"/>
                <w:color w:val="000000"/>
                <w:sz w:val="32"/>
                <w:szCs w:val="32"/>
              </w:rPr>
              <w:t xml:space="preserve">        公务用车购置费 </w:t>
            </w:r>
          </w:p>
        </w:tc>
        <w:tc>
          <w:tcPr>
            <w:tcW w:w="2157" w:type="dxa"/>
            <w:tcBorders>
              <w:top w:val="nil"/>
              <w:left w:val="nil"/>
              <w:bottom w:val="single" w:color="000000" w:sz="4" w:space="0"/>
              <w:right w:val="single" w:color="000000" w:sz="4" w:space="0"/>
            </w:tcBorders>
            <w:noWrap w:val="0"/>
            <w:vAlign w:val="bottom"/>
          </w:tcPr>
          <w:p>
            <w:pPr>
              <w:pStyle w:val="6"/>
              <w:widowControl/>
              <w:jc w:val="center"/>
              <w:rPr>
                <w:rFonts w:hint="eastAsia" w:ascii="仿宋_GB2312" w:eastAsia="宋体" w:cs="仿宋_GB2312"/>
                <w:color w:val="000000"/>
                <w:sz w:val="32"/>
                <w:szCs w:val="32"/>
                <w:lang w:val="en-US" w:eastAsia="zh-CN"/>
              </w:rPr>
            </w:pPr>
            <w:r>
              <w:rPr>
                <w:rFonts w:hint="eastAsia" w:ascii="宋体" w:hAnsi="宋体" w:cs="宋体"/>
                <w:color w:val="000000"/>
                <w:sz w:val="32"/>
                <w:szCs w:val="32"/>
                <w:lang w:val="en-US" w:eastAsia="zh-CN"/>
              </w:rPr>
              <w:t>0</w:t>
            </w:r>
          </w:p>
        </w:tc>
        <w:tc>
          <w:tcPr>
            <w:tcW w:w="2220" w:type="dxa"/>
            <w:tcBorders>
              <w:top w:val="nil"/>
              <w:left w:val="nil"/>
              <w:bottom w:val="single" w:color="000000" w:sz="4" w:space="0"/>
              <w:right w:val="single" w:color="000000" w:sz="4" w:space="0"/>
            </w:tcBorders>
            <w:noWrap w:val="0"/>
            <w:vAlign w:val="bottom"/>
          </w:tcPr>
          <w:p>
            <w:pPr>
              <w:pStyle w:val="6"/>
              <w:widowControl/>
              <w:jc w:val="center"/>
              <w:rPr>
                <w:rFonts w:hint="eastAsia" w:ascii="仿宋_GB2312" w:eastAsia="宋体" w:cs="仿宋_GB2312"/>
                <w:color w:val="000000"/>
                <w:sz w:val="32"/>
                <w:szCs w:val="32"/>
                <w:lang w:val="en-US" w:eastAsia="zh-CN"/>
              </w:rPr>
            </w:pPr>
            <w:r>
              <w:rPr>
                <w:rFonts w:hint="eastAsia" w:ascii="宋体" w:hAnsi="宋体" w:cs="宋体"/>
                <w:color w:val="000000"/>
                <w:sz w:val="32"/>
                <w:szCs w:val="32"/>
                <w:lang w:val="en-US" w:eastAsia="zh-CN"/>
              </w:rPr>
              <w:t>0</w:t>
            </w:r>
          </w:p>
        </w:tc>
      </w:tr>
    </w:tbl>
    <w:p>
      <w:pPr>
        <w:pStyle w:val="6"/>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宋体" w:eastAsia="黑体" w:cs="黑体"/>
          <w:color w:val="000000"/>
          <w:sz w:val="32"/>
          <w:szCs w:val="32"/>
        </w:rPr>
      </w:pPr>
      <w:r>
        <w:rPr>
          <w:rFonts w:hint="eastAsia" w:ascii="黑体" w:hAnsi="宋体" w:eastAsia="黑体" w:cs="黑体"/>
          <w:color w:val="000000"/>
          <w:sz w:val="32"/>
          <w:szCs w:val="32"/>
        </w:rPr>
        <w:t xml:space="preserve">   </w:t>
      </w:r>
      <w:r>
        <w:rPr>
          <w:rFonts w:hint="eastAsia" w:ascii="仿宋_GB2312" w:hAnsi="仿宋"/>
          <w:sz w:val="21"/>
          <w:szCs w:val="21"/>
          <w:lang w:val="en-US" w:eastAsia="zh-CN"/>
        </w:rPr>
        <w:t>注：本表反映单位本年度一般公共预算财政拨款“三公”经费支出预决算情况。其中，预算数为“三公”经费全年预算数，反映按规定程序调整后的预算数;决算数是包括当年一般公共预算财政拨款和以前年度结转资金安排的实际支出。</w:t>
      </w:r>
      <w:r>
        <w:rPr>
          <w:rFonts w:hint="eastAsia" w:ascii="仿宋_GB2312" w:hAnsi="仿宋"/>
          <w:sz w:val="21"/>
          <w:szCs w:val="21"/>
          <w:lang w:eastAsia="zh-CN"/>
        </w:rPr>
        <w:t xml:space="preserve"> </w:t>
      </w:r>
      <w:r>
        <w:rPr>
          <w:rFonts w:hint="eastAsia" w:ascii="仿宋_GB2312" w:hAnsi="仿宋"/>
          <w:szCs w:val="32"/>
          <w:lang w:eastAsia="zh-CN"/>
        </w:rPr>
        <w:t xml:space="preserve">  </w:t>
      </w:r>
      <w:r>
        <w:rPr>
          <w:rFonts w:hint="eastAsia" w:ascii="黑体" w:hAnsi="黑体" w:eastAsia="黑体"/>
          <w:szCs w:val="32"/>
        </w:rPr>
        <w:t xml:space="preserve">                                  </w:t>
      </w:r>
    </w:p>
    <w:p>
      <w:pPr>
        <w:pStyle w:val="6"/>
        <w:spacing w:line="560" w:lineRule="exact"/>
        <w:rPr>
          <w:rFonts w:hint="eastAsia" w:ascii="黑体" w:hAnsi="宋体" w:eastAsia="黑体" w:cs="黑体"/>
          <w:color w:val="000000"/>
          <w:sz w:val="32"/>
          <w:szCs w:val="32"/>
        </w:rPr>
      </w:pPr>
      <w:r>
        <w:rPr>
          <w:rFonts w:hint="eastAsia" w:ascii="黑体" w:hAnsi="宋体" w:eastAsia="黑体" w:cs="黑体"/>
          <w:color w:val="000000"/>
          <w:sz w:val="32"/>
          <w:szCs w:val="32"/>
        </w:rPr>
        <w:t xml:space="preserve"> 二、202</w:t>
      </w:r>
      <w:r>
        <w:rPr>
          <w:rFonts w:hint="eastAsia" w:ascii="黑体" w:hAnsi="宋体" w:eastAsia="黑体" w:cs="黑体"/>
          <w:color w:val="000000"/>
          <w:sz w:val="32"/>
          <w:szCs w:val="32"/>
          <w:lang w:val="en-US" w:eastAsia="zh-CN"/>
        </w:rPr>
        <w:t>5</w:t>
      </w:r>
      <w:r>
        <w:rPr>
          <w:rFonts w:hint="eastAsia" w:ascii="黑体" w:hAnsi="宋体" w:eastAsia="黑体" w:cs="黑体"/>
          <w:color w:val="000000"/>
          <w:sz w:val="32"/>
          <w:szCs w:val="32"/>
        </w:rPr>
        <w:t>年度一般公共预算财政拨款“三公”经费支出情况说明</w:t>
      </w:r>
    </w:p>
    <w:p>
      <w:pPr>
        <w:pStyle w:val="6"/>
        <w:spacing w:line="560" w:lineRule="exact"/>
        <w:ind w:firstLine="640"/>
        <w:rPr>
          <w:rFonts w:ascii="楷体_GB2312" w:eastAsia="楷体_GB2312" w:cs="楷体_GB2312"/>
          <w:color w:val="000000"/>
          <w:sz w:val="32"/>
          <w:szCs w:val="32"/>
        </w:rPr>
      </w:pPr>
      <w:r>
        <w:rPr>
          <w:rFonts w:ascii="楷体_GB2312" w:eastAsia="楷体_GB2312" w:cs="楷体_GB2312"/>
          <w:color w:val="000000"/>
          <w:sz w:val="32"/>
          <w:szCs w:val="32"/>
        </w:rPr>
        <w:t>（一）一般公共预算财政拨款“三公”经费支出决算总体情况说明。</w:t>
      </w:r>
    </w:p>
    <w:p>
      <w:pPr>
        <w:pStyle w:val="6"/>
        <w:spacing w:line="560" w:lineRule="exact"/>
        <w:ind w:firstLine="640"/>
        <w:rPr>
          <w:rFonts w:hint="default" w:ascii="仿宋_GB2312" w:eastAsia="仿宋_GB2312" w:cs="仿宋_GB2312"/>
          <w:b/>
          <w:color w:val="000000"/>
          <w:sz w:val="32"/>
          <w:szCs w:val="32"/>
          <w:lang w:val="en-US" w:eastAsia="zh-CN"/>
        </w:rPr>
      </w:pPr>
      <w:r>
        <w:rPr>
          <w:rFonts w:ascii="仿宋_GB2312" w:eastAsia="仿宋_GB2312" w:cs="仿宋_GB2312"/>
          <w:color w:val="000000"/>
          <w:sz w:val="32"/>
          <w:szCs w:val="32"/>
        </w:rPr>
        <w:t>淮南市</w:t>
      </w:r>
      <w:r>
        <w:rPr>
          <w:rFonts w:hint="eastAsia" w:ascii="仿宋_GB2312" w:eastAsia="仿宋_GB2312" w:cs="仿宋_GB2312"/>
          <w:color w:val="000000"/>
          <w:sz w:val="32"/>
          <w:szCs w:val="32"/>
          <w:lang w:val="en-US" w:eastAsia="zh-CN"/>
        </w:rPr>
        <w:t>标准化研究院</w:t>
      </w: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ascii="仿宋_GB2312" w:eastAsia="仿宋_GB2312" w:cs="仿宋_GB2312"/>
          <w:color w:val="000000"/>
          <w:sz w:val="32"/>
          <w:szCs w:val="32"/>
        </w:rPr>
        <w:t>年度一般公共预算财政拨款</w:t>
      </w:r>
      <w:r>
        <w:rPr>
          <w:rFonts w:hint="eastAsia" w:ascii="仿宋" w:hAnsi="仿宋" w:eastAsia="仿宋" w:cs="仿宋"/>
          <w:color w:val="000000"/>
          <w:sz w:val="32"/>
          <w:szCs w:val="32"/>
        </w:rPr>
        <w:t>“</w:t>
      </w:r>
      <w:r>
        <w:rPr>
          <w:rFonts w:ascii="仿宋_GB2312" w:eastAsia="仿宋_GB2312" w:cs="仿宋_GB2312"/>
          <w:color w:val="000000"/>
          <w:sz w:val="32"/>
          <w:szCs w:val="32"/>
        </w:rPr>
        <w:t>三公</w:t>
      </w:r>
      <w:r>
        <w:rPr>
          <w:rFonts w:hint="eastAsia" w:ascii="仿宋" w:hAnsi="仿宋" w:eastAsia="仿宋" w:cs="仿宋"/>
          <w:color w:val="000000"/>
          <w:sz w:val="32"/>
          <w:szCs w:val="32"/>
        </w:rPr>
        <w:t>”</w:t>
      </w:r>
      <w:r>
        <w:rPr>
          <w:rFonts w:ascii="仿宋_GB2312" w:eastAsia="仿宋_GB2312" w:cs="仿宋_GB2312"/>
          <w:color w:val="000000"/>
          <w:sz w:val="32"/>
          <w:szCs w:val="32"/>
        </w:rPr>
        <w:t>经费支出预算为</w:t>
      </w:r>
      <w:r>
        <w:rPr>
          <w:rFonts w:hint="eastAsia" w:ascii="仿宋_GB2312" w:eastAsia="仿宋_GB2312" w:cs="仿宋_GB2312"/>
          <w:color w:val="000000"/>
          <w:sz w:val="32"/>
          <w:szCs w:val="32"/>
          <w:lang w:val="en-US" w:eastAsia="zh-CN"/>
        </w:rPr>
        <w:t>0.2</w:t>
      </w:r>
      <w:r>
        <w:rPr>
          <w:rFonts w:ascii="仿宋_GB2312" w:eastAsia="仿宋_GB2312" w:cs="仿宋_GB2312"/>
          <w:color w:val="000000"/>
          <w:sz w:val="32"/>
          <w:szCs w:val="32"/>
        </w:rPr>
        <w:t>万元，支出决算为</w:t>
      </w:r>
      <w:r>
        <w:rPr>
          <w:rFonts w:hint="eastAsia" w:ascii="仿宋_GB2312" w:eastAsia="仿宋_GB2312" w:cs="仿宋_GB2312"/>
          <w:color w:val="000000"/>
          <w:sz w:val="32"/>
          <w:szCs w:val="32"/>
          <w:lang w:val="en-US" w:eastAsia="zh-CN"/>
        </w:rPr>
        <w:t>0.04</w:t>
      </w:r>
      <w:r>
        <w:rPr>
          <w:rFonts w:ascii="仿宋_GB2312" w:eastAsia="仿宋_GB2312" w:cs="仿宋_GB2312"/>
          <w:color w:val="000000"/>
          <w:sz w:val="32"/>
          <w:szCs w:val="32"/>
        </w:rPr>
        <w:t>万元，完成预算的</w:t>
      </w:r>
      <w:r>
        <w:rPr>
          <w:rFonts w:hint="eastAsia" w:ascii="仿宋_GB2312" w:eastAsia="仿宋_GB2312" w:cs="仿宋_GB2312"/>
          <w:color w:val="000000"/>
          <w:sz w:val="32"/>
          <w:szCs w:val="32"/>
          <w:lang w:val="en-US" w:eastAsia="zh-CN"/>
        </w:rPr>
        <w:t>20</w:t>
      </w:r>
      <w:r>
        <w:rPr>
          <w:rFonts w:ascii="仿宋_GB2312" w:eastAsia="仿宋_GB2312" w:cs="仿宋_GB2312"/>
          <w:color w:val="000000"/>
          <w:sz w:val="32"/>
          <w:szCs w:val="32"/>
        </w:rPr>
        <w:t>%</w:t>
      </w:r>
      <w:r>
        <w:rPr>
          <w:rFonts w:hint="eastAsia" w:ascii="仿宋_GB2312" w:eastAsia="仿宋_GB2312" w:cs="仿宋_GB2312"/>
          <w:color w:val="000000"/>
          <w:sz w:val="32"/>
          <w:szCs w:val="32"/>
          <w:lang w:eastAsia="zh-CN"/>
        </w:rPr>
        <w:t>，</w:t>
      </w:r>
      <w:r>
        <w:rPr>
          <w:rFonts w:hint="eastAsia" w:ascii="仿宋_GB2312" w:eastAsia="仿宋_GB2312" w:cs="仿宋_GB2312"/>
          <w:color w:val="000000"/>
          <w:sz w:val="32"/>
          <w:szCs w:val="32"/>
          <w:lang w:val="en-US" w:eastAsia="zh-CN"/>
        </w:rPr>
        <w:t>较上年增加0.04万元，增加100%。决算数小于预算数主要原因是厉行节约，减少开支。决算数较上年增加的主要原因是在2025年2月接待了上海制笔技术服务有限公司、</w:t>
      </w:r>
      <w:bookmarkStart w:id="0" w:name="_GoBack"/>
      <w:bookmarkEnd w:id="0"/>
      <w:r>
        <w:rPr>
          <w:rFonts w:hint="eastAsia" w:ascii="仿宋_GB2312" w:eastAsia="仿宋_GB2312" w:cs="仿宋_GB2312"/>
          <w:color w:val="000000"/>
          <w:sz w:val="32"/>
          <w:szCs w:val="32"/>
          <w:lang w:val="en-US" w:eastAsia="zh-CN"/>
        </w:rPr>
        <w:t>全国制笔标准化技术委员会，接待费用400元，无其他接待。</w:t>
      </w:r>
    </w:p>
    <w:p>
      <w:pPr>
        <w:pStyle w:val="6"/>
        <w:spacing w:line="560" w:lineRule="exact"/>
        <w:ind w:firstLine="640"/>
        <w:rPr>
          <w:rFonts w:ascii="楷体_GB2312" w:eastAsia="楷体_GB2312" w:cs="楷体_GB2312"/>
          <w:color w:val="000000"/>
          <w:sz w:val="32"/>
          <w:szCs w:val="32"/>
        </w:rPr>
      </w:pPr>
      <w:r>
        <w:rPr>
          <w:rFonts w:ascii="楷体_GB2312" w:eastAsia="楷体_GB2312" w:cs="楷体_GB2312"/>
          <w:color w:val="000000"/>
          <w:sz w:val="32"/>
          <w:szCs w:val="32"/>
        </w:rPr>
        <w:t>（二）一般公共预算财政拨款“三公”经费支出决算具体情况说明。</w:t>
      </w:r>
    </w:p>
    <w:p>
      <w:pPr>
        <w:pStyle w:val="6"/>
        <w:spacing w:line="560" w:lineRule="exact"/>
        <w:ind w:firstLine="640"/>
        <w:rPr>
          <w:rFonts w:ascii="仿宋_GB2312" w:eastAsia="仿宋_GB2312" w:cs="仿宋_GB2312"/>
          <w:color w:val="000000"/>
          <w:sz w:val="32"/>
          <w:szCs w:val="32"/>
        </w:rPr>
      </w:pPr>
      <w:r>
        <w:rPr>
          <w:rFonts w:ascii="仿宋_GB2312" w:eastAsia="仿宋_GB2312" w:cs="仿宋_GB2312"/>
          <w:color w:val="000000"/>
          <w:sz w:val="32"/>
          <w:szCs w:val="32"/>
        </w:rPr>
        <w:t>淮南市</w:t>
      </w:r>
      <w:r>
        <w:rPr>
          <w:rFonts w:hint="eastAsia" w:ascii="仿宋_GB2312" w:eastAsia="仿宋_GB2312" w:cs="仿宋_GB2312"/>
          <w:color w:val="000000"/>
          <w:sz w:val="32"/>
          <w:szCs w:val="32"/>
          <w:lang w:val="en-US" w:eastAsia="zh-CN"/>
        </w:rPr>
        <w:t>标准化研究院</w:t>
      </w: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ascii="仿宋_GB2312" w:eastAsia="仿宋_GB2312" w:cs="仿宋_GB2312"/>
          <w:color w:val="000000"/>
          <w:sz w:val="32"/>
          <w:szCs w:val="32"/>
        </w:rPr>
        <w:t>年度一般公共预算财政拨款</w:t>
      </w:r>
      <w:r>
        <w:rPr>
          <w:rFonts w:hint="eastAsia" w:ascii="仿宋" w:hAnsi="仿宋" w:eastAsia="仿宋" w:cs="仿宋"/>
          <w:color w:val="000000"/>
          <w:sz w:val="32"/>
          <w:szCs w:val="32"/>
        </w:rPr>
        <w:t>“</w:t>
      </w:r>
      <w:r>
        <w:rPr>
          <w:rFonts w:ascii="仿宋_GB2312" w:eastAsia="仿宋_GB2312" w:cs="仿宋_GB2312"/>
          <w:color w:val="000000"/>
          <w:sz w:val="32"/>
          <w:szCs w:val="32"/>
        </w:rPr>
        <w:t>三公</w:t>
      </w:r>
      <w:r>
        <w:rPr>
          <w:rFonts w:hint="eastAsia" w:ascii="仿宋" w:hAnsi="仿宋" w:eastAsia="仿宋" w:cs="仿宋"/>
          <w:color w:val="000000"/>
          <w:sz w:val="32"/>
          <w:szCs w:val="32"/>
        </w:rPr>
        <w:t>”</w:t>
      </w:r>
      <w:r>
        <w:rPr>
          <w:rFonts w:ascii="仿宋_GB2312" w:eastAsia="仿宋_GB2312" w:cs="仿宋_GB2312"/>
          <w:color w:val="000000"/>
          <w:sz w:val="32"/>
          <w:szCs w:val="32"/>
        </w:rPr>
        <w:t>经费支出决算中，因公出国（境）费支出决算</w:t>
      </w:r>
      <w:r>
        <w:rPr>
          <w:rFonts w:hint="eastAsia" w:ascii="仿宋_GB2312" w:eastAsia="仿宋_GB2312" w:cs="仿宋_GB2312"/>
          <w:color w:val="000000"/>
          <w:sz w:val="32"/>
          <w:szCs w:val="32"/>
          <w:lang w:val="en-US" w:eastAsia="zh-CN"/>
        </w:rPr>
        <w:t>0</w:t>
      </w:r>
      <w:r>
        <w:rPr>
          <w:rFonts w:ascii="仿宋_GB2312" w:eastAsia="仿宋_GB2312" w:cs="仿宋_GB2312"/>
          <w:color w:val="000000"/>
          <w:sz w:val="32"/>
          <w:szCs w:val="32"/>
        </w:rPr>
        <w:t>万元，占</w:t>
      </w:r>
      <w:r>
        <w:rPr>
          <w:rFonts w:hint="eastAsia" w:ascii="仿宋_GB2312" w:eastAsia="仿宋_GB2312" w:cs="仿宋_GB2312"/>
          <w:color w:val="000000"/>
          <w:sz w:val="32"/>
          <w:szCs w:val="32"/>
          <w:lang w:val="en-US" w:eastAsia="zh-CN"/>
        </w:rPr>
        <w:t>0</w:t>
      </w:r>
      <w:r>
        <w:rPr>
          <w:rFonts w:ascii="仿宋_GB2312" w:eastAsia="仿宋_GB2312" w:cs="仿宋_GB2312"/>
          <w:color w:val="000000"/>
          <w:sz w:val="32"/>
          <w:szCs w:val="32"/>
        </w:rPr>
        <w:t>%;公务接待费支出决算</w:t>
      </w:r>
      <w:r>
        <w:rPr>
          <w:rFonts w:hint="eastAsia" w:ascii="仿宋_GB2312" w:eastAsia="仿宋_GB2312" w:cs="仿宋_GB2312"/>
          <w:color w:val="000000"/>
          <w:sz w:val="32"/>
          <w:szCs w:val="32"/>
          <w:lang w:val="en-US" w:eastAsia="zh-CN"/>
        </w:rPr>
        <w:t>0.04</w:t>
      </w:r>
      <w:r>
        <w:rPr>
          <w:rFonts w:ascii="仿宋_GB2312" w:eastAsia="仿宋_GB2312" w:cs="仿宋_GB2312"/>
          <w:color w:val="000000"/>
          <w:sz w:val="32"/>
          <w:szCs w:val="32"/>
        </w:rPr>
        <w:t>万元，占</w:t>
      </w:r>
      <w:r>
        <w:rPr>
          <w:rFonts w:hint="eastAsia" w:ascii="仿宋_GB2312" w:eastAsia="仿宋_GB2312" w:cs="仿宋_GB2312"/>
          <w:color w:val="000000"/>
          <w:sz w:val="32"/>
          <w:szCs w:val="32"/>
          <w:lang w:val="en-US" w:eastAsia="zh-CN"/>
        </w:rPr>
        <w:t>20</w:t>
      </w:r>
      <w:r>
        <w:rPr>
          <w:rFonts w:ascii="仿宋_GB2312" w:eastAsia="仿宋_GB2312" w:cs="仿宋_GB2312"/>
          <w:color w:val="000000"/>
          <w:sz w:val="32"/>
          <w:szCs w:val="32"/>
        </w:rPr>
        <w:t>%；公务用车购置及运行维护费支出决算</w:t>
      </w:r>
      <w:r>
        <w:rPr>
          <w:rFonts w:hint="eastAsia" w:ascii="仿宋_GB2312" w:eastAsia="仿宋_GB2312" w:cs="仿宋_GB2312"/>
          <w:color w:val="000000"/>
          <w:sz w:val="32"/>
          <w:szCs w:val="32"/>
          <w:lang w:val="en-US" w:eastAsia="zh-CN"/>
        </w:rPr>
        <w:t>0</w:t>
      </w:r>
      <w:r>
        <w:rPr>
          <w:rFonts w:ascii="仿宋_GB2312" w:eastAsia="仿宋_GB2312" w:cs="仿宋_GB2312"/>
          <w:color w:val="000000"/>
          <w:sz w:val="32"/>
          <w:szCs w:val="32"/>
        </w:rPr>
        <w:t>万元，占</w:t>
      </w:r>
      <w:r>
        <w:rPr>
          <w:rFonts w:hint="eastAsia" w:ascii="仿宋_GB2312" w:eastAsia="仿宋_GB2312" w:cs="仿宋_GB2312"/>
          <w:color w:val="000000"/>
          <w:sz w:val="32"/>
          <w:szCs w:val="32"/>
          <w:lang w:val="en-US" w:eastAsia="zh-CN"/>
        </w:rPr>
        <w:t>0</w:t>
      </w:r>
      <w:r>
        <w:rPr>
          <w:rFonts w:ascii="仿宋_GB2312" w:eastAsia="仿宋_GB2312" w:cs="仿宋_GB2312"/>
          <w:color w:val="000000"/>
          <w:sz w:val="32"/>
          <w:szCs w:val="32"/>
        </w:rPr>
        <w:t>%。具体情况如下：</w:t>
      </w:r>
    </w:p>
    <w:p>
      <w:pPr>
        <w:pStyle w:val="6"/>
        <w:adjustRightInd w:val="0"/>
        <w:snapToGrid w:val="0"/>
        <w:spacing w:line="560" w:lineRule="exact"/>
        <w:ind w:firstLine="629"/>
        <w:rPr>
          <w:rFonts w:ascii="仿宋_GB2312" w:eastAsia="仿宋_GB2312" w:cs="仿宋_GB2312"/>
          <w:color w:val="000000"/>
          <w:sz w:val="32"/>
          <w:szCs w:val="32"/>
          <w:u w:val="single"/>
        </w:rPr>
      </w:pPr>
      <w:r>
        <w:rPr>
          <w:rFonts w:ascii="仿宋_GB2312" w:eastAsia="仿宋_GB2312" w:cs="仿宋_GB2312"/>
          <w:b/>
          <w:color w:val="000000"/>
          <w:sz w:val="32"/>
          <w:szCs w:val="32"/>
        </w:rPr>
        <w:t>1.因公出国（境）费支出</w:t>
      </w:r>
      <w:r>
        <w:rPr>
          <w:rFonts w:hint="eastAsia" w:ascii="仿宋_GB2312" w:eastAsia="仿宋_GB2312" w:cs="仿宋_GB2312"/>
          <w:b/>
          <w:color w:val="000000"/>
          <w:sz w:val="32"/>
          <w:szCs w:val="32"/>
          <w:lang w:val="en-US" w:eastAsia="zh-CN"/>
        </w:rPr>
        <w:t>0</w:t>
      </w:r>
      <w:r>
        <w:rPr>
          <w:rFonts w:ascii="仿宋_GB2312" w:eastAsia="仿宋_GB2312" w:cs="仿宋_GB2312"/>
          <w:color w:val="000000"/>
          <w:sz w:val="32"/>
          <w:szCs w:val="32"/>
        </w:rPr>
        <w:t>万元，与202</w:t>
      </w:r>
      <w:r>
        <w:rPr>
          <w:rFonts w:hint="eastAsia" w:ascii="仿宋_GB2312" w:eastAsia="仿宋_GB2312" w:cs="仿宋_GB2312"/>
          <w:color w:val="000000"/>
          <w:sz w:val="32"/>
          <w:szCs w:val="32"/>
          <w:lang w:val="en-US" w:eastAsia="zh-CN"/>
        </w:rPr>
        <w:t>4</w:t>
      </w:r>
      <w:r>
        <w:rPr>
          <w:rFonts w:ascii="仿宋_GB2312" w:eastAsia="仿宋_GB2312" w:cs="仿宋_GB2312"/>
          <w:color w:val="000000"/>
          <w:sz w:val="32"/>
          <w:szCs w:val="32"/>
        </w:rPr>
        <w:t>年度预算相</w:t>
      </w:r>
      <w:r>
        <w:rPr>
          <w:rFonts w:hint="eastAsia" w:ascii="仿宋_GB2312" w:eastAsia="仿宋_GB2312" w:cs="仿宋_GB2312"/>
          <w:color w:val="000000"/>
          <w:sz w:val="32"/>
          <w:szCs w:val="32"/>
          <w:lang w:val="en-US" w:eastAsia="zh-CN"/>
        </w:rPr>
        <w:t>同</w:t>
      </w: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ascii="仿宋_GB2312" w:eastAsia="仿宋_GB2312" w:cs="仿宋_GB2312"/>
          <w:color w:val="000000"/>
          <w:sz w:val="32"/>
          <w:szCs w:val="32"/>
        </w:rPr>
        <w:t>年淮南市</w:t>
      </w:r>
      <w:r>
        <w:rPr>
          <w:rFonts w:hint="eastAsia" w:ascii="仿宋_GB2312" w:eastAsia="仿宋_GB2312" w:cs="仿宋_GB2312"/>
          <w:color w:val="000000"/>
          <w:sz w:val="32"/>
          <w:szCs w:val="32"/>
          <w:lang w:val="en-US" w:eastAsia="zh-CN"/>
        </w:rPr>
        <w:t>标准化研究院</w:t>
      </w:r>
      <w:r>
        <w:rPr>
          <w:rFonts w:ascii="仿宋_GB2312" w:eastAsia="仿宋_GB2312" w:cs="仿宋_GB2312"/>
          <w:color w:val="000000"/>
          <w:sz w:val="32"/>
          <w:szCs w:val="32"/>
        </w:rPr>
        <w:t>因公出国（境）团组</w:t>
      </w:r>
      <w:r>
        <w:rPr>
          <w:rFonts w:hint="eastAsia" w:ascii="仿宋_GB2312" w:eastAsia="仿宋_GB2312" w:cs="仿宋_GB2312"/>
          <w:color w:val="000000"/>
          <w:sz w:val="32"/>
          <w:szCs w:val="32"/>
          <w:lang w:val="en-US" w:eastAsia="zh-CN"/>
        </w:rPr>
        <w:t>0</w:t>
      </w:r>
      <w:r>
        <w:rPr>
          <w:rFonts w:ascii="仿宋_GB2312" w:eastAsia="仿宋_GB2312" w:cs="仿宋_GB2312"/>
          <w:color w:val="000000"/>
          <w:sz w:val="32"/>
          <w:szCs w:val="32"/>
        </w:rPr>
        <w:t>次，累计出国（境）</w:t>
      </w:r>
      <w:r>
        <w:rPr>
          <w:rFonts w:hint="eastAsia" w:ascii="仿宋_GB2312" w:eastAsia="仿宋_GB2312" w:cs="仿宋_GB2312"/>
          <w:color w:val="000000"/>
          <w:sz w:val="32"/>
          <w:szCs w:val="32"/>
          <w:lang w:val="en-US" w:eastAsia="zh-CN"/>
        </w:rPr>
        <w:t>0</w:t>
      </w:r>
      <w:r>
        <w:rPr>
          <w:rFonts w:ascii="仿宋_GB2312" w:eastAsia="仿宋_GB2312" w:cs="仿宋_GB2312"/>
          <w:color w:val="000000"/>
          <w:sz w:val="32"/>
          <w:szCs w:val="32"/>
        </w:rPr>
        <w:t>人次。</w:t>
      </w:r>
    </w:p>
    <w:p>
      <w:pPr>
        <w:pStyle w:val="6"/>
        <w:adjustRightInd w:val="0"/>
        <w:snapToGrid w:val="0"/>
        <w:spacing w:line="560" w:lineRule="exact"/>
        <w:ind w:firstLine="640"/>
        <w:rPr>
          <w:rFonts w:ascii="仿宋_GB2312" w:eastAsia="仿宋_GB2312" w:cs="仿宋_GB2312"/>
          <w:color w:val="000000"/>
          <w:sz w:val="32"/>
          <w:szCs w:val="32"/>
        </w:rPr>
      </w:pPr>
      <w:r>
        <w:rPr>
          <w:rFonts w:ascii="仿宋_GB2312" w:eastAsia="仿宋_GB2312" w:cs="仿宋_GB2312"/>
          <w:b/>
          <w:color w:val="000000"/>
          <w:sz w:val="32"/>
          <w:szCs w:val="32"/>
        </w:rPr>
        <w:t>2.公务接待费支出</w:t>
      </w:r>
      <w:r>
        <w:rPr>
          <w:rFonts w:hint="eastAsia" w:ascii="仿宋_GB2312" w:eastAsia="仿宋_GB2312" w:cs="仿宋_GB2312"/>
          <w:color w:val="000000"/>
          <w:sz w:val="32"/>
          <w:szCs w:val="32"/>
          <w:lang w:val="en-US" w:eastAsia="zh-CN"/>
        </w:rPr>
        <w:t>0.04</w:t>
      </w:r>
      <w:r>
        <w:rPr>
          <w:rFonts w:ascii="仿宋_GB2312" w:eastAsia="仿宋_GB2312" w:cs="仿宋_GB2312"/>
          <w:color w:val="000000"/>
          <w:sz w:val="32"/>
          <w:szCs w:val="32"/>
        </w:rPr>
        <w:t>万元</w:t>
      </w:r>
      <w:r>
        <w:rPr>
          <w:rFonts w:hint="eastAsia" w:ascii="仿宋_GB2312" w:eastAsia="仿宋_GB2312" w:cs="仿宋_GB2312"/>
          <w:color w:val="000000"/>
          <w:sz w:val="32"/>
          <w:szCs w:val="32"/>
          <w:lang w:val="en-US" w:eastAsia="zh-CN"/>
        </w:rPr>
        <w:t>。</w:t>
      </w: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ascii="仿宋_GB2312" w:eastAsia="仿宋_GB2312" w:cs="仿宋_GB2312"/>
          <w:color w:val="000000"/>
          <w:sz w:val="32"/>
          <w:szCs w:val="32"/>
        </w:rPr>
        <w:t>年淮南市</w:t>
      </w:r>
      <w:r>
        <w:rPr>
          <w:rFonts w:hint="eastAsia" w:ascii="仿宋_GB2312" w:eastAsia="仿宋_GB2312" w:cs="仿宋_GB2312"/>
          <w:color w:val="000000"/>
          <w:sz w:val="32"/>
          <w:szCs w:val="32"/>
          <w:lang w:val="en-US" w:eastAsia="zh-CN"/>
        </w:rPr>
        <w:t>标准化研究院</w:t>
      </w:r>
      <w:r>
        <w:rPr>
          <w:rFonts w:ascii="仿宋_GB2312" w:eastAsia="仿宋_GB2312" w:cs="仿宋_GB2312"/>
          <w:color w:val="000000"/>
          <w:sz w:val="32"/>
          <w:szCs w:val="32"/>
        </w:rPr>
        <w:t>国内公务接待共</w:t>
      </w:r>
      <w:r>
        <w:rPr>
          <w:rFonts w:hint="eastAsia" w:ascii="仿宋_GB2312" w:eastAsia="仿宋_GB2312" w:cs="仿宋_GB2312"/>
          <w:color w:val="000000"/>
          <w:sz w:val="32"/>
          <w:szCs w:val="32"/>
          <w:lang w:val="en-US" w:eastAsia="zh-CN"/>
        </w:rPr>
        <w:t>1</w:t>
      </w:r>
      <w:r>
        <w:rPr>
          <w:rFonts w:ascii="仿宋_GB2312" w:eastAsia="仿宋_GB2312" w:cs="仿宋_GB2312"/>
          <w:color w:val="000000"/>
          <w:sz w:val="32"/>
          <w:szCs w:val="32"/>
        </w:rPr>
        <w:t>批次（其中外事接待</w:t>
      </w:r>
      <w:r>
        <w:rPr>
          <w:rFonts w:hint="eastAsia" w:ascii="仿宋_GB2312" w:eastAsia="仿宋_GB2312" w:cs="仿宋_GB2312"/>
          <w:color w:val="000000"/>
          <w:sz w:val="32"/>
          <w:szCs w:val="32"/>
          <w:lang w:val="en-US" w:eastAsia="zh-CN"/>
        </w:rPr>
        <w:t>0</w:t>
      </w:r>
      <w:r>
        <w:rPr>
          <w:rFonts w:ascii="仿宋_GB2312" w:eastAsia="仿宋_GB2312" w:cs="仿宋_GB2312"/>
          <w:color w:val="000000"/>
          <w:sz w:val="32"/>
          <w:szCs w:val="32"/>
        </w:rPr>
        <w:t>批次），</w:t>
      </w:r>
      <w:r>
        <w:rPr>
          <w:rFonts w:hint="eastAsia" w:ascii="仿宋_GB2312" w:eastAsia="仿宋_GB2312" w:cs="仿宋_GB2312"/>
          <w:color w:val="000000"/>
          <w:sz w:val="32"/>
          <w:szCs w:val="32"/>
          <w:lang w:val="en-US" w:eastAsia="zh-CN"/>
        </w:rPr>
        <w:t>2</w:t>
      </w:r>
      <w:r>
        <w:rPr>
          <w:rFonts w:ascii="仿宋_GB2312" w:eastAsia="仿宋_GB2312" w:cs="仿宋_GB2312"/>
          <w:color w:val="000000"/>
          <w:sz w:val="32"/>
          <w:szCs w:val="32"/>
        </w:rPr>
        <w:t>人次（其中外事接待</w:t>
      </w:r>
      <w:r>
        <w:rPr>
          <w:rFonts w:hint="eastAsia" w:ascii="仿宋_GB2312" w:eastAsia="仿宋_GB2312" w:cs="仿宋_GB2312"/>
          <w:color w:val="000000"/>
          <w:sz w:val="32"/>
          <w:szCs w:val="32"/>
          <w:lang w:val="en-US" w:eastAsia="zh-CN"/>
        </w:rPr>
        <w:t>0</w:t>
      </w:r>
      <w:r>
        <w:rPr>
          <w:rFonts w:ascii="仿宋_GB2312" w:eastAsia="仿宋_GB2312" w:cs="仿宋_GB2312"/>
          <w:color w:val="000000"/>
          <w:sz w:val="32"/>
          <w:szCs w:val="32"/>
        </w:rPr>
        <w:t>人次）。</w:t>
      </w:r>
    </w:p>
    <w:p>
      <w:pPr>
        <w:pStyle w:val="6"/>
        <w:widowControl/>
        <w:ind w:firstLine="640"/>
        <w:rPr>
          <w:rFonts w:ascii="仿宋_GB2312" w:eastAsia="仿宋_GB2312" w:cs="仿宋_GB2312"/>
          <w:color w:val="000000"/>
          <w:sz w:val="32"/>
          <w:szCs w:val="32"/>
        </w:rPr>
      </w:pPr>
      <w:r>
        <w:rPr>
          <w:rFonts w:ascii="仿宋_GB2312" w:eastAsia="仿宋_GB2312" w:cs="仿宋_GB2312"/>
          <w:b/>
          <w:color w:val="000000"/>
          <w:sz w:val="32"/>
          <w:szCs w:val="32"/>
        </w:rPr>
        <w:t>3.公务用车购置及运行维护费支出</w:t>
      </w:r>
      <w:r>
        <w:rPr>
          <w:rFonts w:hint="eastAsia" w:ascii="仿宋_GB2312" w:eastAsia="仿宋_GB2312" w:cs="仿宋_GB2312"/>
          <w:color w:val="000000"/>
          <w:sz w:val="32"/>
          <w:szCs w:val="32"/>
          <w:lang w:val="en-US" w:eastAsia="zh-CN"/>
        </w:rPr>
        <w:t>0</w:t>
      </w:r>
      <w:r>
        <w:rPr>
          <w:rFonts w:ascii="仿宋_GB2312" w:eastAsia="仿宋_GB2312" w:cs="仿宋_GB2312"/>
          <w:color w:val="000000"/>
          <w:sz w:val="32"/>
          <w:szCs w:val="32"/>
        </w:rPr>
        <w:t>万元，与202</w:t>
      </w:r>
      <w:r>
        <w:rPr>
          <w:rFonts w:hint="eastAsia" w:ascii="仿宋_GB2312" w:eastAsia="仿宋_GB2312" w:cs="仿宋_GB2312"/>
          <w:color w:val="000000"/>
          <w:sz w:val="32"/>
          <w:szCs w:val="32"/>
          <w:lang w:val="en-US" w:eastAsia="zh-CN"/>
        </w:rPr>
        <w:t>4</w:t>
      </w:r>
      <w:r>
        <w:rPr>
          <w:rFonts w:ascii="仿宋_GB2312" w:eastAsia="仿宋_GB2312" w:cs="仿宋_GB2312"/>
          <w:color w:val="000000"/>
          <w:sz w:val="32"/>
          <w:szCs w:val="32"/>
        </w:rPr>
        <w:t>年度预算相</w:t>
      </w:r>
      <w:r>
        <w:rPr>
          <w:rFonts w:hint="eastAsia" w:ascii="仿宋_GB2312" w:eastAsia="仿宋_GB2312" w:cs="仿宋_GB2312"/>
          <w:color w:val="000000"/>
          <w:sz w:val="32"/>
          <w:szCs w:val="32"/>
          <w:lang w:val="en-US" w:eastAsia="zh-CN"/>
        </w:rPr>
        <w:t>同</w:t>
      </w: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ascii="仿宋_GB2312" w:eastAsia="仿宋_GB2312" w:cs="仿宋_GB2312"/>
          <w:color w:val="000000"/>
          <w:sz w:val="32"/>
          <w:szCs w:val="32"/>
        </w:rPr>
        <w:t>年没有安排公务用车购置费</w:t>
      </w:r>
      <w:r>
        <w:rPr>
          <w:rFonts w:ascii="楷体_GB2312" w:eastAsia="楷体_GB2312" w:cs="楷体_GB2312"/>
          <w:color w:val="000000"/>
          <w:sz w:val="32"/>
          <w:szCs w:val="32"/>
        </w:rPr>
        <w:t>。</w:t>
      </w:r>
      <w:r>
        <w:rPr>
          <w:rFonts w:ascii="仿宋_GB2312" w:eastAsia="仿宋_GB2312" w:cs="仿宋_GB2312"/>
          <w:color w:val="000000"/>
          <w:sz w:val="32"/>
          <w:szCs w:val="32"/>
        </w:rPr>
        <w:t>公务用车运行维护费</w:t>
      </w:r>
      <w:r>
        <w:rPr>
          <w:rFonts w:hint="eastAsia" w:ascii="仿宋_GB2312" w:eastAsia="仿宋_GB2312" w:cs="仿宋_GB2312"/>
          <w:color w:val="000000"/>
          <w:sz w:val="32"/>
          <w:szCs w:val="32"/>
          <w:lang w:val="en-US" w:eastAsia="zh-CN"/>
        </w:rPr>
        <w:t>0</w:t>
      </w:r>
      <w:r>
        <w:rPr>
          <w:rFonts w:ascii="仿宋_GB2312" w:eastAsia="仿宋_GB2312" w:cs="仿宋_GB2312"/>
          <w:color w:val="000000"/>
          <w:sz w:val="32"/>
          <w:szCs w:val="32"/>
        </w:rPr>
        <w:t>万元，与202</w:t>
      </w:r>
      <w:r>
        <w:rPr>
          <w:rFonts w:hint="eastAsia" w:ascii="仿宋_GB2312" w:eastAsia="仿宋_GB2312" w:cs="仿宋_GB2312"/>
          <w:color w:val="000000"/>
          <w:sz w:val="32"/>
          <w:szCs w:val="32"/>
          <w:lang w:val="en-US" w:eastAsia="zh-CN"/>
        </w:rPr>
        <w:t>5</w:t>
      </w:r>
      <w:r>
        <w:rPr>
          <w:rFonts w:ascii="仿宋_GB2312" w:eastAsia="仿宋_GB2312" w:cs="仿宋_GB2312"/>
          <w:color w:val="000000"/>
          <w:sz w:val="32"/>
          <w:szCs w:val="32"/>
        </w:rPr>
        <w:t>年度预算相</w:t>
      </w:r>
      <w:r>
        <w:rPr>
          <w:rFonts w:hint="eastAsia" w:ascii="仿宋_GB2312" w:eastAsia="仿宋_GB2312" w:cs="仿宋_GB2312"/>
          <w:color w:val="000000"/>
          <w:sz w:val="32"/>
          <w:szCs w:val="32"/>
          <w:lang w:val="en-US" w:eastAsia="zh-CN"/>
        </w:rPr>
        <w:t>同</w:t>
      </w:r>
      <w:r>
        <w:rPr>
          <w:rFonts w:ascii="仿宋_GB2312" w:eastAsia="仿宋_GB2312" w:cs="仿宋_GB2312"/>
          <w:color w:val="000000"/>
          <w:sz w:val="32"/>
          <w:szCs w:val="32"/>
        </w:rPr>
        <w:t>。截至202</w:t>
      </w:r>
      <w:r>
        <w:rPr>
          <w:rFonts w:hint="eastAsia" w:ascii="仿宋_GB2312" w:eastAsia="仿宋_GB2312" w:cs="仿宋_GB2312"/>
          <w:color w:val="000000"/>
          <w:sz w:val="32"/>
          <w:szCs w:val="32"/>
          <w:lang w:val="en-US" w:eastAsia="zh-CN"/>
        </w:rPr>
        <w:t>5</w:t>
      </w:r>
      <w:r>
        <w:rPr>
          <w:rFonts w:ascii="仿宋_GB2312" w:eastAsia="仿宋_GB2312" w:cs="仿宋_GB2312"/>
          <w:color w:val="000000"/>
          <w:sz w:val="32"/>
          <w:szCs w:val="32"/>
        </w:rPr>
        <w:t>年12月31日，淮南市</w:t>
      </w:r>
      <w:r>
        <w:rPr>
          <w:rFonts w:hint="eastAsia" w:ascii="仿宋_GB2312" w:eastAsia="仿宋_GB2312" w:cs="仿宋_GB2312"/>
          <w:color w:val="000000"/>
          <w:sz w:val="32"/>
          <w:szCs w:val="32"/>
          <w:lang w:val="en-US" w:eastAsia="zh-CN"/>
        </w:rPr>
        <w:t>标准化研究院</w:t>
      </w:r>
      <w:r>
        <w:rPr>
          <w:rFonts w:ascii="仿宋_GB2312" w:eastAsia="仿宋_GB2312" w:cs="仿宋_GB2312"/>
          <w:color w:val="000000"/>
          <w:sz w:val="32"/>
          <w:szCs w:val="32"/>
        </w:rPr>
        <w:t>财政拨款的公务用车保有量为</w:t>
      </w:r>
      <w:r>
        <w:rPr>
          <w:rFonts w:hint="eastAsia" w:ascii="仿宋_GB2312" w:eastAsia="仿宋_GB2312" w:cs="仿宋_GB2312"/>
          <w:color w:val="000000"/>
          <w:sz w:val="32"/>
          <w:szCs w:val="32"/>
          <w:lang w:val="en-US" w:eastAsia="zh-CN"/>
        </w:rPr>
        <w:t>0</w:t>
      </w:r>
      <w:r>
        <w:rPr>
          <w:rFonts w:ascii="仿宋_GB2312" w:eastAsia="仿宋_GB2312" w:cs="仿宋_GB2312"/>
          <w:color w:val="000000"/>
          <w:sz w:val="32"/>
          <w:szCs w:val="32"/>
        </w:rPr>
        <w:t>辆。</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I4OTE1NzM5NDRlNDA4MmRiMmNlNDk0OWEyODcwMTMifQ=="/>
  </w:docVars>
  <w:rsids>
    <w:rsidRoot w:val="00172A27"/>
    <w:rsid w:val="00F662B4"/>
    <w:rsid w:val="00F721C7"/>
    <w:rsid w:val="022F453C"/>
    <w:rsid w:val="02A36C44"/>
    <w:rsid w:val="02BF4B48"/>
    <w:rsid w:val="032B7DBE"/>
    <w:rsid w:val="03367AB9"/>
    <w:rsid w:val="04FB5798"/>
    <w:rsid w:val="06A031C6"/>
    <w:rsid w:val="06D07A93"/>
    <w:rsid w:val="06D55CA3"/>
    <w:rsid w:val="08D328FF"/>
    <w:rsid w:val="0A2A7C4B"/>
    <w:rsid w:val="0B6E0FBC"/>
    <w:rsid w:val="0B8B44A5"/>
    <w:rsid w:val="0BBD02A0"/>
    <w:rsid w:val="107B4811"/>
    <w:rsid w:val="10DD305B"/>
    <w:rsid w:val="11810296"/>
    <w:rsid w:val="121D5D9C"/>
    <w:rsid w:val="12A838F2"/>
    <w:rsid w:val="199944A6"/>
    <w:rsid w:val="1A94072A"/>
    <w:rsid w:val="1AC32FCC"/>
    <w:rsid w:val="1C6031F0"/>
    <w:rsid w:val="1D0E26DA"/>
    <w:rsid w:val="1D750D6D"/>
    <w:rsid w:val="1D8F75E5"/>
    <w:rsid w:val="1E2A698B"/>
    <w:rsid w:val="1F064158"/>
    <w:rsid w:val="1FA15F09"/>
    <w:rsid w:val="1FB97650"/>
    <w:rsid w:val="20114BC3"/>
    <w:rsid w:val="20F27E48"/>
    <w:rsid w:val="216915AF"/>
    <w:rsid w:val="222945BF"/>
    <w:rsid w:val="22A41859"/>
    <w:rsid w:val="22F42D0B"/>
    <w:rsid w:val="23281FE4"/>
    <w:rsid w:val="24C201B0"/>
    <w:rsid w:val="250E34BB"/>
    <w:rsid w:val="25317ED7"/>
    <w:rsid w:val="253647B8"/>
    <w:rsid w:val="27415BB9"/>
    <w:rsid w:val="286D1BC9"/>
    <w:rsid w:val="29190D58"/>
    <w:rsid w:val="2966056A"/>
    <w:rsid w:val="29F014FA"/>
    <w:rsid w:val="2A714F5B"/>
    <w:rsid w:val="2B2D0A06"/>
    <w:rsid w:val="2BAC640D"/>
    <w:rsid w:val="2BCC17AD"/>
    <w:rsid w:val="2C037CA7"/>
    <w:rsid w:val="2C455110"/>
    <w:rsid w:val="2CA430E9"/>
    <w:rsid w:val="2CBFEFB5"/>
    <w:rsid w:val="2E141C74"/>
    <w:rsid w:val="2EB12CD1"/>
    <w:rsid w:val="304007AD"/>
    <w:rsid w:val="304E595E"/>
    <w:rsid w:val="312D39B1"/>
    <w:rsid w:val="328D4BAF"/>
    <w:rsid w:val="32965BC7"/>
    <w:rsid w:val="33B762A7"/>
    <w:rsid w:val="361C71D7"/>
    <w:rsid w:val="364B798D"/>
    <w:rsid w:val="36930E6B"/>
    <w:rsid w:val="36A74148"/>
    <w:rsid w:val="36EB413B"/>
    <w:rsid w:val="37950317"/>
    <w:rsid w:val="38ED0E0E"/>
    <w:rsid w:val="39537A67"/>
    <w:rsid w:val="39680459"/>
    <w:rsid w:val="3A835F7F"/>
    <w:rsid w:val="3B1C2F00"/>
    <w:rsid w:val="3B8777AD"/>
    <w:rsid w:val="3B8A326B"/>
    <w:rsid w:val="3BBE24FA"/>
    <w:rsid w:val="3C7014EF"/>
    <w:rsid w:val="3E233734"/>
    <w:rsid w:val="3E8C3715"/>
    <w:rsid w:val="3F2033DB"/>
    <w:rsid w:val="40B74791"/>
    <w:rsid w:val="41811A57"/>
    <w:rsid w:val="426A7DC2"/>
    <w:rsid w:val="43246D7A"/>
    <w:rsid w:val="43821934"/>
    <w:rsid w:val="439264C9"/>
    <w:rsid w:val="43B76550"/>
    <w:rsid w:val="440B2217"/>
    <w:rsid w:val="45BB6396"/>
    <w:rsid w:val="46CA768B"/>
    <w:rsid w:val="475B6707"/>
    <w:rsid w:val="47985097"/>
    <w:rsid w:val="48642545"/>
    <w:rsid w:val="494943B0"/>
    <w:rsid w:val="49540B73"/>
    <w:rsid w:val="4A4904E7"/>
    <w:rsid w:val="4A4910F6"/>
    <w:rsid w:val="4A7550DA"/>
    <w:rsid w:val="4AC92CE3"/>
    <w:rsid w:val="4B743CDC"/>
    <w:rsid w:val="4B9B4EFF"/>
    <w:rsid w:val="4C027AA9"/>
    <w:rsid w:val="4C3D2126"/>
    <w:rsid w:val="4C661322"/>
    <w:rsid w:val="4C7D0B46"/>
    <w:rsid w:val="4CBC10D4"/>
    <w:rsid w:val="4D005D12"/>
    <w:rsid w:val="4D4D4D61"/>
    <w:rsid w:val="4D605D48"/>
    <w:rsid w:val="4DE20393"/>
    <w:rsid w:val="4E55231E"/>
    <w:rsid w:val="4EF0642F"/>
    <w:rsid w:val="4F137F98"/>
    <w:rsid w:val="504528E6"/>
    <w:rsid w:val="52067D1E"/>
    <w:rsid w:val="5428589E"/>
    <w:rsid w:val="544A4E71"/>
    <w:rsid w:val="552573EA"/>
    <w:rsid w:val="55782002"/>
    <w:rsid w:val="565A1E86"/>
    <w:rsid w:val="56B51A06"/>
    <w:rsid w:val="587230A4"/>
    <w:rsid w:val="587B0F84"/>
    <w:rsid w:val="59CA7457"/>
    <w:rsid w:val="5AA32406"/>
    <w:rsid w:val="5BDA62AE"/>
    <w:rsid w:val="5C001E00"/>
    <w:rsid w:val="5C1A3A0D"/>
    <w:rsid w:val="5C334CC1"/>
    <w:rsid w:val="5C3C57B8"/>
    <w:rsid w:val="5C9E19E3"/>
    <w:rsid w:val="5DCE2F0E"/>
    <w:rsid w:val="5E243986"/>
    <w:rsid w:val="5F935BF5"/>
    <w:rsid w:val="5FA07D9D"/>
    <w:rsid w:val="5FA650F9"/>
    <w:rsid w:val="5FFF5CB2"/>
    <w:rsid w:val="6013365A"/>
    <w:rsid w:val="602901A2"/>
    <w:rsid w:val="62A9735A"/>
    <w:rsid w:val="64020A73"/>
    <w:rsid w:val="644D5715"/>
    <w:rsid w:val="647A1A1F"/>
    <w:rsid w:val="655D1C9D"/>
    <w:rsid w:val="65681D53"/>
    <w:rsid w:val="66D70628"/>
    <w:rsid w:val="680D5484"/>
    <w:rsid w:val="688F15F9"/>
    <w:rsid w:val="69222455"/>
    <w:rsid w:val="69DB0E00"/>
    <w:rsid w:val="6A54009E"/>
    <w:rsid w:val="6A681B7A"/>
    <w:rsid w:val="6AF76CD1"/>
    <w:rsid w:val="6B6A09A7"/>
    <w:rsid w:val="6CA20D26"/>
    <w:rsid w:val="6D4E47BC"/>
    <w:rsid w:val="6D547ADD"/>
    <w:rsid w:val="6E3D5FC5"/>
    <w:rsid w:val="6E9D1224"/>
    <w:rsid w:val="6F006772"/>
    <w:rsid w:val="6F083E88"/>
    <w:rsid w:val="6F291C0E"/>
    <w:rsid w:val="6F4E0F81"/>
    <w:rsid w:val="6FE8711A"/>
    <w:rsid w:val="70F01D72"/>
    <w:rsid w:val="71A21531"/>
    <w:rsid w:val="73616651"/>
    <w:rsid w:val="739C5EEF"/>
    <w:rsid w:val="75424177"/>
    <w:rsid w:val="75DF5514"/>
    <w:rsid w:val="76E553EE"/>
    <w:rsid w:val="786B6102"/>
    <w:rsid w:val="78936F5B"/>
    <w:rsid w:val="7904253C"/>
    <w:rsid w:val="7B7C5866"/>
    <w:rsid w:val="7BF24DDB"/>
    <w:rsid w:val="7CA57426"/>
    <w:rsid w:val="7CBC537C"/>
    <w:rsid w:val="7D6C5578"/>
    <w:rsid w:val="7E567320"/>
    <w:rsid w:val="7EDF80E2"/>
    <w:rsid w:val="7EF458B8"/>
    <w:rsid w:val="7F384DE7"/>
    <w:rsid w:val="96AFB7BD"/>
    <w:rsid w:val="9F9DC7D4"/>
    <w:rsid w:val="D5CF15F7"/>
    <w:rsid w:val="EAD6B36F"/>
    <w:rsid w:val="F3EF4D93"/>
    <w:rsid w:val="F7FBEE92"/>
    <w:rsid w:val="FEFDBE5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10"/>
    <w:basedOn w:val="3"/>
    <w:qFormat/>
    <w:uiPriority w:val="0"/>
    <w:rPr>
      <w:rFonts w:hint="default" w:ascii="Times New Roman" w:hAnsi="Times New Roman" w:cs="Times New Roman"/>
    </w:rPr>
  </w:style>
  <w:style w:type="character" w:customStyle="1" w:styleId="5">
    <w:name w:val="15"/>
    <w:basedOn w:val="3"/>
    <w:qFormat/>
    <w:uiPriority w:val="0"/>
    <w:rPr>
      <w:rFonts w:hint="default" w:ascii="Times New Roman" w:hAnsi="Times New Roman" w:cs="Times New Roman"/>
    </w:rPr>
  </w:style>
  <w:style w:type="paragraph" w:customStyle="1" w:styleId="6">
    <w:name w:val="p0"/>
    <w:basedOn w:val="1"/>
    <w:qFormat/>
    <w:uiPriority w:val="0"/>
    <w:pPr>
      <w:spacing w:before="0" w:beforeAutospacing="0" w:after="0" w:afterAutospacing="0"/>
      <w:ind w:left="0" w:right="0"/>
      <w:jc w:val="both"/>
    </w:pPr>
    <w:rPr>
      <w:rFonts w:hint="default" w:ascii="Calibri" w:hAnsi="Calibri" w:cs="Calibri"/>
      <w:kern w:val="0"/>
      <w:sz w:val="21"/>
      <w:szCs w:val="21"/>
      <w:lang w:val="en-US" w:eastAsia="zh-CN" w:bidi="ar"/>
    </w:rPr>
  </w:style>
  <w:style w:type="paragraph" w:customStyle="1" w:styleId="7">
    <w:name w:val="p16"/>
    <w:basedOn w:val="1"/>
    <w:qFormat/>
    <w:uiPriority w:val="0"/>
    <w:pPr>
      <w:spacing w:before="100" w:beforeAutospacing="0" w:after="100" w:afterAutospacing="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761</Words>
  <Characters>836</Characters>
  <Lines>1</Lines>
  <Paragraphs>1</Paragraphs>
  <TotalTime>60</TotalTime>
  <ScaleCrop>false</ScaleCrop>
  <LinksUpToDate>false</LinksUpToDate>
  <CharactersWithSpaces>904</CharactersWithSpaces>
  <Application>WPS Office_11.8.2.9695_F1E327BC-269C-435d-A152-05C5408002CA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2022-07-25T23:13:00Z</dcterms:created>
  <dc:creator>Administrator</dc:creator>
  <cp:lastModifiedBy>uos</cp:lastModifiedBy>
  <dcterms:modified xsi:type="dcterms:W3CDTF">2026-10-08T11:06:07Z</dcterms:modified>
  <dc:title>淮南市XX单位2022年度单位决算</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2052-11.8.2.9695</vt:lpwstr>
  </property>
  <property fmtid="{D5CDD505-2E9C-101B-9397-08002B2CF9AE}" pid="3" name="ICV">
    <vt:lpwstr>A0C822042402468881AF5D4E042C7DE4_13</vt:lpwstr>
  </property>
  <property fmtid="{D5CDD505-2E9C-101B-9397-08002B2CF9AE}" pid="4" name="KSOTemplateDocerSaveRecord">
    <vt:lpwstr>eyJoZGlkIjoiYTM2MjJlN2ZkZmMzOTA1NTI5YjNjZmE5NDNlMDc2NzYiLCJ1c2VySWQiOiI5NTQzNzAzODgifQ==</vt:lpwstr>
  </property>
</Properties>
</file>