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bookmarkStart w:id="0" w:name="_GoBack"/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bookmarkEnd w:id="0"/>
    <w:tbl>
      <w:tblPr>
        <w:tblStyle w:val="3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5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A0296"/>
    <w:rsid w:val="30D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2022-02-28T11:09:00Z</dcterms:created>
  <dc:creator>孙昊</dc:creator>
  <cp:lastModifiedBy>孙昊</cp:lastModifiedBy>
  <dcterms:modified xsi:type="dcterms:W3CDTF">2022-02-28T11:10:05Z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