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lang w:eastAsia="zh-CN"/>
        </w:rPr>
        <w:t>淮南市</w:t>
      </w:r>
      <w:r>
        <w:rPr>
          <w:rFonts w:hint="eastAsia" w:ascii="方正小标宋简体" w:hAnsi="方正小标宋简体" w:eastAsia="方正小标宋简体" w:cs="方正小标宋简体"/>
          <w:bCs/>
          <w:sz w:val="44"/>
          <w:szCs w:val="44"/>
          <w:u w:val="none"/>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lang w:eastAsia="zh-CN"/>
        </w:rPr>
        <w:t>淮</w:t>
      </w:r>
      <w:r>
        <w:rPr>
          <w:rFonts w:hint="eastAsia" w:ascii="仿宋_GB2312" w:hAnsi="仿宋_GB2312" w:eastAsia="仿宋_GB2312" w:cs="仿宋_GB2312"/>
          <w:bCs/>
          <w:color w:val="000000"/>
          <w:sz w:val="32"/>
          <w:szCs w:val="32"/>
          <w:u w:val="none"/>
        </w:rPr>
        <w:t>市监处罚</w:t>
      </w:r>
      <w:r>
        <w:rPr>
          <w:rFonts w:hint="eastAsia" w:ascii="仿宋_GB2312" w:hAnsi="仿宋_GB2312" w:eastAsia="仿宋_GB2312" w:cs="仿宋_GB2312"/>
          <w:sz w:val="32"/>
          <w:szCs w:val="32"/>
          <w:u w:val="none"/>
          <w:lang w:val="en-US" w:eastAsia="zh-CN"/>
        </w:rPr>
        <w:t>〔2023〕29</w:t>
      </w:r>
      <w:r>
        <w:rPr>
          <w:rFonts w:hint="eastAsia" w:ascii="仿宋_GB2312"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703296" behindDoc="0" locked="0" layoutInCell="1" allowOverlap="0">
                <wp:simplePos x="0" y="0"/>
                <wp:positionH relativeFrom="column">
                  <wp:posOffset>-38100</wp:posOffset>
                </wp:positionH>
                <wp:positionV relativeFrom="paragraph">
                  <wp:posOffset>20802600</wp:posOffset>
                </wp:positionV>
                <wp:extent cx="5761990" cy="0"/>
                <wp:effectExtent l="0" t="9525" r="3810" b="15875"/>
                <wp:wrapNone/>
                <wp:docPr id="3" name="直接箭头连接符 3"/>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03296;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firstLine="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安徽省冉钶贸易有限公司</w:t>
      </w:r>
    </w:p>
    <w:p>
      <w:pPr>
        <w:keepNext w:val="0"/>
        <w:keepLines w:val="0"/>
        <w:pageBreakBefore w:val="0"/>
        <w:widowControl w:val="0"/>
        <w:kinsoku/>
        <w:wordWrap/>
        <w:overflowPunct/>
        <w:topLinePunct w:val="0"/>
        <w:autoSpaceDE/>
        <w:autoSpaceDN/>
        <w:bidi w:val="0"/>
        <w:adjustRightInd/>
        <w:snapToGrid/>
        <w:spacing w:line="520" w:lineRule="exact"/>
        <w:ind w:lef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520" w:lineRule="exact"/>
        <w:ind w:lef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统一社会信用代码：</w:t>
      </w:r>
      <w:r>
        <w:rPr>
          <w:rFonts w:hint="eastAsia" w:ascii="仿宋_GB2312" w:hAnsi="仿宋_GB2312" w:eastAsia="仿宋_GB2312" w:cs="仿宋_GB2312"/>
          <w:sz w:val="32"/>
          <w:szCs w:val="32"/>
          <w:u w:val="none"/>
          <w:lang w:val="en-US" w:eastAsia="zh-CN"/>
        </w:rPr>
        <w:t>91340403MA2W7BA957</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住所（住址）：</w:t>
      </w:r>
      <w:r>
        <w:rPr>
          <w:rFonts w:hint="eastAsia" w:ascii="仿宋_GB2312" w:hAnsi="仿宋_GB2312" w:eastAsia="仿宋_GB2312" w:cs="仿宋_GB2312"/>
          <w:sz w:val="32"/>
          <w:szCs w:val="32"/>
          <w:u w:val="none"/>
          <w:lang w:val="en-US" w:eastAsia="zh-CN"/>
        </w:rPr>
        <w:t>安徽省淮南市田家庵区朝阳路与龙湖路交叉口新天地商贸大厦1215</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法定代表人（负责人</w:t>
      </w:r>
      <w:r>
        <w:rPr>
          <w:rFonts w:hint="eastAsia" w:ascii="仿宋_GB2312" w:hAnsi="仿宋_GB2312" w:eastAsia="仿宋_GB2312" w:cs="仿宋_GB2312"/>
          <w:sz w:val="32"/>
          <w:szCs w:val="32"/>
          <w:u w:val="none"/>
          <w:lang w:eastAsia="zh-CN"/>
        </w:rPr>
        <w:t>、经营者</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李冉</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身份证件号码：</w:t>
      </w:r>
      <w:r>
        <w:rPr>
          <w:rFonts w:hint="default" w:ascii="仿宋_GB2312" w:hAnsi="仿宋_GB2312" w:eastAsia="仿宋_GB2312" w:cs="仿宋_GB2312"/>
          <w:sz w:val="32"/>
          <w:szCs w:val="32"/>
          <w:u w:val="none"/>
          <w:lang w:val="en" w:eastAsia="zh-CN"/>
        </w:rPr>
        <w:t>XXXXXXXXXXXXXXXXXX</w:t>
      </w:r>
      <w:bookmarkStart w:id="3" w:name="_GoBack"/>
      <w:bookmarkEnd w:id="3"/>
      <w:r>
        <w:rPr>
          <w:rFonts w:hint="eastAsia" w:ascii="仿宋_GB2312" w:hAnsi="仿宋_GB2312" w:eastAsia="仿宋_GB2312" w:cs="仿宋_GB2312"/>
          <w:sz w:val="32"/>
          <w:szCs w:val="32"/>
          <w:u w:val="none"/>
        </w:rPr>
        <w:t xml:space="preserve">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0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2022年8月25日，经国家市场监督管理总局产品质量监督抽查，由安徽省冉钶贸易有限公司生产，规格型号：10kg/桶，生产日期：2022/5/5的柴油车尾气处理液，经检验不合格，检验结论为“经抽样检验，杂质含量-钠项目不符合GB 29518-2013标准，依据《车用尿素水溶液产品质量国家监督抽查实施细则（2022版本）》，判定为不合格”。当事人涉嫌生产、销售不符合保障人体健康和人身、财产安全的国家标准的柴油车尾气处理液，本局于2022年11月29日予以立案查处，2022年12月21日对当事人进行调查。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00" w:lineRule="exact"/>
        <w:ind w:firstLine="640" w:firstLineChars="200"/>
        <w:jc w:val="both"/>
        <w:textAlignment w:val="auto"/>
        <w:rPr>
          <w:rFonts w:hint="eastAsia" w:ascii="仿宋_GB2312" w:hAnsi="仿宋_GB2312" w:eastAsia="仿宋_GB2312" w:cs="仿宋_GB2312"/>
          <w:kern w:val="1"/>
          <w:u w:val="none"/>
          <w:lang w:eastAsia="zh-CN"/>
        </w:rPr>
      </w:pPr>
      <w:r>
        <w:rPr>
          <w:rFonts w:hint="eastAsia" w:ascii="仿宋_GB2312" w:hAnsi="仿宋_GB2312" w:eastAsia="仿宋_GB2312" w:cs="仿宋_GB2312"/>
          <w:bCs/>
          <w:sz w:val="32"/>
          <w:szCs w:val="32"/>
          <w:u w:val="none"/>
          <w:lang w:val="en-US" w:eastAsia="zh-CN"/>
        </w:rPr>
        <w:t>经查，当事人2022年5月5日生产</w:t>
      </w:r>
      <w:r>
        <w:rPr>
          <w:rFonts w:hint="eastAsia" w:ascii="仿宋_GB2312" w:hAnsi="仿宋_GB2312" w:eastAsia="仿宋_GB2312" w:cs="仿宋_GB2312"/>
          <w:color w:val="000000"/>
          <w:sz w:val="32"/>
          <w:szCs w:val="32"/>
          <w:u w:val="none"/>
          <w:lang w:eastAsia="zh-CN"/>
        </w:rPr>
        <w:t>柴油车尾气处理液</w:t>
      </w:r>
      <w:r>
        <w:rPr>
          <w:rFonts w:hint="eastAsia" w:ascii="仿宋_GB2312" w:hAnsi="仿宋_GB2312" w:eastAsia="仿宋_GB2312" w:cs="仿宋_GB2312"/>
          <w:bCs/>
          <w:sz w:val="32"/>
          <w:szCs w:val="32"/>
          <w:u w:val="none"/>
          <w:lang w:val="en-US" w:eastAsia="zh-CN"/>
        </w:rPr>
        <w:t>50桶，规格型号：10kg/桶，生产日期：2022/5/5</w:t>
      </w:r>
      <w:r>
        <w:rPr>
          <w:rFonts w:hint="default" w:ascii="仿宋_GB2312" w:hAnsi="仿宋_GB2312" w:eastAsia="仿宋_GB2312" w:cs="仿宋_GB2312"/>
          <w:bCs/>
          <w:sz w:val="32"/>
          <w:szCs w:val="32"/>
          <w:u w:val="none"/>
          <w:lang w:val="en" w:eastAsia="zh-CN"/>
        </w:rPr>
        <w:t>,</w:t>
      </w:r>
      <w:r>
        <w:rPr>
          <w:rFonts w:hint="eastAsia" w:ascii="仿宋_GB2312" w:hAnsi="仿宋_GB2312" w:eastAsia="仿宋_GB2312" w:cs="仿宋_GB2312"/>
          <w:bCs/>
          <w:sz w:val="32"/>
          <w:szCs w:val="32"/>
          <w:u w:val="none"/>
          <w:lang w:val="en-US" w:eastAsia="zh-CN"/>
        </w:rPr>
        <w:t>生产成本为15.6元/桶。共销售11桶，其中2022年8月2日</w:t>
      </w:r>
      <w:r>
        <w:rPr>
          <w:rFonts w:hint="eastAsia" w:ascii="仿宋_GB2312" w:hAnsi="仿宋" w:eastAsia="仿宋_GB2312" w:cs="仿宋"/>
          <w:sz w:val="32"/>
          <w:szCs w:val="32"/>
          <w:u w:val="none"/>
          <w:lang w:val="en" w:eastAsia="zh-CN"/>
        </w:rPr>
        <w:t>销售到</w:t>
      </w:r>
      <w:r>
        <w:rPr>
          <w:rFonts w:hint="eastAsia" w:ascii="仿宋_GB2312" w:hAnsi="仿宋" w:eastAsia="仿宋_GB2312" w:cs="仿宋"/>
          <w:sz w:val="32"/>
          <w:szCs w:val="32"/>
          <w:u w:val="none"/>
          <w:lang w:val="en-US" w:eastAsia="zh-CN"/>
        </w:rPr>
        <w:t>安成铺农机加油站6桶，</w:t>
      </w:r>
      <w:r>
        <w:rPr>
          <w:rFonts w:hint="eastAsia" w:ascii="仿宋_GB2312" w:hAnsi="仿宋_GB2312" w:eastAsia="仿宋_GB2312" w:cs="仿宋_GB2312"/>
          <w:bCs/>
          <w:sz w:val="32"/>
          <w:szCs w:val="32"/>
          <w:u w:val="none"/>
          <w:lang w:val="en-US" w:eastAsia="zh-CN"/>
        </w:rPr>
        <w:t>销售单价20元/桶。后销售给散客</w:t>
      </w:r>
      <w:r>
        <w:rPr>
          <w:rFonts w:hint="eastAsia" w:ascii="仿宋_GB2312" w:hAnsi="仿宋" w:eastAsia="仿宋_GB2312" w:cs="仿宋"/>
          <w:sz w:val="32"/>
          <w:szCs w:val="32"/>
          <w:u w:val="none"/>
          <w:lang w:val="en-US" w:eastAsia="zh-CN"/>
        </w:rPr>
        <w:t>5桶，</w:t>
      </w:r>
      <w:r>
        <w:rPr>
          <w:rFonts w:hint="eastAsia" w:ascii="仿宋_GB2312" w:hAnsi="仿宋_GB2312" w:eastAsia="仿宋_GB2312" w:cs="仿宋_GB2312"/>
          <w:bCs/>
          <w:sz w:val="32"/>
          <w:szCs w:val="32"/>
          <w:u w:val="none"/>
          <w:lang w:val="en-US" w:eastAsia="zh-CN"/>
        </w:rPr>
        <w:t>销售单价20元/桶，</w:t>
      </w:r>
      <w:r>
        <w:rPr>
          <w:rFonts w:hint="eastAsia" w:ascii="仿宋_GB2312" w:hAnsi="仿宋" w:eastAsia="仿宋_GB2312" w:cs="仿宋"/>
          <w:sz w:val="32"/>
          <w:szCs w:val="32"/>
          <w:u w:val="none"/>
          <w:lang w:val="en-US" w:eastAsia="zh-CN"/>
        </w:rPr>
        <w:t>收取现金无收据</w:t>
      </w:r>
      <w:r>
        <w:rPr>
          <w:rFonts w:hint="eastAsia" w:ascii="仿宋_GB2312" w:hAnsi="仿宋_GB2312" w:eastAsia="仿宋_GB2312" w:cs="仿宋_GB2312"/>
          <w:bCs/>
          <w:sz w:val="32"/>
          <w:szCs w:val="32"/>
          <w:u w:val="none"/>
          <w:lang w:val="en-US" w:eastAsia="zh-CN"/>
        </w:rPr>
        <w:t>。</w:t>
      </w:r>
      <w:r>
        <w:rPr>
          <w:rFonts w:hint="eastAsia" w:ascii="仿宋_GB2312" w:hAnsi="仿宋" w:eastAsia="仿宋_GB2312" w:cs="仿宋"/>
          <w:sz w:val="32"/>
          <w:szCs w:val="32"/>
          <w:u w:val="none"/>
          <w:lang w:val="en-US" w:eastAsia="zh-CN"/>
        </w:rPr>
        <w:t>同批次剩余的39桶，当事人在签收检验不合格报告的当天已自行销毁。</w:t>
      </w:r>
      <w:r>
        <w:rPr>
          <w:rFonts w:hint="eastAsia" w:ascii="仿宋_GB2312" w:hAnsi="仿宋_GB2312" w:eastAsia="仿宋_GB2312" w:cs="仿宋_GB2312"/>
          <w:bCs/>
          <w:sz w:val="32"/>
          <w:szCs w:val="32"/>
          <w:u w:val="none"/>
          <w:lang w:val="en-US" w:eastAsia="zh-CN"/>
        </w:rPr>
        <w:t>上述柴油车尾气处理液，经国家市场监督管理总局委托山东省产品质量检验研究院检测，检验结论为“经抽样检验，杂质含量-钠项目不符合GB 29518-2013标准，依据《车用尿素水溶液产品质量国家监督抽查实施细则（2022版本）》，判定为不合格”。不合格指标杂质含量-钠，检验方法GB-29518-2013,标准要求不大于0.5mg/kg,检验结果1.1mg/kg。综上，当事人销售</w:t>
      </w:r>
      <w:r>
        <w:rPr>
          <w:rFonts w:hint="eastAsia" w:ascii="仿宋_GB2312" w:hAnsi="仿宋_GB2312" w:eastAsia="仿宋_GB2312" w:cs="仿宋_GB2312"/>
          <w:color w:val="000000"/>
          <w:sz w:val="32"/>
          <w:szCs w:val="32"/>
          <w:u w:val="none"/>
          <w:lang w:eastAsia="zh-CN"/>
        </w:rPr>
        <w:t>上述</w:t>
      </w:r>
      <w:r>
        <w:rPr>
          <w:rFonts w:hint="eastAsia" w:ascii="仿宋_GB2312" w:hAnsi="仿宋_GB2312" w:eastAsia="仿宋_GB2312" w:cs="仿宋_GB2312"/>
          <w:bCs/>
          <w:sz w:val="32"/>
          <w:szCs w:val="32"/>
          <w:u w:val="none"/>
          <w:lang w:eastAsia="zh-CN"/>
        </w:rPr>
        <w:t>不符合保障人体健康和人身、财产安全的国家标准</w:t>
      </w:r>
      <w:r>
        <w:rPr>
          <w:rFonts w:hint="eastAsia" w:ascii="仿宋_GB2312" w:hAnsi="仿宋_GB2312" w:eastAsia="仿宋_GB2312" w:cs="仿宋_GB2312"/>
          <w:color w:val="000000"/>
          <w:sz w:val="32"/>
          <w:szCs w:val="32"/>
          <w:u w:val="none"/>
          <w:lang w:eastAsia="zh-CN"/>
        </w:rPr>
        <w:t>的柴油车尾气处理液</w:t>
      </w:r>
      <w:r>
        <w:rPr>
          <w:rFonts w:hint="eastAsia" w:ascii="仿宋_GB2312" w:hAnsi="仿宋_GB2312" w:eastAsia="仿宋_GB2312" w:cs="仿宋_GB2312"/>
          <w:bCs/>
          <w:sz w:val="32"/>
          <w:szCs w:val="32"/>
          <w:u w:val="none"/>
          <w:lang w:val="en-US" w:eastAsia="zh-CN"/>
        </w:rPr>
        <w:t xml:space="preserve">货值金额1000元，违法所得为48.4元。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kern w:val="1"/>
          <w:u w:val="none"/>
          <w:lang w:val="en-US" w:eastAsia="zh-CN"/>
        </w:rPr>
        <w:t xml:space="preserve">  </w:t>
      </w:r>
    </w:p>
    <w:p>
      <w:pPr>
        <w:pStyle w:val="2"/>
        <w:keepNext w:val="0"/>
        <w:keepLines w:val="0"/>
        <w:pageBreakBefore w:val="0"/>
        <w:widowControl w:val="0"/>
        <w:tabs>
          <w:tab w:val="left" w:pos="8285"/>
        </w:tabs>
        <w:kinsoku/>
        <w:wordWrap/>
        <w:overflowPunct/>
        <w:topLinePunct w:val="0"/>
        <w:bidi w:val="0"/>
        <w:snapToGrid/>
        <w:spacing w:line="500" w:lineRule="exact"/>
        <w:ind w:firstLine="640" w:firstLineChars="200"/>
        <w:jc w:val="both"/>
        <w:textAlignment w:val="auto"/>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上述事实，主要有以下证据证明：</w:t>
      </w:r>
    </w:p>
    <w:p>
      <w:pPr>
        <w:keepNext w:val="0"/>
        <w:keepLines w:val="0"/>
        <w:pageBreakBefore w:val="0"/>
        <w:widowControl w:val="0"/>
        <w:numPr>
          <w:ilvl w:val="0"/>
          <w:numId w:val="0"/>
        </w:numPr>
        <w:kinsoku/>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检验报告（N</w:t>
      </w:r>
      <w:r>
        <w:rPr>
          <w:rFonts w:hint="eastAsia" w:ascii="仿宋_GB2312" w:hAnsi="仿宋_GB2312" w:eastAsia="仿宋_GB2312" w:cs="仿宋_GB2312"/>
          <w:sz w:val="32"/>
          <w:szCs w:val="32"/>
          <w:u w:val="none"/>
          <w:lang w:val="en" w:eastAsia="zh-CN"/>
        </w:rPr>
        <w:t>o:</w:t>
      </w:r>
      <w:r>
        <w:rPr>
          <w:rFonts w:hint="eastAsia" w:ascii="仿宋_GB2312" w:hAnsi="仿宋_GB2312" w:eastAsia="仿宋_GB2312" w:cs="仿宋_GB2312"/>
          <w:sz w:val="32"/>
          <w:szCs w:val="32"/>
          <w:u w:val="none"/>
          <w:lang w:val="en-US" w:eastAsia="zh-CN"/>
        </w:rPr>
        <w:t>QT0102839</w:t>
      </w:r>
      <w:r>
        <w:rPr>
          <w:rFonts w:hint="eastAsia"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US" w:eastAsia="zh-CN"/>
        </w:rPr>
        <w:t>2022）1份，证明当事人生产、销售的生产日期为2022/5/5的</w:t>
      </w:r>
      <w:r>
        <w:rPr>
          <w:rFonts w:hint="eastAsia" w:ascii="仿宋_GB2312" w:hAnsi="仿宋_GB2312" w:eastAsia="仿宋_GB2312" w:cs="仿宋_GB2312"/>
          <w:sz w:val="32"/>
          <w:szCs w:val="32"/>
          <w:u w:val="none"/>
          <w:lang w:eastAsia="zh-CN"/>
        </w:rPr>
        <w:t>柴油车尾气处理液</w:t>
      </w:r>
      <w:r>
        <w:rPr>
          <w:rFonts w:hint="eastAsia" w:ascii="仿宋_GB2312" w:hAnsi="仿宋_GB2312" w:eastAsia="仿宋_GB2312" w:cs="仿宋_GB2312"/>
          <w:sz w:val="32"/>
          <w:szCs w:val="32"/>
          <w:u w:val="none"/>
          <w:lang w:val="en-US" w:eastAsia="zh-CN"/>
        </w:rPr>
        <w:t xml:space="preserve">经检验不合格的事实；                                          </w:t>
      </w:r>
    </w:p>
    <w:p>
      <w:pPr>
        <w:keepNext w:val="0"/>
        <w:keepLines w:val="0"/>
        <w:pageBreakBefore w:val="0"/>
        <w:widowControl w:val="0"/>
        <w:numPr>
          <w:ilvl w:val="0"/>
          <w:numId w:val="0"/>
        </w:numPr>
        <w:kinsoku/>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.营业执照复印件</w:t>
      </w:r>
      <w:r>
        <w:rPr>
          <w:rFonts w:hint="eastAsia" w:ascii="仿宋_GB2312" w:hAnsi="仿宋_GB2312" w:eastAsia="仿宋_GB2312" w:cs="仿宋_GB2312"/>
          <w:sz w:val="32"/>
          <w:szCs w:val="32"/>
          <w:u w:val="none"/>
          <w:lang w:val="en-US" w:eastAsia="zh-CN"/>
        </w:rPr>
        <w:t>1份</w:t>
      </w:r>
      <w:r>
        <w:rPr>
          <w:rFonts w:hint="eastAsia" w:ascii="仿宋_GB2312" w:hAnsi="仿宋_GB2312" w:eastAsia="仿宋_GB2312" w:cs="仿宋_GB2312"/>
          <w:sz w:val="32"/>
          <w:szCs w:val="32"/>
          <w:u w:val="none"/>
          <w:lang w:eastAsia="zh-CN"/>
        </w:rPr>
        <w:t>、法定代表人</w:t>
      </w:r>
      <w:r>
        <w:rPr>
          <w:rFonts w:hint="eastAsia" w:ascii="仿宋_GB2312" w:hAnsi="仿宋_GB2312" w:eastAsia="仿宋_GB2312" w:cs="仿宋_GB2312"/>
          <w:sz w:val="32"/>
          <w:szCs w:val="32"/>
          <w:u w:val="none"/>
        </w:rPr>
        <w:t>身份证复印件</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份</w:t>
      </w:r>
      <w:r>
        <w:rPr>
          <w:rFonts w:hint="eastAsia" w:ascii="仿宋_GB2312" w:hAnsi="仿宋_GB2312" w:eastAsia="仿宋_GB2312" w:cs="仿宋_GB2312"/>
          <w:sz w:val="32"/>
          <w:szCs w:val="32"/>
          <w:u w:val="none"/>
          <w:lang w:eastAsia="zh-CN"/>
        </w:rPr>
        <w:t>、授权委托书</w:t>
      </w:r>
      <w:r>
        <w:rPr>
          <w:rFonts w:hint="eastAsia" w:ascii="仿宋_GB2312" w:hAnsi="仿宋_GB2312" w:eastAsia="仿宋_GB2312" w:cs="仿宋_GB2312"/>
          <w:sz w:val="32"/>
          <w:szCs w:val="32"/>
          <w:u w:val="none"/>
          <w:lang w:val="en-US" w:eastAsia="zh-CN"/>
        </w:rPr>
        <w:t>1份、受委托人身份证复印件1份</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当事人的基本情况和受委托人的身份情况；</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numPr>
          <w:ilvl w:val="0"/>
          <w:numId w:val="0"/>
        </w:numPr>
        <w:kinsoku/>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询问笔录</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份</w:t>
      </w:r>
      <w:r>
        <w:rPr>
          <w:rFonts w:hint="eastAsia" w:ascii="仿宋_GB2312" w:hAnsi="仿宋_GB2312" w:eastAsia="仿宋_GB2312" w:cs="仿宋_GB2312"/>
          <w:sz w:val="32"/>
          <w:szCs w:val="32"/>
          <w:u w:val="none"/>
          <w:lang w:eastAsia="zh-CN"/>
        </w:rPr>
        <w:t>，生产记录</w:t>
      </w:r>
      <w:r>
        <w:rPr>
          <w:rFonts w:hint="eastAsia" w:ascii="仿宋_GB2312" w:hAnsi="仿宋_GB2312" w:eastAsia="仿宋_GB2312" w:cs="仿宋_GB2312"/>
          <w:sz w:val="32"/>
          <w:szCs w:val="32"/>
          <w:u w:val="none"/>
          <w:lang w:val="en-US" w:eastAsia="zh-CN"/>
        </w:rPr>
        <w:t>1份、生产成本核算单1份，</w:t>
      </w:r>
      <w:r>
        <w:rPr>
          <w:rFonts w:hint="eastAsia" w:ascii="仿宋_GB2312" w:hAnsi="仿宋_GB2312" w:eastAsia="仿宋_GB2312" w:cs="仿宋_GB2312"/>
          <w:sz w:val="32"/>
          <w:szCs w:val="32"/>
          <w:u w:val="none"/>
          <w:lang w:eastAsia="zh-CN"/>
        </w:rPr>
        <w:t>送货单</w:t>
      </w:r>
      <w:r>
        <w:rPr>
          <w:rFonts w:hint="eastAsia" w:ascii="仿宋_GB2312" w:hAnsi="仿宋_GB2312" w:eastAsia="仿宋_GB2312" w:cs="仿宋_GB2312"/>
          <w:sz w:val="32"/>
          <w:szCs w:val="32"/>
          <w:u w:val="none"/>
          <w:lang w:val="en-US" w:eastAsia="zh-CN"/>
        </w:rPr>
        <w:t>1份</w:t>
      </w:r>
      <w:r>
        <w:rPr>
          <w:rFonts w:hint="eastAsia" w:ascii="仿宋_GB2312" w:hAnsi="仿宋_GB2312" w:eastAsia="仿宋_GB2312" w:cs="仿宋_GB2312"/>
          <w:sz w:val="32"/>
          <w:szCs w:val="32"/>
          <w:u w:val="none"/>
        </w:rPr>
        <w:t>，证明当事人</w:t>
      </w:r>
      <w:r>
        <w:rPr>
          <w:rFonts w:hint="eastAsia" w:ascii="仿宋_GB2312" w:hAnsi="仿宋_GB2312" w:eastAsia="仿宋_GB2312" w:cs="仿宋_GB2312"/>
          <w:sz w:val="32"/>
          <w:szCs w:val="32"/>
          <w:u w:val="none"/>
          <w:lang w:val="en-US" w:eastAsia="zh-CN"/>
        </w:rPr>
        <w:t>生产、销售上述</w:t>
      </w:r>
      <w:r>
        <w:rPr>
          <w:rFonts w:hint="eastAsia" w:ascii="仿宋_GB2312" w:hAnsi="仿宋_GB2312" w:eastAsia="仿宋_GB2312" w:cs="仿宋_GB2312"/>
          <w:sz w:val="32"/>
          <w:szCs w:val="32"/>
          <w:u w:val="none"/>
          <w:lang w:eastAsia="zh-CN"/>
        </w:rPr>
        <w:t>柴油车尾气处理液</w:t>
      </w:r>
      <w:r>
        <w:rPr>
          <w:rFonts w:hint="eastAsia" w:ascii="仿宋_GB2312" w:hAnsi="仿宋_GB2312" w:eastAsia="仿宋_GB2312" w:cs="仿宋_GB2312"/>
          <w:sz w:val="32"/>
          <w:szCs w:val="32"/>
          <w:u w:val="none"/>
          <w:lang w:val="en-US" w:eastAsia="zh-CN"/>
        </w:rPr>
        <w:t>的数量、货值和违法所得情况</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numPr>
          <w:ilvl w:val="0"/>
          <w:numId w:val="0"/>
        </w:numPr>
        <w:kinsoku/>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国家企业信用信息公示系统网页截图</w:t>
      </w:r>
      <w:r>
        <w:rPr>
          <w:rFonts w:hint="eastAsia" w:ascii="仿宋_GB2312" w:hAnsi="仿宋_GB2312" w:eastAsia="仿宋_GB2312" w:cs="仿宋_GB2312"/>
          <w:sz w:val="32"/>
          <w:szCs w:val="32"/>
          <w:u w:val="none"/>
          <w:lang w:val="en-US" w:eastAsia="zh-CN"/>
        </w:rPr>
        <w:t>1份</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当事人为初次违法；</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numPr>
          <w:ilvl w:val="0"/>
          <w:numId w:val="0"/>
        </w:numPr>
        <w:kinsoku/>
        <w:overflowPunct/>
        <w:topLinePunct w:val="0"/>
        <w:bidi w:val="0"/>
        <w:snapToGrid/>
        <w:spacing w:line="500" w:lineRule="exact"/>
        <w:ind w:firstLine="640" w:firstLineChars="200"/>
        <w:textAlignment w:val="auto"/>
        <w:rPr>
          <w:rFonts w:hint="eastAsia" w:ascii="仿宋" w:hAnsi="仿宋" w:eastAsia="仿宋" w:cs="仿宋"/>
          <w:sz w:val="32"/>
          <w:szCs w:val="32"/>
          <w:u w:val="none"/>
          <w:lang w:val="en-US" w:eastAsia="zh-CN"/>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照片2张</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上述柴油车尾气处理液已被当事人自行销毁。</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 w:hAnsi="仿宋" w:eastAsia="仿宋" w:cs="仿宋"/>
          <w:sz w:val="32"/>
          <w:szCs w:val="32"/>
          <w:u w:val="none"/>
          <w:lang w:val="en-US" w:eastAsia="zh-CN"/>
        </w:rPr>
        <w:t xml:space="preserve">   </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0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当事人于2023年2月22日签收本局行政处罚告知书，未提出陈述申辩。</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00" w:lineRule="exact"/>
        <w:ind w:firstLine="640" w:firstLineChars="200"/>
        <w:jc w:val="both"/>
        <w:textAlignment w:val="auto"/>
        <w:rPr>
          <w:rFonts w:hint="eastAsia" w:ascii="仿宋_GB2312" w:hAnsi="仿宋_GB2312" w:eastAsia="仿宋_GB2312" w:cs="仿宋_GB2312"/>
          <w:sz w:val="23"/>
          <w:u w:val="none"/>
        </w:rPr>
      </w:pPr>
      <w:r>
        <w:rPr>
          <w:rFonts w:hint="eastAsia" w:ascii="仿宋_GB2312" w:hAnsi="仿宋_GB2312" w:eastAsia="仿宋_GB2312" w:cs="仿宋_GB2312"/>
          <w:sz w:val="32"/>
          <w:szCs w:val="32"/>
          <w:u w:val="none"/>
          <w:lang w:val="en-US" w:eastAsia="zh-CN"/>
        </w:rPr>
        <w:t>本局认为，当事人上述行为违反了《中华人民共和国产品质量法》第十三条第一款“可能危及人体健康和人身、财产安全的工业产品，必须符合保障人体健康和人身、财产安全的国家标准、行业标准；未制定国家标准、行业标准的，必须符合保障人体健康和人身、财产安全的要求”的规定，构成了生产、销售不符合保障人体健康和人身、财产安全的国家标准的柴油车尾气处理液的违法行为。</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0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鉴于，当事人生产、销售的柴油车尾气处理液，不合格指标杂质含量-钠，检验方法GB-29518-2013,标准要求不大于0.5mg/kg,检验结果1.1mg/kg，不合格项目检测数据与标准指标差距在百分之十以上，符合《安徽省市场监督管理行政处罚裁量权基准》第【64】条“3.有下列情形之一的，处货值金额二倍以上三倍以下罚款：（1）不合格项目检测数据与标准指标差距在百分之十以上；”的规定。  </w:t>
      </w:r>
    </w:p>
    <w:p>
      <w:pPr>
        <w:pStyle w:val="2"/>
        <w:keepNext w:val="0"/>
        <w:keepLines w:val="0"/>
        <w:pageBreakBefore w:val="0"/>
        <w:widowControl w:val="0"/>
        <w:tabs>
          <w:tab w:val="left" w:pos="8395"/>
        </w:tabs>
        <w:kinsoku/>
        <w:wordWrap/>
        <w:overflowPunct/>
        <w:topLinePunct w:val="0"/>
        <w:autoSpaceDE w:val="0"/>
        <w:autoSpaceDN w:val="0"/>
        <w:bidi w:val="0"/>
        <w:adjustRightInd w:val="0"/>
        <w:snapToGrid/>
        <w:spacing w:line="500" w:lineRule="exact"/>
        <w:ind w:firstLine="640" w:firstLineChars="200"/>
        <w:jc w:val="both"/>
        <w:textAlignment w:val="auto"/>
        <w:rPr>
          <w:rFonts w:hint="eastAsia" w:ascii="仿宋_GB2312" w:hAnsi="仿宋_GB2312" w:eastAsia="仿宋_GB2312" w:cs="仿宋_GB2312"/>
          <w:bCs/>
          <w:color w:val="000000"/>
          <w:sz w:val="32"/>
          <w:szCs w:val="32"/>
          <w:u w:val="none"/>
          <w:lang w:val="en-US" w:eastAsia="zh-CN"/>
        </w:rPr>
      </w:pPr>
      <w:r>
        <w:rPr>
          <w:rFonts w:hint="eastAsia" w:ascii="仿宋_GB2312" w:hAnsi="仿宋_GB2312" w:eastAsia="仿宋_GB2312" w:cs="仿宋_GB2312"/>
          <w:bCs/>
          <w:color w:val="000000"/>
          <w:sz w:val="32"/>
          <w:szCs w:val="32"/>
          <w:u w:val="none"/>
          <w:lang w:val="en-US" w:eastAsia="zh-CN"/>
        </w:rPr>
        <w:t xml:space="preserve">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本局责令当事人停止生产、销售不符合保障人体健康和人身、财产安全的国家标准的柴油车尾气处理液，决定给予当事人以下行政处罚：1.没收违法所得48.4元；2.处罚款2000元。    </w:t>
      </w:r>
    </w:p>
    <w:p>
      <w:pPr>
        <w:pStyle w:val="2"/>
        <w:keepNext w:val="0"/>
        <w:keepLines w:val="0"/>
        <w:pageBreakBefore w:val="0"/>
        <w:widowControl w:val="0"/>
        <w:tabs>
          <w:tab w:val="left" w:pos="8395"/>
        </w:tabs>
        <w:kinsoku/>
        <w:wordWrap/>
        <w:overflowPunct/>
        <w:topLinePunct w:val="0"/>
        <w:autoSpaceDE w:val="0"/>
        <w:autoSpaceDN w:val="0"/>
        <w:bidi w:val="0"/>
        <w:adjustRightInd w:val="0"/>
        <w:snapToGrid/>
        <w:spacing w:line="500" w:lineRule="exact"/>
        <w:ind w:firstLine="640" w:firstLineChars="200"/>
        <w:jc w:val="both"/>
        <w:textAlignment w:val="auto"/>
        <w:rPr>
          <w:rFonts w:hint="eastAsia" w:ascii="仿宋_GB2312" w:hAnsi="仿宋_GB2312" w:eastAsia="仿宋_GB2312" w:cs="仿宋_GB2312"/>
          <w:bCs/>
          <w:color w:val="000000"/>
          <w:sz w:val="32"/>
          <w:szCs w:val="32"/>
          <w:u w:val="none"/>
          <w:lang w:val="en-US" w:eastAsia="zh-CN"/>
        </w:rPr>
      </w:pPr>
      <w:r>
        <w:rPr>
          <w:rFonts w:hint="eastAsia" w:ascii="仿宋_GB2312" w:hAnsi="仿宋_GB2312" w:eastAsia="仿宋_GB2312" w:cs="仿宋_GB2312"/>
          <w:bCs/>
          <w:color w:val="000000"/>
          <w:sz w:val="32"/>
          <w:szCs w:val="32"/>
          <w:u w:val="none"/>
          <w:lang w:val="en-US" w:eastAsia="zh-CN"/>
        </w:rPr>
        <w:t xml:space="preserve">当事人应当自收到本行政处罚决定书之日起十五日内，依照《安徽省统一公共支付平台缴款通知单》要求，及时缴纳罚没款。到期不缴纳罚没款的，将依据《中华人民共和国行政处罚法》第五十一条第（一）项之规定，本局将每日按罚款数额的百分之三加处罚款，并将依法申请人民法院强制执行。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00" w:lineRule="exact"/>
        <w:ind w:firstLine="640" w:firstLineChars="200"/>
        <w:jc w:val="both"/>
        <w:textAlignment w:val="auto"/>
        <w:rPr>
          <w:rFonts w:hint="eastAsia" w:ascii="仿宋" w:hAnsi="仿宋" w:eastAsia="仿宋" w:cs="仿宋"/>
          <w:bCs/>
          <w:color w:val="000000"/>
          <w:sz w:val="32"/>
          <w:szCs w:val="32"/>
          <w:u w:val="none"/>
          <w:lang w:val="en-US" w:eastAsia="zh-CN"/>
        </w:rPr>
      </w:pPr>
      <w:r>
        <w:rPr>
          <w:rFonts w:hint="eastAsia" w:ascii="仿宋_GB2312" w:hAnsi="仿宋_GB2312" w:eastAsia="仿宋_GB2312" w:cs="仿宋_GB2312"/>
          <w:bCs/>
          <w:color w:val="000000"/>
          <w:sz w:val="32"/>
          <w:szCs w:val="32"/>
          <w:u w:val="none"/>
          <w:lang w:val="en-US" w:eastAsia="zh-CN"/>
        </w:rPr>
        <w:t>如你（单位）不服本处罚决定，可在收到本处罚决定书之日起六十日内向淮南市人民政府申请行政复议，也可于六个月内依法向淮南市田家庵区人民法院提起行政诉讼。申请行政复议或者提起行政诉讼期间，行政处罚不停止执行</w:t>
      </w:r>
    </w:p>
    <w:p>
      <w:pPr>
        <w:pStyle w:val="2"/>
        <w:tabs>
          <w:tab w:val="left" w:pos="9060"/>
        </w:tabs>
        <w:spacing w:line="520" w:lineRule="exact"/>
        <w:rPr>
          <w:rFonts w:hint="eastAsia" w:ascii="仿宋" w:hAnsi="仿宋" w:eastAsia="仿宋" w:cs="仿宋"/>
          <w:bCs/>
          <w:color w:val="000000"/>
          <w:sz w:val="32"/>
          <w:szCs w:val="32"/>
          <w:u w:val="none"/>
          <w:lang w:val="en-US" w:eastAsia="zh-CN"/>
        </w:rPr>
      </w:pPr>
    </w:p>
    <w:p>
      <w:pPr>
        <w:spacing w:line="560" w:lineRule="exact"/>
        <w:ind w:right="640" w:firstLine="601"/>
        <w:jc w:val="right"/>
        <w:rPr>
          <w:rFonts w:hint="eastAsia" w:ascii="Times New Roman" w:hAnsi="Times New Roman" w:eastAsia="仿宋_GB2312" w:cs="仿宋"/>
          <w:color w:val="000000"/>
          <w:sz w:val="32"/>
          <w:szCs w:val="32"/>
          <w:u w:val="none"/>
        </w:rPr>
      </w:pPr>
      <w:r>
        <w:rPr>
          <w:rFonts w:hint="eastAsia" w:ascii="Times New Roman" w:hAnsi="Times New Roman" w:eastAsia="仿宋_GB2312" w:cs="仿宋_GB2312"/>
          <w:color w:val="000000"/>
          <w:sz w:val="32"/>
          <w:szCs w:val="32"/>
          <w:u w:val="none"/>
        </w:rPr>
        <w:t xml:space="preserve">                   </w:t>
      </w:r>
      <w:r>
        <w:rPr>
          <w:rFonts w:hint="eastAsia" w:ascii="Times New Roman" w:hAnsi="Times New Roman" w:eastAsia="仿宋_GB2312" w:cs="仿宋"/>
          <w:color w:val="000000"/>
          <w:sz w:val="32"/>
          <w:szCs w:val="32"/>
          <w:u w:val="none"/>
          <w:lang w:eastAsia="zh-CN"/>
        </w:rPr>
        <w:t>淮南市</w:t>
      </w:r>
      <w:r>
        <w:rPr>
          <w:rFonts w:hint="eastAsia" w:ascii="Times New Roman" w:hAnsi="Times New Roman" w:eastAsia="仿宋_GB2312" w:cs="仿宋"/>
          <w:color w:val="000000"/>
          <w:sz w:val="32"/>
          <w:szCs w:val="32"/>
          <w:u w:val="none"/>
        </w:rPr>
        <w:t xml:space="preserve">市场监督管理局    </w:t>
      </w:r>
    </w:p>
    <w:p>
      <w:pPr>
        <w:spacing w:line="560" w:lineRule="exact"/>
        <w:ind w:right="640" w:firstLine="601"/>
        <w:jc w:val="right"/>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60" w:lineRule="exact"/>
        <w:ind w:right="1280" w:firstLine="600"/>
        <w:jc w:val="right"/>
        <w:rPr>
          <w:rFonts w:hint="eastAsia" w:ascii="Times New Roman" w:hAnsi="Times New Roman" w:eastAsia="仿宋_GB2312" w:cs="Mongolian Baiti"/>
          <w:color w:val="000000"/>
          <w:sz w:val="32"/>
          <w:szCs w:val="32"/>
          <w:u w:val="none"/>
        </w:rPr>
      </w:pPr>
      <w:r>
        <w:rPr>
          <w:rFonts w:hint="eastAsia" w:ascii="仿宋_GB2312" w:hAnsi="Times New Roman" w:eastAsia="仿宋_GB2312" w:cs="仿宋"/>
          <w:color w:val="000000"/>
          <w:sz w:val="32"/>
          <w:szCs w:val="32"/>
          <w:u w:val="none"/>
          <w:lang w:val="en-US" w:eastAsia="zh-CN"/>
        </w:rPr>
        <w:t>2023</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3</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6</w:t>
      </w:r>
      <w:r>
        <w:rPr>
          <w:rFonts w:hint="eastAsia" w:ascii="仿宋_GB2312" w:hAnsi="Times New Roman" w:eastAsia="仿宋_GB2312" w:cs="仿宋"/>
          <w:color w:val="000000"/>
          <w:sz w:val="32"/>
          <w:szCs w:val="32"/>
          <w:u w:val="none"/>
        </w:rPr>
        <w:t xml:space="preserve">日   </w:t>
      </w:r>
    </w:p>
    <w:p>
      <w:pPr>
        <w:pStyle w:val="2"/>
        <w:spacing w:before="1" w:beforeLines="0"/>
        <w:ind w:left="163"/>
        <w:rPr>
          <w:rFonts w:hint="eastAsia" w:ascii="Times New Roman" w:hAnsi="Times New Roman" w:eastAsia="仿宋_GB2312" w:cs="仿宋"/>
          <w:bCs/>
          <w:color w:val="000000"/>
          <w:sz w:val="44"/>
          <w:szCs w:val="44"/>
          <w:u w:val="none"/>
        </w:rPr>
      </w:pPr>
      <w:r>
        <w:rPr>
          <w:rFonts w:hint="eastAsia" w:ascii="黑体" w:hAnsi="黑体" w:eastAsia="黑体"/>
          <w:color w:val="231F20"/>
          <w:spacing w:val="-16"/>
          <w:u w:val="none"/>
        </w:rPr>
        <w:t>（市场监督管理部门将依法向社会公开行政处罚决定信息）</w:t>
      </w:r>
    </w:p>
    <w:p>
      <w:pPr>
        <w:spacing w:line="500" w:lineRule="exact"/>
        <w:rPr>
          <w:u w:val="none"/>
        </w:rPr>
      </w:pPr>
      <w:r>
        <w:rPr>
          <w:rFonts w:ascii="Times New Roman" w:hAnsi="Times New Roman" w:eastAsia="仿宋_GB2312"/>
          <w:sz w:val="32"/>
          <w:u w:val="none"/>
        </w:rPr>
        <mc:AlternateContent>
          <mc:Choice Requires="wps">
            <w:drawing>
              <wp:anchor distT="0" distB="0" distL="114300" distR="114300" simplePos="0" relativeHeight="251705344" behindDoc="0" locked="0" layoutInCell="1" allowOverlap="1">
                <wp:simplePos x="0" y="0"/>
                <wp:positionH relativeFrom="column">
                  <wp:align>center</wp:align>
                </wp:positionH>
                <wp:positionV relativeFrom="paragraph">
                  <wp:posOffset>-2540</wp:posOffset>
                </wp:positionV>
                <wp:extent cx="5550535" cy="635"/>
                <wp:effectExtent l="0" t="7620" r="12065" b="10795"/>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0.2pt;height:0.05pt;width:437.05pt;mso-position-horizontal:center;z-index:251705344;mso-width-relative:page;mso-height-relative:page;" filled="f" stroked="t"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qdBoa1AAAAAQBAAAPAAAAAAAAAAEAIAAAADgAAABkcnMvZG93bnJldi54bWxQSwECFAAUAAAA&#10;CACHTuJA372hYtwBAACcAwAADgAAAAAAAAABACAAAAA5AQAAZHJzL2Uyb0RvYy54bWxQSwUGAAAA&#10;AAYABgBZAQAAhwU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638.35pt;height:0.1pt;width:453.75pt;z-index:251704320;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zkdcAAAAKAQAADwAAAAAAAAABACAAAAA4AAAAZHJzL2Rvd25yZXYueG1sUEsB&#10;AhQAFAAAAAgAh07iQCWw0OLgAQAAmgMAAA4AAAAAAAAAAQAgAAAAPAEAAGRycy9lMm9Eb2MueG1s&#10;UEsFBgAAAAAGAAYAWQEAAI4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两</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36ECA"/>
    <w:rsid w:val="1F5A8AE4"/>
    <w:rsid w:val="3F7FE6D8"/>
    <w:rsid w:val="3F8F0DBF"/>
    <w:rsid w:val="3FFA4AC1"/>
    <w:rsid w:val="4955A2DD"/>
    <w:rsid w:val="4FFF6D40"/>
    <w:rsid w:val="5DFBDCA5"/>
    <w:rsid w:val="5FF7E164"/>
    <w:rsid w:val="61FF6459"/>
    <w:rsid w:val="6798233D"/>
    <w:rsid w:val="69E62C33"/>
    <w:rsid w:val="69FA90B0"/>
    <w:rsid w:val="6F87CE8E"/>
    <w:rsid w:val="6FCB5856"/>
    <w:rsid w:val="7614B874"/>
    <w:rsid w:val="77AF3DB2"/>
    <w:rsid w:val="77DD8515"/>
    <w:rsid w:val="77DE92AF"/>
    <w:rsid w:val="77EED122"/>
    <w:rsid w:val="7B7D52AE"/>
    <w:rsid w:val="7BBFE565"/>
    <w:rsid w:val="7C5F51E5"/>
    <w:rsid w:val="7C7B9D97"/>
    <w:rsid w:val="7D765464"/>
    <w:rsid w:val="7DA73296"/>
    <w:rsid w:val="7DBFDE70"/>
    <w:rsid w:val="7E6FAEDA"/>
    <w:rsid w:val="7E7D313B"/>
    <w:rsid w:val="7EFF2251"/>
    <w:rsid w:val="7F7D81D8"/>
    <w:rsid w:val="7FE79D52"/>
    <w:rsid w:val="7FEE2E74"/>
    <w:rsid w:val="7FEF99F9"/>
    <w:rsid w:val="7FF7C6F2"/>
    <w:rsid w:val="7FFFBC42"/>
    <w:rsid w:val="AEFD497F"/>
    <w:rsid w:val="AFFB8172"/>
    <w:rsid w:val="AFFF8C98"/>
    <w:rsid w:val="BABF542F"/>
    <w:rsid w:val="BB7727BB"/>
    <w:rsid w:val="BDBD0BAB"/>
    <w:rsid w:val="C3E3D159"/>
    <w:rsid w:val="CC5FB803"/>
    <w:rsid w:val="CFF68D0F"/>
    <w:rsid w:val="D16FBEA2"/>
    <w:rsid w:val="DBD7BF76"/>
    <w:rsid w:val="DE9F21E1"/>
    <w:rsid w:val="DFB79F1E"/>
    <w:rsid w:val="DFFC864B"/>
    <w:rsid w:val="E3FEE7FC"/>
    <w:rsid w:val="E9EF81C6"/>
    <w:rsid w:val="EBF7A2CF"/>
    <w:rsid w:val="EC3E173C"/>
    <w:rsid w:val="EE7FB36C"/>
    <w:rsid w:val="EF16F938"/>
    <w:rsid w:val="EF571175"/>
    <w:rsid w:val="EFF95B7C"/>
    <w:rsid w:val="F2FDB98A"/>
    <w:rsid w:val="F6F78733"/>
    <w:rsid w:val="F77F2BF3"/>
    <w:rsid w:val="F7DB7A68"/>
    <w:rsid w:val="F7F7C0E1"/>
    <w:rsid w:val="F9EF2559"/>
    <w:rsid w:val="FBAFD070"/>
    <w:rsid w:val="FDF3126E"/>
    <w:rsid w:val="FDFE0166"/>
    <w:rsid w:val="FE7F41CB"/>
    <w:rsid w:val="FEE7D548"/>
    <w:rsid w:val="FEE95FB3"/>
    <w:rsid w:val="FEF69CDD"/>
    <w:rsid w:val="FF6C1EE1"/>
    <w:rsid w:val="FFA9EA8C"/>
    <w:rsid w:val="FFBA7688"/>
    <w:rsid w:val="FFE532E3"/>
    <w:rsid w:val="FFFD7776"/>
    <w:rsid w:val="FFFFC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2021-08-02T21:03:00Z</dcterms:created>
  <dc:creator>lenovo</dc:creator>
  <cp:lastModifiedBy>uos</cp:lastModifiedBy>
  <cp:lastPrinted>2023-03-04T09:40:00Z</cp:lastPrinted>
  <dcterms:modified xsi:type="dcterms:W3CDTF">2023-03-07T10:04:50Z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