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6</w:t>
            </w:r>
            <w:r>
              <w:rPr>
                <w:rFonts w:hint="eastAsia" w:ascii="黑体" w:hAnsi="黑体" w:eastAsia="黑体"/>
                <w:sz w:val="21"/>
                <w:szCs w:val="21"/>
                <w:lang w:val="en-US" w:eastAsia="zh-CN"/>
              </w:rPr>
              <w:t>5.150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B</w:t>
            </w:r>
            <w:r>
              <w:rPr>
                <w:rFonts w:hint="eastAsia" w:ascii="黑体" w:hAnsi="黑体" w:eastAsia="黑体"/>
                <w:sz w:val="21"/>
                <w:szCs w:val="21"/>
                <w:lang w:val="en-US" w:eastAsia="zh-CN"/>
              </w:rPr>
              <w:t>52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3404</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淮南市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3404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瓦氏黄颡鱼商品鱼养殖技术规程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lang w:eastAsia="zh-CN"/>
        </w:rPr>
        <w:t>T</w:t>
      </w:r>
      <w:r>
        <w:rPr>
          <w:rFonts w:hint="eastAsia" w:ascii="黑体" w:hAnsi="黑体" w:eastAsia="黑体"/>
          <w:szCs w:val="28"/>
          <w:lang w:val="en-US" w:eastAsia="zh-CN"/>
        </w:rPr>
        <w:t>echnical specification for marketable fish culture of darkbarbel catfish</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w:t>
      </w:r>
      <w:r>
        <w:rPr>
          <w:rFonts w:hint="eastAsia"/>
          <w:sz w:val="21"/>
          <w:szCs w:val="28"/>
          <w:lang w:val="en-US" w:eastAsia="zh-CN"/>
        </w:rPr>
        <w:t>4</w:t>
      </w:r>
      <w:r>
        <w:rPr>
          <w:rFonts w:hint="eastAsia"/>
          <w:sz w:val="21"/>
          <w:szCs w:val="28"/>
        </w:rPr>
        <w:t>年</w:t>
      </w:r>
      <w:r>
        <w:rPr>
          <w:rFonts w:hint="eastAsia"/>
          <w:sz w:val="21"/>
          <w:szCs w:val="28"/>
          <w:lang w:val="en-US" w:eastAsia="zh-CN"/>
        </w:rPr>
        <w:t>1</w:t>
      </w:r>
      <w:r>
        <w:rPr>
          <w:rFonts w:hint="eastAsia"/>
          <w:sz w:val="21"/>
          <w:szCs w:val="28"/>
        </w:rPr>
        <w:t>月）</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淮南市市场监督管理局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"_Toc132106093" </w:instrText>
      </w:r>
      <w:r>
        <w:fldChar w:fldCharType="separate"/>
      </w:r>
      <w:r>
        <w:rPr>
          <w:rStyle w:val="32"/>
          <w:rFonts w:hint="eastAsia"/>
          <w:spacing w:val="320"/>
        </w:rPr>
        <w:t>前</w:t>
      </w:r>
      <w:r>
        <w:rPr>
          <w:rStyle w:val="32"/>
          <w:rFonts w:hint="eastAsia"/>
        </w:rPr>
        <w:t>言</w:t>
      </w:r>
      <w:r>
        <w:tab/>
      </w:r>
      <w:r>
        <w:fldChar w:fldCharType="begin"/>
      </w:r>
      <w:r>
        <w:instrText xml:space="preserve"> PAGEREF _Toc132106093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"_Toc132106094" </w:instrText>
      </w:r>
      <w:r>
        <w:fldChar w:fldCharType="separate"/>
      </w:r>
      <w:r>
        <w:rPr>
          <w:rStyle w:val="32"/>
        </w:rPr>
        <w:t>1</w:t>
      </w:r>
      <w:r>
        <w:rPr>
          <w:rStyle w:val="32"/>
          <w:rFonts w:hint="eastAsia"/>
        </w:rPr>
        <w:t xml:space="preserve"> 范围</w:t>
      </w:r>
      <w:r>
        <w:tab/>
      </w:r>
      <w:r>
        <w:rPr>
          <w:rFonts w:hint="eastAsia"/>
          <w:lang w:val="en-US" w:eastAsia="zh-CN"/>
        </w:rPr>
        <w:t>3</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"_Toc132106095" </w:instrText>
      </w:r>
      <w:r>
        <w:fldChar w:fldCharType="separate"/>
      </w:r>
      <w:r>
        <w:rPr>
          <w:rStyle w:val="32"/>
        </w:rPr>
        <w:t>2</w:t>
      </w:r>
      <w:r>
        <w:rPr>
          <w:rStyle w:val="32"/>
          <w:rFonts w:hint="eastAsia"/>
        </w:rPr>
        <w:t xml:space="preserve"> 规范性引用文件</w:t>
      </w:r>
      <w:r>
        <w:tab/>
      </w:r>
      <w:r>
        <w:rPr>
          <w:rFonts w:hint="eastAsia"/>
          <w:lang w:val="en-US" w:eastAsia="zh-CN"/>
        </w:rPr>
        <w:t>3</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"_Toc132106096" </w:instrText>
      </w:r>
      <w:r>
        <w:fldChar w:fldCharType="separate"/>
      </w:r>
      <w:r>
        <w:rPr>
          <w:rStyle w:val="32"/>
        </w:rPr>
        <w:t>3</w:t>
      </w:r>
      <w:r>
        <w:rPr>
          <w:rStyle w:val="32"/>
          <w:rFonts w:hint="eastAsia"/>
        </w:rPr>
        <w:t xml:space="preserve"> </w:t>
      </w:r>
      <w:r>
        <w:rPr>
          <w:rStyle w:val="32"/>
          <w:rFonts w:hint="eastAsia"/>
          <w:lang w:val="en-US" w:eastAsia="zh-CN"/>
        </w:rPr>
        <w:t>环境条件</w:t>
      </w:r>
      <w:r>
        <w:tab/>
      </w:r>
      <w:r>
        <w:rPr>
          <w:rFonts w:hint="eastAsia"/>
          <w:lang w:val="en-US" w:eastAsia="zh-CN"/>
        </w:rPr>
        <w:t>3</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"_Toc132106097" </w:instrText>
      </w:r>
      <w:r>
        <w:fldChar w:fldCharType="separate"/>
      </w:r>
      <w:r>
        <w:rPr>
          <w:rStyle w:val="32"/>
        </w:rPr>
        <w:t>4</w:t>
      </w:r>
      <w:r>
        <w:rPr>
          <w:rStyle w:val="32"/>
          <w:rFonts w:hint="eastAsia"/>
        </w:rPr>
        <w:t xml:space="preserve"> </w:t>
      </w:r>
      <w:r>
        <w:rPr>
          <w:rStyle w:val="32"/>
          <w:rFonts w:hint="eastAsia"/>
          <w:lang w:val="en-US" w:eastAsia="zh-CN"/>
        </w:rPr>
        <w:t>放养前准备</w:t>
      </w:r>
      <w:r>
        <w:tab/>
      </w:r>
      <w:r>
        <w:rPr>
          <w:rFonts w:hint="eastAsia"/>
          <w:lang w:val="en-US" w:eastAsia="zh-CN"/>
        </w:rPr>
        <w:t>3</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"_Toc132106102" </w:instrText>
      </w:r>
      <w:r>
        <w:fldChar w:fldCharType="separate"/>
      </w:r>
      <w:r>
        <w:rPr>
          <w:rStyle w:val="32"/>
        </w:rPr>
        <w:t>5</w:t>
      </w:r>
      <w:r>
        <w:rPr>
          <w:rStyle w:val="32"/>
          <w:rFonts w:hint="eastAsia"/>
        </w:rPr>
        <w:t xml:space="preserve"> </w:t>
      </w:r>
      <w:r>
        <w:rPr>
          <w:rStyle w:val="32"/>
          <w:rFonts w:hint="eastAsia"/>
          <w:lang w:val="en-US" w:eastAsia="zh-CN"/>
        </w:rPr>
        <w:t>鱼种放养</w:t>
      </w:r>
      <w:r>
        <w:tab/>
      </w:r>
      <w:r>
        <w:rPr>
          <w:rFonts w:hint="eastAsia"/>
          <w:lang w:val="en-US" w:eastAsia="zh-CN"/>
        </w:rPr>
        <w:t>3</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"_Toc132106105" </w:instrText>
      </w:r>
      <w:r>
        <w:fldChar w:fldCharType="separate"/>
      </w:r>
      <w:r>
        <w:rPr>
          <w:rStyle w:val="32"/>
        </w:rPr>
        <w:t>6</w:t>
      </w:r>
      <w:r>
        <w:rPr>
          <w:rStyle w:val="32"/>
          <w:rFonts w:hint="eastAsia"/>
        </w:rPr>
        <w:t xml:space="preserve"> </w:t>
      </w:r>
      <w:r>
        <w:rPr>
          <w:rStyle w:val="32"/>
          <w:rFonts w:hint="eastAsia"/>
          <w:lang w:val="en-US" w:eastAsia="zh-CN"/>
        </w:rPr>
        <w:t>投饲管理</w:t>
      </w:r>
      <w:r>
        <w:tab/>
      </w:r>
      <w:r>
        <w:rPr>
          <w:rFonts w:hint="eastAsia"/>
          <w:lang w:val="en-US" w:eastAsia="zh-CN"/>
        </w:rPr>
        <w:t>4</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"_Toc132106111" </w:instrText>
      </w:r>
      <w:r>
        <w:fldChar w:fldCharType="separate"/>
      </w:r>
      <w:r>
        <w:rPr>
          <w:rStyle w:val="32"/>
        </w:rPr>
        <w:t>7</w:t>
      </w:r>
      <w:r>
        <w:rPr>
          <w:rStyle w:val="32"/>
          <w:rFonts w:hint="eastAsia"/>
        </w:rPr>
        <w:t xml:space="preserve"> </w:t>
      </w:r>
      <w:r>
        <w:rPr>
          <w:rStyle w:val="32"/>
          <w:rFonts w:hint="eastAsia"/>
          <w:lang w:val="en-US" w:eastAsia="zh-CN"/>
        </w:rPr>
        <w:t>水质调控</w:t>
      </w:r>
      <w:r>
        <w:tab/>
      </w:r>
      <w:r>
        <w:rPr>
          <w:rFonts w:hint="eastAsia"/>
          <w:lang w:val="en-US" w:eastAsia="zh-CN"/>
        </w:rPr>
        <w:t>4</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"_Toc132106113" </w:instrText>
      </w:r>
      <w:r>
        <w:fldChar w:fldCharType="separate"/>
      </w:r>
      <w:r>
        <w:rPr>
          <w:rStyle w:val="32"/>
        </w:rPr>
        <w:t>8</w:t>
      </w:r>
      <w:r>
        <w:rPr>
          <w:rStyle w:val="32"/>
          <w:rFonts w:hint="eastAsia"/>
        </w:rPr>
        <w:t xml:space="preserve"> </w:t>
      </w:r>
      <w:r>
        <w:rPr>
          <w:rStyle w:val="32"/>
          <w:rFonts w:hint="eastAsia"/>
          <w:lang w:val="en-US" w:eastAsia="zh-CN"/>
        </w:rPr>
        <w:t>病害防控</w:t>
      </w:r>
      <w:r>
        <w:tab/>
      </w:r>
      <w:r>
        <w:rPr>
          <w:rFonts w:hint="eastAsia"/>
          <w:lang w:val="en-US" w:eastAsia="zh-CN"/>
        </w:rPr>
        <w:t>5</w:t>
      </w:r>
      <w:r>
        <w:fldChar w:fldCharType="end"/>
      </w:r>
    </w:p>
    <w:p>
      <w:pPr>
        <w:pStyle w:val="24"/>
        <w:rPr>
          <w:rFonts w:asciiTheme="minorHAnsi" w:hAnsiTheme="minorHAnsi" w:eastAsiaTheme="minorEastAsia" w:cstheme="minorBidi"/>
          <w:szCs w:val="22"/>
        </w:rPr>
      </w:pPr>
    </w:p>
    <w:p>
      <w:pPr>
        <w:pStyle w:val="24"/>
        <w:rPr>
          <w:rFonts w:asciiTheme="minorHAnsi" w:hAnsiTheme="minorHAnsi" w:eastAsiaTheme="minorEastAsia" w:cstheme="minorBidi"/>
          <w:szCs w:val="22"/>
        </w:rPr>
      </w:pPr>
    </w:p>
    <w:p>
      <w:pPr>
        <w:pStyle w:val="19"/>
        <w:tabs>
          <w:tab w:val="right" w:leader="dot" w:pos="9344"/>
        </w:tabs>
        <w:rPr>
          <w:rFonts w:asciiTheme="minorHAnsi" w:hAnsiTheme="minorHAnsi" w:eastAsiaTheme="minorEastAsia" w:cstheme="minorBidi"/>
          <w:szCs w:val="22"/>
        </w:rPr>
      </w:pP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2" w:name="_Toc132106093"/>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t>请注意本文件的某些内容可能涉及专利。本文件的发布机构不承担识别专利的责任。</w:t>
      </w:r>
    </w:p>
    <w:p>
      <w:pPr>
        <w:ind w:firstLine="420" w:firstLineChars="200"/>
      </w:pPr>
      <w:r>
        <w:t>本标准由凤台县城北湖渔场提出。</w:t>
      </w:r>
    </w:p>
    <w:p>
      <w:pPr>
        <w:ind w:firstLine="420" w:firstLineChars="200"/>
      </w:pPr>
      <w:r>
        <w:t>本标准由淮南市农业农村局归口。</w:t>
      </w:r>
    </w:p>
    <w:p>
      <w:pPr>
        <w:ind w:firstLine="420" w:firstLineChars="200"/>
      </w:pPr>
      <w:r>
        <w:t>本标准主要起草单位：凤台县城北湖渔场、</w:t>
      </w:r>
      <w:r>
        <w:rPr>
          <w:rFonts w:hint="eastAsia"/>
        </w:rPr>
        <w:t>安徽省农业科学院水产研究所、淮南市水产技术推广站、凤台县水产技术推广中心、淮南市窑河创新渔业有限公司</w:t>
      </w:r>
    </w:p>
    <w:p>
      <w:pPr>
        <w:pStyle w:val="56"/>
        <w:ind w:firstLine="420"/>
      </w:pPr>
      <w:r>
        <w:t>本标准主要起草人：周华兴、段国庆、</w:t>
      </w:r>
      <w:r>
        <w:rPr>
          <w:rFonts w:hint="eastAsia"/>
          <w:lang w:val="en-US" w:eastAsia="zh-CN"/>
        </w:rPr>
        <w:t>汪焕、</w:t>
      </w:r>
      <w:r>
        <w:t>张青海、</w:t>
      </w:r>
      <w:r>
        <w:rPr>
          <w:rFonts w:hint="eastAsia"/>
        </w:rPr>
        <w:t>刘义霞、</w:t>
      </w:r>
      <w:r>
        <w:t>胡玉婷、潘庭双、凌俊、江河、朱瀚青、刁迎珠、程忠、</w:t>
      </w:r>
      <w:r>
        <w:rPr>
          <w:rFonts w:hint="eastAsia"/>
        </w:rPr>
        <w:t>郁述英</w:t>
      </w:r>
      <w:r>
        <w:rPr>
          <w:rFonts w:hint="eastAsia"/>
          <w:lang w:eastAsia="zh-CN"/>
        </w:rPr>
        <w:t>、</w:t>
      </w:r>
      <w:r>
        <w:t>杨敏、李彤。</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D7564F84CD38442BB31DA126D03AE425"/>
        </w:placeholder>
      </w:sdtPr>
      <w:sdtContent>
        <w:p>
          <w:pPr>
            <w:pStyle w:val="177"/>
            <w:spacing w:before="3" w:beforeLines="1" w:after="686" w:afterLines="220"/>
          </w:pPr>
          <w:bookmarkStart w:id="25" w:name="NEW_STAND_NAME"/>
          <w:r>
            <w:rPr>
              <w:rFonts w:hint="eastAsia"/>
              <w:lang w:val="en-US" w:eastAsia="zh-CN"/>
            </w:rPr>
            <w:t>瓦氏黄颡鱼商品鱼养殖技术规程</w:t>
          </w:r>
        </w:p>
      </w:sdtContent>
    </w:sdt>
    <w:bookmarkEnd w:id="25"/>
    <w:p>
      <w:pPr>
        <w:pStyle w:val="104"/>
        <w:spacing w:before="312" w:after="312"/>
      </w:pPr>
      <w:bookmarkStart w:id="26" w:name="_Toc17233333"/>
      <w:bookmarkStart w:id="27" w:name="_Toc26648465"/>
      <w:bookmarkStart w:id="28" w:name="_Toc26986771"/>
      <w:bookmarkStart w:id="29" w:name="_Toc17233325"/>
      <w:bookmarkStart w:id="30" w:name="_Toc97191423"/>
      <w:bookmarkStart w:id="31" w:name="_Toc26986530"/>
      <w:bookmarkStart w:id="32" w:name="_Toc24884211"/>
      <w:bookmarkStart w:id="33" w:name="_Toc26718930"/>
      <w:bookmarkStart w:id="34" w:name="_Toc132106094"/>
      <w:bookmarkStart w:id="35" w:name="_Toc24884218"/>
      <w:r>
        <w:rPr>
          <w:rFonts w:hint="eastAsia"/>
        </w:rPr>
        <w:t>范围</w:t>
      </w:r>
      <w:bookmarkEnd w:id="26"/>
      <w:bookmarkEnd w:id="27"/>
      <w:bookmarkEnd w:id="28"/>
      <w:bookmarkEnd w:id="29"/>
      <w:bookmarkEnd w:id="30"/>
      <w:bookmarkEnd w:id="31"/>
      <w:bookmarkEnd w:id="32"/>
      <w:bookmarkEnd w:id="33"/>
      <w:bookmarkEnd w:id="34"/>
      <w:bookmarkEnd w:id="35"/>
    </w:p>
    <w:p>
      <w:pPr>
        <w:pStyle w:val="56"/>
        <w:ind w:firstLine="420"/>
        <w:rPr>
          <w:rFonts w:hint="eastAsia"/>
        </w:rPr>
      </w:pPr>
      <w:bookmarkStart w:id="36" w:name="_Toc17233334"/>
      <w:bookmarkStart w:id="37" w:name="_Toc24884212"/>
      <w:bookmarkStart w:id="38" w:name="_Toc24884219"/>
      <w:bookmarkStart w:id="39" w:name="_Toc26648466"/>
      <w:bookmarkStart w:id="40" w:name="_Toc17233326"/>
      <w:r>
        <w:rPr>
          <w:rFonts w:hint="eastAsia"/>
        </w:rPr>
        <w:t>本标准规定了瓦氏黄颡鱼（Pelteobagrus vachelli）商品鱼养殖过程中的环境条件、放养前准备、鱼种放养、投饲管理、水质调控、病害防控等环节。</w:t>
      </w:r>
    </w:p>
    <w:p>
      <w:pPr>
        <w:pStyle w:val="56"/>
        <w:ind w:firstLine="420"/>
      </w:pPr>
      <w:r>
        <w:rPr>
          <w:rFonts w:hint="eastAsia"/>
        </w:rPr>
        <w:t>本标准适用于淮南市瓦氏黄颡鱼商品鱼池塘养殖。</w:t>
      </w:r>
    </w:p>
    <w:p>
      <w:pPr>
        <w:pStyle w:val="104"/>
        <w:spacing w:before="312" w:after="312"/>
      </w:pPr>
      <w:bookmarkStart w:id="41" w:name="_Toc26986772"/>
      <w:bookmarkStart w:id="42" w:name="_Toc26986531"/>
      <w:bookmarkStart w:id="43" w:name="_Toc132106095"/>
      <w:bookmarkStart w:id="44" w:name="_Toc97191424"/>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345843A83C9344799B9D6CC838F3BD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rPr>
      </w:pPr>
      <w:r>
        <w:rPr>
          <w:rFonts w:hint="eastAsia"/>
        </w:rPr>
        <w:t>GB 11607 渔业水质标准</w:t>
      </w:r>
    </w:p>
    <w:p>
      <w:pPr>
        <w:pStyle w:val="56"/>
        <w:ind w:firstLine="420"/>
        <w:rPr>
          <w:rFonts w:hint="eastAsia"/>
        </w:rPr>
      </w:pPr>
      <w:r>
        <w:rPr>
          <w:rFonts w:hint="eastAsia"/>
        </w:rPr>
        <w:t>NY 5071 无公害食品渔用药物使用准则</w:t>
      </w:r>
    </w:p>
    <w:p>
      <w:pPr>
        <w:pStyle w:val="56"/>
        <w:ind w:firstLine="420"/>
        <w:rPr>
          <w:rFonts w:hint="eastAsia"/>
        </w:rPr>
      </w:pPr>
      <w:r>
        <w:rPr>
          <w:rFonts w:hint="eastAsia"/>
        </w:rPr>
        <w:t>NY 5072 无公害食品渔用配合饲料安全限量</w:t>
      </w:r>
    </w:p>
    <w:p>
      <w:pPr>
        <w:pStyle w:val="56"/>
        <w:ind w:firstLine="420"/>
        <w:rPr>
          <w:rFonts w:hint="eastAsia"/>
        </w:rPr>
      </w:pPr>
      <w:r>
        <w:rPr>
          <w:rFonts w:hint="eastAsia"/>
        </w:rPr>
        <w:t>NY/T 5361 无公害农产品淡水养殖产地环境条件</w:t>
      </w:r>
    </w:p>
    <w:p>
      <w:pPr>
        <w:pStyle w:val="56"/>
        <w:ind w:firstLine="420"/>
      </w:pPr>
      <w:r>
        <w:rPr>
          <w:rFonts w:hint="eastAsia"/>
        </w:rPr>
        <w:t>SC 1041 瓦氏黄颡鱼</w:t>
      </w:r>
    </w:p>
    <w:p>
      <w:pPr>
        <w:pStyle w:val="104"/>
        <w:spacing w:before="312" w:after="312"/>
      </w:pPr>
      <w:r>
        <w:rPr>
          <w:rFonts w:hint="eastAsia"/>
          <w:szCs w:val="21"/>
        </w:rPr>
        <w:t>环境条件</w:t>
      </w:r>
    </w:p>
    <w:p>
      <w:pPr>
        <w:pStyle w:val="105"/>
        <w:spacing w:before="156" w:after="156"/>
        <w:rPr>
          <w:rFonts w:hint="eastAsia"/>
        </w:rPr>
      </w:pPr>
      <w:r>
        <w:rPr>
          <w:rFonts w:hint="eastAsia"/>
        </w:rPr>
        <w:t>池塘要求</w:t>
      </w:r>
    </w:p>
    <w:p>
      <w:pPr>
        <w:pStyle w:val="56"/>
        <w:rPr>
          <w:rFonts w:hint="eastAsia"/>
        </w:rPr>
      </w:pPr>
      <w:r>
        <w:rPr>
          <w:rFonts w:hint="eastAsia"/>
        </w:rPr>
        <w:t>池塘环境符合NY/T5361规定，以面积8×667m2-10×667m2的方形池塘为宜，塘底平整。</w:t>
      </w:r>
    </w:p>
    <w:p>
      <w:pPr>
        <w:pStyle w:val="105"/>
        <w:spacing w:before="156" w:after="156"/>
        <w:rPr>
          <w:rFonts w:hint="eastAsia"/>
        </w:rPr>
      </w:pPr>
      <w:r>
        <w:rPr>
          <w:rFonts w:hint="eastAsia"/>
        </w:rPr>
        <w:t>水源要求</w:t>
      </w:r>
    </w:p>
    <w:p>
      <w:pPr>
        <w:pStyle w:val="56"/>
      </w:pPr>
      <w:r>
        <w:rPr>
          <w:rFonts w:hint="eastAsia"/>
        </w:rPr>
        <w:t>水源充足、水质清新、进排水方便，养殖用水符合GB11607规定。</w:t>
      </w:r>
    </w:p>
    <w:bookmarkEnd w:id="24"/>
    <w:p>
      <w:pPr>
        <w:pStyle w:val="104"/>
        <w:spacing w:before="312" w:after="312"/>
        <w:rPr>
          <w:rFonts w:ascii="Times New Roman"/>
          <w:szCs w:val="21"/>
        </w:rPr>
      </w:pPr>
      <w:bookmarkStart w:id="46" w:name="BookMark6"/>
      <w:r>
        <w:rPr>
          <w:rFonts w:ascii="Times New Roman"/>
          <w:szCs w:val="21"/>
        </w:rPr>
        <w:t>放养前准备</w:t>
      </w:r>
    </w:p>
    <w:p>
      <w:pPr>
        <w:pStyle w:val="105"/>
        <w:spacing w:before="156" w:after="156"/>
        <w:rPr>
          <w:rFonts w:ascii="Times New Roman"/>
          <w:szCs w:val="21"/>
        </w:rPr>
      </w:pPr>
      <w:r>
        <w:rPr>
          <w:rFonts w:ascii="Times New Roman"/>
          <w:szCs w:val="21"/>
        </w:rPr>
        <w:t>清塘消毒</w:t>
      </w:r>
    </w:p>
    <w:p>
      <w:pPr>
        <w:pStyle w:val="231"/>
        <w:rPr>
          <w:rFonts w:ascii="Times New Roman"/>
        </w:rPr>
      </w:pPr>
      <w:r>
        <w:rPr>
          <w:rFonts w:ascii="Times New Roman"/>
        </w:rPr>
        <w:t>鱼种放养前采用生石灰清塘消毒，保持池塘水深50cm-60cm，每</w:t>
      </w:r>
      <w:r>
        <w:rPr>
          <w:rFonts w:ascii="Times New Roman"/>
          <w:kern w:val="2"/>
          <w:szCs w:val="21"/>
        </w:rPr>
        <w:t>667m</w:t>
      </w:r>
      <w:r>
        <w:rPr>
          <w:rFonts w:ascii="Times New Roman"/>
          <w:kern w:val="2"/>
          <w:szCs w:val="21"/>
          <w:vertAlign w:val="superscript"/>
        </w:rPr>
        <w:t>2</w:t>
      </w:r>
      <w:r>
        <w:rPr>
          <w:rFonts w:ascii="Times New Roman"/>
          <w:kern w:val="2"/>
          <w:szCs w:val="21"/>
        </w:rPr>
        <w:t>池塘使用</w:t>
      </w:r>
      <w:r>
        <w:rPr>
          <w:rFonts w:ascii="Times New Roman"/>
        </w:rPr>
        <w:t>150kg-200kg生石灰化水全池泼洒，7天后加水至1.5m-2.0m。</w:t>
      </w:r>
    </w:p>
    <w:p>
      <w:pPr>
        <w:pStyle w:val="105"/>
        <w:spacing w:before="156" w:after="156"/>
        <w:rPr>
          <w:rFonts w:ascii="Times New Roman"/>
          <w:szCs w:val="21"/>
        </w:rPr>
      </w:pPr>
      <w:r>
        <w:rPr>
          <w:rFonts w:hint="eastAsia" w:hAnsi="Times New Roman" w:cs="Times New Roman"/>
        </w:rPr>
        <w:t>施肥</w:t>
      </w:r>
    </w:p>
    <w:p>
      <w:pPr>
        <w:pStyle w:val="231"/>
        <w:rPr>
          <w:rFonts w:ascii="Times New Roman"/>
        </w:rPr>
      </w:pPr>
      <w:r>
        <w:rPr>
          <w:rFonts w:ascii="Times New Roman"/>
          <w:szCs w:val="21"/>
        </w:rPr>
        <w:t>采用生物渔肥肥水，待池水水色为油青色时，饵料生物丰富适宜放苗。</w:t>
      </w:r>
    </w:p>
    <w:p>
      <w:pPr>
        <w:pStyle w:val="104"/>
        <w:spacing w:before="312" w:after="312"/>
        <w:rPr>
          <w:rFonts w:ascii="Times New Roman"/>
          <w:szCs w:val="21"/>
        </w:rPr>
      </w:pPr>
      <w:r>
        <w:rPr>
          <w:rFonts w:hint="eastAsia" w:ascii="Times New Roman"/>
          <w:szCs w:val="21"/>
          <w:lang w:val="en-US" w:eastAsia="zh-CN"/>
        </w:rPr>
        <w:t>鱼种</w:t>
      </w:r>
      <w:r>
        <w:rPr>
          <w:rFonts w:hint="eastAsia" w:hAnsi="Times New Roman" w:cs="Times New Roman"/>
          <w:szCs w:val="21"/>
        </w:rPr>
        <w:t>放养</w:t>
      </w:r>
    </w:p>
    <w:p>
      <w:pPr>
        <w:pStyle w:val="105"/>
        <w:spacing w:before="156" w:after="156"/>
        <w:rPr>
          <w:rFonts w:ascii="Times New Roman"/>
          <w:szCs w:val="21"/>
        </w:rPr>
      </w:pPr>
      <w:r>
        <w:rPr>
          <w:rFonts w:ascii="Times New Roman"/>
          <w:szCs w:val="21"/>
        </w:rPr>
        <w:t>鱼种来源</w:t>
      </w:r>
    </w:p>
    <w:p>
      <w:pPr>
        <w:pStyle w:val="231"/>
        <w:spacing w:before="156" w:beforeLines="50" w:after="156" w:afterLines="50"/>
        <w:ind w:left="420" w:firstLine="0" w:firstLineChars="0"/>
        <w:rPr>
          <w:rFonts w:ascii="Times New Roman"/>
          <w:szCs w:val="21"/>
        </w:rPr>
      </w:pPr>
      <w:r>
        <w:rPr>
          <w:rFonts w:ascii="Times New Roman"/>
          <w:szCs w:val="21"/>
        </w:rPr>
        <w:t>从具有苗种生产资格的苗种场购买鱼种。</w:t>
      </w:r>
    </w:p>
    <w:p>
      <w:pPr>
        <w:pStyle w:val="105"/>
        <w:spacing w:before="156" w:after="156"/>
        <w:rPr>
          <w:rFonts w:ascii="Times New Roman"/>
          <w:szCs w:val="21"/>
        </w:rPr>
      </w:pPr>
      <w:r>
        <w:rPr>
          <w:rFonts w:ascii="Times New Roman"/>
          <w:szCs w:val="21"/>
        </w:rPr>
        <w:t>鱼种质量</w:t>
      </w:r>
    </w:p>
    <w:p>
      <w:pPr>
        <w:pStyle w:val="231"/>
        <w:rPr>
          <w:rFonts w:ascii="Times New Roman"/>
          <w:szCs w:val="21"/>
        </w:rPr>
      </w:pPr>
      <w:r>
        <w:rPr>
          <w:rFonts w:ascii="Times New Roman"/>
          <w:szCs w:val="21"/>
        </w:rPr>
        <w:t>选择规格整齐、色泽鲜明、活泼有力、检疫合格的瓦氏黄颡鱼鱼种，鱼种平均规格在5cm以上。</w:t>
      </w:r>
    </w:p>
    <w:p>
      <w:pPr>
        <w:pStyle w:val="105"/>
        <w:spacing w:before="156" w:after="156"/>
        <w:rPr>
          <w:rFonts w:ascii="Times New Roman"/>
          <w:szCs w:val="21"/>
        </w:rPr>
      </w:pPr>
      <w:r>
        <w:rPr>
          <w:rFonts w:ascii="Times New Roman"/>
          <w:szCs w:val="21"/>
        </w:rPr>
        <w:t>鱼种消毒</w:t>
      </w:r>
    </w:p>
    <w:p>
      <w:pPr>
        <w:pStyle w:val="231"/>
        <w:rPr>
          <w:rFonts w:ascii="Times New Roman"/>
          <w:szCs w:val="21"/>
        </w:rPr>
      </w:pPr>
      <w:r>
        <w:rPr>
          <w:rFonts w:ascii="Times New Roman"/>
          <w:szCs w:val="21"/>
        </w:rPr>
        <w:t>鱼种放养前采用2.5%-3.0%浓度的食盐水浸泡鱼体，以杀灭寄生在鱼体上的病菌和寄生虫。</w:t>
      </w:r>
    </w:p>
    <w:p>
      <w:pPr>
        <w:pStyle w:val="105"/>
        <w:spacing w:before="156" w:after="156"/>
        <w:rPr>
          <w:rFonts w:ascii="Times New Roman"/>
          <w:szCs w:val="21"/>
        </w:rPr>
      </w:pPr>
      <w:r>
        <w:rPr>
          <w:rFonts w:ascii="Times New Roman"/>
          <w:szCs w:val="21"/>
        </w:rPr>
        <w:t>放养密度</w:t>
      </w:r>
    </w:p>
    <w:p>
      <w:pPr>
        <w:pStyle w:val="231"/>
        <w:rPr>
          <w:rFonts w:ascii="Times New Roman"/>
        </w:rPr>
      </w:pPr>
      <w:r>
        <w:rPr>
          <w:rFonts w:ascii="Times New Roman"/>
        </w:rPr>
        <w:t>每</w:t>
      </w:r>
      <w:r>
        <w:rPr>
          <w:rFonts w:ascii="Times New Roman"/>
          <w:kern w:val="2"/>
          <w:szCs w:val="21"/>
        </w:rPr>
        <w:t>667m</w:t>
      </w:r>
      <w:r>
        <w:rPr>
          <w:rFonts w:ascii="Times New Roman"/>
          <w:kern w:val="2"/>
          <w:szCs w:val="21"/>
          <w:vertAlign w:val="superscript"/>
        </w:rPr>
        <w:t>2</w:t>
      </w:r>
      <w:r>
        <w:rPr>
          <w:rFonts w:ascii="Times New Roman"/>
        </w:rPr>
        <w:t>放养瓦氏黄颡鱼2500尾-4000尾，套养500g/尾-1000g/尾的鲢20尾-30尾、500g/尾-1000g/尾的鳙30尾-40尾。</w:t>
      </w:r>
    </w:p>
    <w:p>
      <w:pPr>
        <w:pStyle w:val="104"/>
        <w:spacing w:before="312" w:after="312"/>
        <w:rPr>
          <w:rFonts w:ascii="Times New Roman"/>
          <w:szCs w:val="21"/>
        </w:rPr>
      </w:pPr>
      <w:r>
        <w:rPr>
          <w:rFonts w:ascii="Times New Roman"/>
          <w:szCs w:val="21"/>
        </w:rPr>
        <w:t>投饲管理</w:t>
      </w:r>
    </w:p>
    <w:p>
      <w:pPr>
        <w:pStyle w:val="105"/>
        <w:spacing w:before="156" w:after="156"/>
        <w:rPr>
          <w:rFonts w:ascii="Times New Roman"/>
          <w:szCs w:val="21"/>
        </w:rPr>
      </w:pPr>
      <w:r>
        <w:rPr>
          <w:rFonts w:ascii="Times New Roman"/>
          <w:szCs w:val="21"/>
        </w:rPr>
        <w:t>饲料选择</w:t>
      </w:r>
    </w:p>
    <w:p>
      <w:pPr>
        <w:pStyle w:val="231"/>
        <w:rPr>
          <w:rFonts w:ascii="Times New Roman"/>
          <w:kern w:val="2"/>
          <w:szCs w:val="21"/>
        </w:rPr>
      </w:pPr>
      <w:r>
        <w:rPr>
          <w:rFonts w:ascii="Times New Roman"/>
        </w:rPr>
        <w:t>养殖全程采用粒径适口的黄颡鱼专用颗粒饲料投饲，粗蛋白质含量40%以上，饲料安全卫生指标符合</w:t>
      </w:r>
      <w:r>
        <w:rPr>
          <w:rFonts w:ascii="Times New Roman"/>
          <w:kern w:val="2"/>
          <w:szCs w:val="21"/>
        </w:rPr>
        <w:t>NY5072的要求。</w:t>
      </w:r>
    </w:p>
    <w:p>
      <w:pPr>
        <w:pStyle w:val="105"/>
        <w:spacing w:before="156" w:after="156"/>
        <w:rPr>
          <w:rFonts w:ascii="Times New Roman"/>
          <w:szCs w:val="21"/>
        </w:rPr>
      </w:pPr>
      <w:r>
        <w:rPr>
          <w:rFonts w:ascii="Times New Roman"/>
          <w:szCs w:val="21"/>
        </w:rPr>
        <w:t>投饲方式</w:t>
      </w:r>
    </w:p>
    <w:p>
      <w:pPr>
        <w:pStyle w:val="231"/>
        <w:rPr>
          <w:rFonts w:ascii="Times New Roman"/>
        </w:rPr>
      </w:pPr>
      <w:r>
        <w:rPr>
          <w:rFonts w:ascii="Times New Roman"/>
        </w:rPr>
        <w:t>设置投饲台定点投喂，上午六时至七时、下午五时至六时各一次。</w:t>
      </w:r>
    </w:p>
    <w:p>
      <w:pPr>
        <w:pStyle w:val="105"/>
        <w:spacing w:before="156" w:after="156"/>
        <w:rPr>
          <w:rFonts w:ascii="Times New Roman"/>
        </w:rPr>
      </w:pPr>
      <w:r>
        <w:rPr>
          <w:rFonts w:ascii="Times New Roman"/>
          <w:szCs w:val="21"/>
        </w:rPr>
        <w:t>日投饲量</w:t>
      </w:r>
    </w:p>
    <w:p>
      <w:pPr>
        <w:pStyle w:val="231"/>
        <w:rPr>
          <w:rFonts w:ascii="Times New Roman"/>
        </w:rPr>
      </w:pPr>
      <w:r>
        <w:rPr>
          <w:rFonts w:ascii="Times New Roman"/>
        </w:rPr>
        <w:t>日投饲量为鱼体重量0.8%-</w:t>
      </w:r>
      <w:r>
        <w:rPr>
          <w:rFonts w:hint="eastAsia" w:ascii="Times New Roman"/>
        </w:rPr>
        <w:t>3.5</w:t>
      </w:r>
      <w:r>
        <w:rPr>
          <w:rFonts w:ascii="Times New Roman"/>
        </w:rPr>
        <w:t>%，见表</w:t>
      </w:r>
      <w:r>
        <w:rPr>
          <w:rFonts w:hint="eastAsia" w:ascii="Times New Roman"/>
          <w:lang w:val="en-US" w:eastAsia="zh-CN"/>
        </w:rPr>
        <w:t>1</w:t>
      </w:r>
      <w:r>
        <w:rPr>
          <w:rFonts w:ascii="Times New Roman"/>
        </w:rPr>
        <w:t>。养殖过程中根据水温和鱼苗吃食情况酌情增减。</w:t>
      </w:r>
    </w:p>
    <w:p>
      <w:pPr>
        <w:pStyle w:val="231"/>
        <w:ind w:firstLine="0" w:firstLineChars="0"/>
        <w:jc w:val="center"/>
        <w:rPr>
          <w:rFonts w:ascii="Times New Roman"/>
        </w:rPr>
      </w:pPr>
      <w:r>
        <w:rPr>
          <w:rFonts w:ascii="Times New Roman"/>
        </w:rPr>
        <w:t>表</w:t>
      </w:r>
      <w:r>
        <w:rPr>
          <w:rFonts w:hint="eastAsia" w:ascii="Times New Roman"/>
          <w:lang w:val="en-US" w:eastAsia="zh-CN"/>
        </w:rPr>
        <w:t>1</w:t>
      </w:r>
      <w:r>
        <w:rPr>
          <w:rFonts w:ascii="Times New Roman"/>
        </w:rPr>
        <w:t>瓦氏黄颡鱼日投饲量</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50"/>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12" w:type="pct"/>
            <w:tcBorders>
              <w:top w:val="single" w:color="auto" w:sz="4" w:space="0"/>
              <w:left w:val="single" w:color="auto" w:sz="4" w:space="0"/>
              <w:bottom w:val="single" w:color="auto" w:sz="4" w:space="0"/>
              <w:right w:val="single" w:color="auto" w:sz="4" w:space="0"/>
            </w:tcBorders>
            <w:vAlign w:val="center"/>
          </w:tcPr>
          <w:p>
            <w:pPr>
              <w:pStyle w:val="231"/>
              <w:ind w:firstLine="0" w:firstLineChars="0"/>
              <w:jc w:val="center"/>
              <w:rPr>
                <w:rFonts w:ascii="Times New Roman"/>
                <w:szCs w:val="18"/>
              </w:rPr>
            </w:pPr>
            <w:r>
              <w:rPr>
                <w:rFonts w:ascii="Times New Roman"/>
                <w:szCs w:val="18"/>
              </w:rPr>
              <w:t>平均水温，℃</w:t>
            </w:r>
          </w:p>
        </w:tc>
        <w:tc>
          <w:tcPr>
            <w:tcW w:w="653" w:type="pct"/>
            <w:tcBorders>
              <w:top w:val="single" w:color="auto" w:sz="4" w:space="0"/>
              <w:left w:val="single" w:color="auto" w:sz="4" w:space="0"/>
              <w:bottom w:val="single" w:color="auto" w:sz="4" w:space="0"/>
              <w:right w:val="single" w:color="auto" w:sz="4" w:space="0"/>
            </w:tcBorders>
            <w:vAlign w:val="center"/>
          </w:tcPr>
          <w:p>
            <w:pPr>
              <w:pStyle w:val="231"/>
              <w:ind w:firstLine="0" w:firstLineChars="0"/>
              <w:jc w:val="center"/>
              <w:rPr>
                <w:rFonts w:ascii="Times New Roman"/>
                <w:szCs w:val="18"/>
              </w:rPr>
            </w:pPr>
            <w:r>
              <w:rPr>
                <w:rFonts w:ascii="Times New Roman"/>
                <w:szCs w:val="18"/>
              </w:rPr>
              <w:t>12-15</w:t>
            </w:r>
          </w:p>
        </w:tc>
        <w:tc>
          <w:tcPr>
            <w:tcW w:w="833" w:type="pct"/>
            <w:tcBorders>
              <w:top w:val="single" w:color="auto" w:sz="4" w:space="0"/>
              <w:left w:val="single" w:color="auto" w:sz="4" w:space="0"/>
              <w:bottom w:val="single" w:color="auto" w:sz="4" w:space="0"/>
              <w:right w:val="single" w:color="auto" w:sz="4" w:space="0"/>
            </w:tcBorders>
            <w:vAlign w:val="center"/>
          </w:tcPr>
          <w:p>
            <w:pPr>
              <w:pStyle w:val="231"/>
              <w:ind w:firstLine="0" w:firstLineChars="0"/>
              <w:jc w:val="center"/>
              <w:rPr>
                <w:rFonts w:ascii="Times New Roman"/>
                <w:szCs w:val="18"/>
              </w:rPr>
            </w:pPr>
            <w:r>
              <w:rPr>
                <w:rFonts w:ascii="Times New Roman"/>
                <w:szCs w:val="18"/>
              </w:rPr>
              <w:t>15-20</w:t>
            </w:r>
          </w:p>
        </w:tc>
        <w:tc>
          <w:tcPr>
            <w:tcW w:w="833" w:type="pct"/>
            <w:tcBorders>
              <w:top w:val="single" w:color="auto" w:sz="4" w:space="0"/>
              <w:left w:val="single" w:color="auto" w:sz="4" w:space="0"/>
              <w:bottom w:val="single" w:color="auto" w:sz="4" w:space="0"/>
              <w:right w:val="single" w:color="auto" w:sz="4" w:space="0"/>
            </w:tcBorders>
            <w:vAlign w:val="center"/>
          </w:tcPr>
          <w:p>
            <w:pPr>
              <w:pStyle w:val="231"/>
              <w:ind w:firstLine="0" w:firstLineChars="0"/>
              <w:jc w:val="center"/>
              <w:rPr>
                <w:rFonts w:ascii="Times New Roman"/>
                <w:szCs w:val="18"/>
              </w:rPr>
            </w:pPr>
            <w:r>
              <w:rPr>
                <w:rFonts w:ascii="Times New Roman"/>
                <w:szCs w:val="18"/>
              </w:rPr>
              <w:t>20-25</w:t>
            </w:r>
          </w:p>
        </w:tc>
        <w:tc>
          <w:tcPr>
            <w:tcW w:w="833" w:type="pct"/>
            <w:tcBorders>
              <w:top w:val="single" w:color="auto" w:sz="4" w:space="0"/>
              <w:left w:val="single" w:color="auto" w:sz="4" w:space="0"/>
              <w:bottom w:val="single" w:color="auto" w:sz="4" w:space="0"/>
              <w:right w:val="single" w:color="auto" w:sz="4" w:space="0"/>
            </w:tcBorders>
            <w:vAlign w:val="center"/>
          </w:tcPr>
          <w:p>
            <w:pPr>
              <w:pStyle w:val="231"/>
              <w:ind w:firstLine="0" w:firstLineChars="0"/>
              <w:jc w:val="center"/>
              <w:rPr>
                <w:rFonts w:ascii="Times New Roman"/>
                <w:szCs w:val="18"/>
              </w:rPr>
            </w:pPr>
            <w:r>
              <w:rPr>
                <w:rFonts w:ascii="Times New Roman"/>
                <w:szCs w:val="18"/>
              </w:rPr>
              <w:t>25-30</w:t>
            </w:r>
          </w:p>
        </w:tc>
        <w:tc>
          <w:tcPr>
            <w:tcW w:w="833" w:type="pct"/>
            <w:tcBorders>
              <w:top w:val="single" w:color="auto" w:sz="4" w:space="0"/>
              <w:left w:val="single" w:color="auto" w:sz="4" w:space="0"/>
              <w:bottom w:val="single" w:color="auto" w:sz="4" w:space="0"/>
              <w:right w:val="single" w:color="auto" w:sz="4" w:space="0"/>
            </w:tcBorders>
            <w:vAlign w:val="center"/>
          </w:tcPr>
          <w:p>
            <w:pPr>
              <w:pStyle w:val="231"/>
              <w:ind w:firstLine="0" w:firstLineChars="0"/>
              <w:jc w:val="center"/>
              <w:rPr>
                <w:rFonts w:ascii="Times New Roman"/>
                <w:szCs w:val="18"/>
              </w:rPr>
            </w:pPr>
            <w:r>
              <w:rPr>
                <w:rFonts w:ascii="Times New Roman"/>
                <w:szCs w:val="18"/>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12" w:type="pct"/>
            <w:tcBorders>
              <w:top w:val="single" w:color="auto" w:sz="4" w:space="0"/>
              <w:left w:val="single" w:color="auto" w:sz="4" w:space="0"/>
              <w:bottom w:val="single" w:color="auto" w:sz="4" w:space="0"/>
              <w:right w:val="single" w:color="auto" w:sz="4" w:space="0"/>
            </w:tcBorders>
            <w:vAlign w:val="center"/>
          </w:tcPr>
          <w:p>
            <w:pPr>
              <w:pStyle w:val="231"/>
              <w:ind w:firstLine="0" w:firstLineChars="0"/>
              <w:jc w:val="center"/>
              <w:rPr>
                <w:rFonts w:ascii="Times New Roman"/>
                <w:szCs w:val="18"/>
              </w:rPr>
            </w:pPr>
            <w:r>
              <w:rPr>
                <w:rFonts w:ascii="Times New Roman"/>
                <w:szCs w:val="18"/>
              </w:rPr>
              <w:t>日投饲量，%</w:t>
            </w:r>
          </w:p>
        </w:tc>
        <w:tc>
          <w:tcPr>
            <w:tcW w:w="653" w:type="pct"/>
            <w:tcBorders>
              <w:top w:val="single" w:color="auto" w:sz="4" w:space="0"/>
              <w:left w:val="single" w:color="auto" w:sz="4" w:space="0"/>
              <w:bottom w:val="single" w:color="auto" w:sz="4" w:space="0"/>
              <w:right w:val="single" w:color="auto" w:sz="4" w:space="0"/>
            </w:tcBorders>
            <w:vAlign w:val="center"/>
          </w:tcPr>
          <w:p>
            <w:pPr>
              <w:pStyle w:val="231"/>
              <w:ind w:firstLine="0" w:firstLineChars="0"/>
              <w:jc w:val="center"/>
              <w:rPr>
                <w:rFonts w:ascii="Times New Roman"/>
                <w:szCs w:val="18"/>
              </w:rPr>
            </w:pPr>
            <w:r>
              <w:rPr>
                <w:rFonts w:ascii="Times New Roman"/>
                <w:szCs w:val="18"/>
              </w:rPr>
              <w:t>0.8-1.0</w:t>
            </w:r>
          </w:p>
        </w:tc>
        <w:tc>
          <w:tcPr>
            <w:tcW w:w="833" w:type="pct"/>
            <w:tcBorders>
              <w:top w:val="single" w:color="auto" w:sz="4" w:space="0"/>
              <w:left w:val="single" w:color="auto" w:sz="4" w:space="0"/>
              <w:bottom w:val="single" w:color="auto" w:sz="4" w:space="0"/>
              <w:right w:val="single" w:color="auto" w:sz="4" w:space="0"/>
            </w:tcBorders>
            <w:vAlign w:val="center"/>
          </w:tcPr>
          <w:p>
            <w:pPr>
              <w:pStyle w:val="231"/>
              <w:ind w:firstLine="0" w:firstLineChars="0"/>
              <w:jc w:val="center"/>
              <w:rPr>
                <w:rFonts w:ascii="Times New Roman"/>
                <w:szCs w:val="18"/>
              </w:rPr>
            </w:pPr>
            <w:r>
              <w:rPr>
                <w:rFonts w:ascii="Times New Roman"/>
                <w:szCs w:val="18"/>
              </w:rPr>
              <w:t>1.5-2.5</w:t>
            </w:r>
          </w:p>
        </w:tc>
        <w:tc>
          <w:tcPr>
            <w:tcW w:w="833" w:type="pct"/>
            <w:tcBorders>
              <w:top w:val="single" w:color="auto" w:sz="4" w:space="0"/>
              <w:left w:val="single" w:color="auto" w:sz="4" w:space="0"/>
              <w:bottom w:val="single" w:color="auto" w:sz="4" w:space="0"/>
              <w:right w:val="single" w:color="auto" w:sz="4" w:space="0"/>
            </w:tcBorders>
            <w:vAlign w:val="center"/>
          </w:tcPr>
          <w:p>
            <w:pPr>
              <w:pStyle w:val="231"/>
              <w:ind w:firstLine="0" w:firstLineChars="0"/>
              <w:jc w:val="center"/>
              <w:rPr>
                <w:rFonts w:ascii="Times New Roman"/>
                <w:szCs w:val="18"/>
              </w:rPr>
            </w:pPr>
            <w:r>
              <w:rPr>
                <w:rFonts w:ascii="Times New Roman"/>
                <w:szCs w:val="18"/>
              </w:rPr>
              <w:t>2.0-3.0</w:t>
            </w:r>
          </w:p>
        </w:tc>
        <w:tc>
          <w:tcPr>
            <w:tcW w:w="833" w:type="pct"/>
            <w:tcBorders>
              <w:top w:val="single" w:color="auto" w:sz="4" w:space="0"/>
              <w:left w:val="single" w:color="auto" w:sz="4" w:space="0"/>
              <w:bottom w:val="single" w:color="auto" w:sz="4" w:space="0"/>
              <w:right w:val="single" w:color="auto" w:sz="4" w:space="0"/>
            </w:tcBorders>
            <w:vAlign w:val="center"/>
          </w:tcPr>
          <w:p>
            <w:pPr>
              <w:pStyle w:val="231"/>
              <w:ind w:firstLine="0" w:firstLineChars="0"/>
              <w:jc w:val="center"/>
              <w:rPr>
                <w:rFonts w:ascii="Times New Roman"/>
                <w:szCs w:val="18"/>
              </w:rPr>
            </w:pPr>
            <w:r>
              <w:rPr>
                <w:rFonts w:ascii="Times New Roman"/>
                <w:szCs w:val="18"/>
              </w:rPr>
              <w:t>2.5-3.5</w:t>
            </w:r>
          </w:p>
        </w:tc>
        <w:tc>
          <w:tcPr>
            <w:tcW w:w="833" w:type="pct"/>
            <w:tcBorders>
              <w:top w:val="single" w:color="auto" w:sz="4" w:space="0"/>
              <w:left w:val="single" w:color="auto" w:sz="4" w:space="0"/>
              <w:bottom w:val="single" w:color="auto" w:sz="4" w:space="0"/>
              <w:right w:val="single" w:color="auto" w:sz="4" w:space="0"/>
            </w:tcBorders>
            <w:vAlign w:val="center"/>
          </w:tcPr>
          <w:p>
            <w:pPr>
              <w:pStyle w:val="231"/>
              <w:ind w:firstLine="0" w:firstLineChars="0"/>
              <w:jc w:val="center"/>
              <w:rPr>
                <w:rFonts w:hint="eastAsia" w:ascii="Times New Roman"/>
                <w:szCs w:val="18"/>
              </w:rPr>
            </w:pPr>
            <w:r>
              <w:rPr>
                <w:rFonts w:hint="eastAsia" w:ascii="Times New Roman"/>
                <w:szCs w:val="18"/>
              </w:rPr>
              <w:t>2.8</w:t>
            </w:r>
            <w:r>
              <w:rPr>
                <w:rFonts w:ascii="Times New Roman"/>
                <w:szCs w:val="18"/>
              </w:rPr>
              <w:t>-</w:t>
            </w:r>
            <w:r>
              <w:rPr>
                <w:rFonts w:hint="eastAsia" w:ascii="Times New Roman"/>
                <w:szCs w:val="18"/>
              </w:rPr>
              <w:t>3</w:t>
            </w:r>
            <w:r>
              <w:rPr>
                <w:rFonts w:ascii="Times New Roman"/>
                <w:szCs w:val="18"/>
              </w:rPr>
              <w:t>.</w:t>
            </w:r>
            <w:r>
              <w:rPr>
                <w:rFonts w:hint="eastAsia" w:ascii="Times New Roman"/>
                <w:szCs w:val="18"/>
              </w:rPr>
              <w:t>3</w:t>
            </w:r>
          </w:p>
        </w:tc>
      </w:tr>
    </w:tbl>
    <w:p>
      <w:pPr>
        <w:pStyle w:val="231"/>
        <w:ind w:firstLine="0" w:firstLineChars="0"/>
        <w:rPr>
          <w:rFonts w:ascii="Times New Roman"/>
        </w:rPr>
      </w:pPr>
    </w:p>
    <w:p>
      <w:pPr>
        <w:pStyle w:val="104"/>
        <w:spacing w:before="312" w:after="312"/>
        <w:rPr>
          <w:rFonts w:ascii="Times New Roman"/>
          <w:szCs w:val="21"/>
        </w:rPr>
      </w:pPr>
      <w:r>
        <w:rPr>
          <w:rFonts w:ascii="Times New Roman"/>
          <w:szCs w:val="21"/>
        </w:rPr>
        <w:t>水质调控</w:t>
      </w:r>
    </w:p>
    <w:p>
      <w:pPr>
        <w:pStyle w:val="105"/>
        <w:spacing w:before="156" w:after="156"/>
        <w:rPr>
          <w:rFonts w:hint="default" w:ascii="Times New Roman"/>
          <w:lang w:val="en-US" w:eastAsia="zh-CN"/>
        </w:rPr>
      </w:pPr>
      <w:r>
        <w:rPr>
          <w:rFonts w:hint="eastAsia" w:ascii="Times New Roman"/>
          <w:lang w:val="en-US" w:eastAsia="zh-CN"/>
        </w:rPr>
        <w:t>定期</w:t>
      </w:r>
      <w:r>
        <w:rPr>
          <w:rFonts w:hint="eastAsia" w:hAnsi="Times New Roman" w:cs="Times New Roman"/>
          <w:lang w:val="en-US" w:eastAsia="zh-CN"/>
        </w:rPr>
        <w:t>检测</w:t>
      </w:r>
    </w:p>
    <w:p>
      <w:pPr>
        <w:pStyle w:val="231"/>
        <w:rPr>
          <w:rFonts w:hint="eastAsia" w:ascii="Times New Roman"/>
          <w:lang w:val="en-US" w:eastAsia="zh-CN"/>
        </w:rPr>
      </w:pPr>
      <w:r>
        <w:rPr>
          <w:rFonts w:hint="eastAsia" w:ascii="Times New Roman"/>
          <w:lang w:val="en-US" w:eastAsia="zh-CN"/>
        </w:rPr>
        <w:t>定期对养殖用水进行检测，包括水温、pH值、溶解氧、氨氮、亚硝酸盐等指标。水体宜保持清澈透明，少悬浮物和杂质，pH值控制在6.5-8.0之间，溶解氧含量应保持在5mg/L以上，氨氮和亚硝酸盐含量控制在安全范围内。</w:t>
      </w:r>
    </w:p>
    <w:p>
      <w:pPr>
        <w:pStyle w:val="105"/>
        <w:spacing w:before="156" w:after="156"/>
        <w:rPr>
          <w:rFonts w:hint="default" w:ascii="Times New Roman"/>
          <w:lang w:val="en-US" w:eastAsia="zh-CN"/>
        </w:rPr>
      </w:pPr>
      <w:r>
        <w:rPr>
          <w:rFonts w:hint="eastAsia" w:ascii="Times New Roman"/>
          <w:lang w:val="en-US" w:eastAsia="zh-CN"/>
        </w:rPr>
        <w:t>水质</w:t>
      </w:r>
      <w:r>
        <w:rPr>
          <w:rFonts w:hint="eastAsia" w:hAnsi="Times New Roman" w:cs="Times New Roman"/>
          <w:lang w:val="en-US" w:eastAsia="zh-CN"/>
        </w:rPr>
        <w:t>调节</w:t>
      </w:r>
    </w:p>
    <w:p>
      <w:pPr>
        <w:pStyle w:val="231"/>
        <w:rPr>
          <w:rFonts w:ascii="Times New Roman"/>
        </w:rPr>
      </w:pPr>
      <w:r>
        <w:rPr>
          <w:rFonts w:ascii="Times New Roman"/>
        </w:rPr>
        <w:t>养殖期间，每隔20天使用生石灰定期调节水质。池塘水深1m时，每</w:t>
      </w:r>
      <w:r>
        <w:rPr>
          <w:rFonts w:ascii="Times New Roman"/>
          <w:kern w:val="2"/>
          <w:szCs w:val="21"/>
        </w:rPr>
        <w:t>667m</w:t>
      </w:r>
      <w:r>
        <w:rPr>
          <w:rFonts w:ascii="Times New Roman"/>
          <w:kern w:val="2"/>
          <w:szCs w:val="21"/>
          <w:vertAlign w:val="superscript"/>
        </w:rPr>
        <w:t>2</w:t>
      </w:r>
      <w:r>
        <w:rPr>
          <w:rFonts w:ascii="Times New Roman"/>
          <w:kern w:val="2"/>
          <w:szCs w:val="21"/>
        </w:rPr>
        <w:t>使用15kg-20kg生石灰化水泼洒。</w:t>
      </w:r>
    </w:p>
    <w:p>
      <w:pPr>
        <w:pStyle w:val="231"/>
        <w:rPr>
          <w:rFonts w:hint="default" w:ascii="Times New Roman"/>
          <w:lang w:val="en-US" w:eastAsia="zh-CN"/>
        </w:rPr>
      </w:pPr>
      <w:r>
        <w:rPr>
          <w:rFonts w:hint="default" w:ascii="Times New Roman"/>
          <w:lang w:val="en-US" w:eastAsia="zh-CN"/>
        </w:rPr>
        <w:t>3～5月每15天换水或补水1次，换（补）水量为池水的1/5～1/4</w:t>
      </w:r>
      <w:r>
        <w:rPr>
          <w:rFonts w:hint="eastAsia" w:ascii="Times New Roman"/>
          <w:lang w:val="en-US" w:eastAsia="zh-CN"/>
        </w:rPr>
        <w:t>；</w:t>
      </w:r>
      <w:r>
        <w:rPr>
          <w:rFonts w:hint="default" w:ascii="Times New Roman"/>
          <w:lang w:val="en-US" w:eastAsia="zh-CN"/>
        </w:rPr>
        <w:t>6～9月每10天左右换（补）水1次，换水量为池水的1/3左右，10～11月每15天换（补）水1次，换水量为池水的1/4。</w:t>
      </w:r>
    </w:p>
    <w:p>
      <w:pPr>
        <w:pStyle w:val="104"/>
        <w:spacing w:before="312" w:after="312"/>
        <w:rPr>
          <w:rFonts w:ascii="Times New Roman"/>
          <w:szCs w:val="21"/>
        </w:rPr>
      </w:pPr>
      <w:r>
        <w:rPr>
          <w:rFonts w:ascii="Times New Roman"/>
          <w:szCs w:val="21"/>
        </w:rPr>
        <w:t>病害防控</w:t>
      </w:r>
    </w:p>
    <w:p>
      <w:pPr>
        <w:pStyle w:val="105"/>
        <w:spacing w:before="156" w:after="156"/>
        <w:rPr>
          <w:rFonts w:ascii="Times New Roman"/>
        </w:rPr>
      </w:pPr>
      <w:r>
        <w:rPr>
          <w:rFonts w:ascii="Times New Roman"/>
        </w:rPr>
        <w:t>预防</w:t>
      </w:r>
      <w:r>
        <w:rPr>
          <w:rFonts w:ascii="Times New Roman"/>
          <w:szCs w:val="21"/>
        </w:rPr>
        <w:t>措施</w:t>
      </w:r>
    </w:p>
    <w:p>
      <w:pPr>
        <w:pStyle w:val="231"/>
        <w:rPr>
          <w:rFonts w:ascii="Times New Roman"/>
        </w:rPr>
      </w:pPr>
      <w:r>
        <w:rPr>
          <w:rFonts w:ascii="Times New Roman"/>
        </w:rPr>
        <w:t>养殖病害应贯彻预防为主、防治结合的原则，严格落实养殖环境和鱼种放养前的消毒过程，避免病原生物诱发病害。</w:t>
      </w:r>
    </w:p>
    <w:p>
      <w:pPr>
        <w:pStyle w:val="105"/>
        <w:spacing w:before="156" w:after="156"/>
        <w:rPr>
          <w:rFonts w:ascii="Times New Roman"/>
          <w:szCs w:val="21"/>
        </w:rPr>
      </w:pPr>
      <w:r>
        <w:rPr>
          <w:rFonts w:ascii="Times New Roman"/>
          <w:szCs w:val="21"/>
        </w:rPr>
        <w:t>常见鱼病及防治措施</w:t>
      </w:r>
    </w:p>
    <w:p>
      <w:pPr>
        <w:pStyle w:val="65"/>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lang w:val="en-US" w:eastAsia="zh-CN"/>
        </w:rPr>
      </w:pPr>
      <w:r>
        <w:rPr>
          <w:rFonts w:hint="eastAsia"/>
          <w:lang w:val="en-US" w:eastAsia="zh-CN"/>
        </w:rPr>
        <w:t>鱼病诊断</w:t>
      </w:r>
    </w:p>
    <w:p>
      <w:pPr>
        <w:pStyle w:val="231"/>
        <w:rPr>
          <w:rFonts w:hint="eastAsia" w:ascii="Times New Roman"/>
          <w:szCs w:val="21"/>
          <w:lang w:val="en-US" w:eastAsia="zh-CN"/>
        </w:rPr>
      </w:pPr>
      <w:r>
        <w:rPr>
          <w:rFonts w:hint="eastAsia" w:ascii="Times New Roman"/>
          <w:szCs w:val="21"/>
          <w:lang w:val="en-US" w:eastAsia="zh-CN"/>
        </w:rPr>
        <w:t>选择新死或离群病鱼，肉眼观察病鱼体表、鱼鳃，取鳃丝、体表粘液或小块病变组织，放入已滴加蒸馏水的载玻片上，盖上洁净的盖玻片，置于显微镜下观察。取少量病变组织或粘液，采用专用培养皿进行病原菌的分离、培养、鉴定，或用PCR等现代生物学方法进行鉴定。最后，依据观察、镜检、病原检测结果，综合诊断鱼病。</w:t>
      </w:r>
    </w:p>
    <w:p>
      <w:pPr>
        <w:pStyle w:val="65"/>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imes New Roman"/>
          <w:lang w:val="en-US" w:eastAsia="zh-CN"/>
        </w:rPr>
      </w:pPr>
      <w:r>
        <w:rPr>
          <w:rFonts w:hint="eastAsia" w:ascii="Times New Roman"/>
          <w:lang w:val="en-US" w:eastAsia="zh-CN"/>
        </w:rPr>
        <w:t>主要</w:t>
      </w:r>
      <w:r>
        <w:rPr>
          <w:rFonts w:hint="eastAsia" w:hAnsi="Times New Roman" w:cs="Times New Roman"/>
          <w:lang w:val="en-US" w:eastAsia="zh-CN"/>
        </w:rPr>
        <w:t>病害</w:t>
      </w:r>
      <w:r>
        <w:rPr>
          <w:rFonts w:hint="eastAsia" w:ascii="Times New Roman"/>
          <w:lang w:val="en-US" w:eastAsia="zh-CN"/>
        </w:rPr>
        <w:t>防治</w:t>
      </w:r>
    </w:p>
    <w:p>
      <w:pPr>
        <w:pStyle w:val="231"/>
        <w:rPr>
          <w:rFonts w:hint="default" w:ascii="Times New Roman"/>
          <w:szCs w:val="21"/>
          <w:lang w:val="en-US" w:eastAsia="zh-CN"/>
        </w:rPr>
      </w:pPr>
      <w:r>
        <w:rPr>
          <w:rFonts w:hint="eastAsia" w:ascii="Times New Roman"/>
          <w:szCs w:val="21"/>
          <w:lang w:val="en-US" w:eastAsia="zh-CN"/>
        </w:rPr>
        <w:t>瓦氏</w:t>
      </w:r>
      <w:r>
        <w:rPr>
          <w:rFonts w:hint="default" w:ascii="Times New Roman"/>
          <w:szCs w:val="21"/>
          <w:lang w:val="en-US" w:eastAsia="zh-CN"/>
        </w:rPr>
        <w:t>黄颡鱼主要病害防治见表</w:t>
      </w:r>
      <w:r>
        <w:rPr>
          <w:rFonts w:hint="eastAsia" w:ascii="Times New Roman"/>
          <w:szCs w:val="21"/>
          <w:lang w:val="en-US" w:eastAsia="zh-CN"/>
        </w:rPr>
        <w:t>2</w:t>
      </w:r>
      <w:r>
        <w:rPr>
          <w:rFonts w:hint="default" w:ascii="Times New Roman"/>
          <w:szCs w:val="21"/>
          <w:lang w:val="en-US" w:eastAsia="zh-CN"/>
        </w:rPr>
        <w:t>。</w:t>
      </w:r>
    </w:p>
    <w:p>
      <w:pPr>
        <w:pStyle w:val="231"/>
        <w:ind w:left="0" w:leftChars="0" w:firstLine="0" w:firstLineChars="0"/>
        <w:jc w:val="center"/>
        <w:rPr>
          <w:rFonts w:hint="default" w:ascii="Times New Roman"/>
          <w:szCs w:val="21"/>
          <w:lang w:val="en-US" w:eastAsia="zh-CN"/>
        </w:rPr>
      </w:pPr>
      <w:r>
        <w:rPr>
          <w:rFonts w:hint="eastAsia" w:ascii="Times New Roman"/>
          <w:szCs w:val="21"/>
          <w:lang w:val="en-US" w:eastAsia="zh-CN"/>
        </w:rPr>
        <w:t>表2 瓦氏黄颡鱼主要病害防治方法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038"/>
        <w:gridCol w:w="2781"/>
        <w:gridCol w:w="5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szCs w:val="21"/>
                <w:vertAlign w:val="baseline"/>
                <w:lang w:val="en-US" w:eastAsia="zh-CN"/>
              </w:rPr>
            </w:pPr>
            <w:r>
              <w:rPr>
                <w:rFonts w:hint="eastAsia" w:ascii="Times New Roman"/>
                <w:szCs w:val="21"/>
                <w:vertAlign w:val="baseline"/>
                <w:lang w:val="en-US" w:eastAsia="zh-CN"/>
              </w:rPr>
              <w:t>病名</w:t>
            </w:r>
          </w:p>
        </w:tc>
        <w:tc>
          <w:tcPr>
            <w:tcW w:w="542" w:type="pct"/>
            <w:vAlign w:val="center"/>
          </w:tcPr>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szCs w:val="21"/>
                <w:vertAlign w:val="baseline"/>
                <w:lang w:val="en-US" w:eastAsia="zh-CN"/>
              </w:rPr>
            </w:pPr>
            <w:r>
              <w:rPr>
                <w:rFonts w:hint="eastAsia" w:ascii="Times New Roman"/>
                <w:szCs w:val="21"/>
                <w:vertAlign w:val="baseline"/>
                <w:lang w:val="en-US" w:eastAsia="zh-CN"/>
              </w:rPr>
              <w:t>病原</w:t>
            </w:r>
          </w:p>
        </w:tc>
        <w:tc>
          <w:tcPr>
            <w:tcW w:w="1452" w:type="pct"/>
            <w:vAlign w:val="center"/>
          </w:tcPr>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szCs w:val="21"/>
                <w:vertAlign w:val="baseline"/>
                <w:lang w:val="en-US" w:eastAsia="zh-CN"/>
              </w:rPr>
            </w:pPr>
            <w:r>
              <w:rPr>
                <w:rFonts w:hint="eastAsia" w:ascii="Times New Roman"/>
                <w:szCs w:val="21"/>
                <w:vertAlign w:val="baseline"/>
                <w:lang w:val="en-US" w:eastAsia="zh-CN"/>
              </w:rPr>
              <w:t>主要症状</w:t>
            </w:r>
          </w:p>
        </w:tc>
        <w:tc>
          <w:tcPr>
            <w:tcW w:w="2624" w:type="pct"/>
            <w:vAlign w:val="center"/>
          </w:tcPr>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szCs w:val="21"/>
                <w:vertAlign w:val="baseline"/>
                <w:lang w:val="en-US" w:eastAsia="zh-CN"/>
              </w:rPr>
            </w:pPr>
            <w:r>
              <w:rPr>
                <w:rFonts w:hint="eastAsia" w:ascii="Times New Roman"/>
                <w:szCs w:val="21"/>
                <w:vertAlign w:val="baseline"/>
                <w:lang w:val="en-US" w:eastAsia="zh-CN"/>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szCs w:val="21"/>
                <w:vertAlign w:val="baseline"/>
                <w:lang w:val="en-US" w:eastAsia="zh-CN"/>
              </w:rPr>
            </w:pPr>
            <w:r>
              <w:rPr>
                <w:rFonts w:hint="default" w:ascii="Times New Roman"/>
                <w:szCs w:val="21"/>
                <w:vertAlign w:val="baseline"/>
                <w:lang w:val="en-US" w:eastAsia="zh-CN"/>
              </w:rPr>
              <w:t>裂头病</w:t>
            </w:r>
          </w:p>
        </w:tc>
        <w:tc>
          <w:tcPr>
            <w:tcW w:w="542" w:type="pct"/>
            <w:vAlign w:val="center"/>
          </w:tcPr>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szCs w:val="21"/>
                <w:vertAlign w:val="baseline"/>
                <w:lang w:val="en-US" w:eastAsia="zh-CN"/>
              </w:rPr>
            </w:pPr>
            <w:r>
              <w:rPr>
                <w:rFonts w:hint="default" w:ascii="Times New Roman"/>
                <w:szCs w:val="21"/>
                <w:vertAlign w:val="baseline"/>
                <w:lang w:val="en-US" w:eastAsia="zh-CN"/>
              </w:rPr>
              <w:t>鲶爱德华氏菌</w:t>
            </w:r>
          </w:p>
        </w:tc>
        <w:tc>
          <w:tcPr>
            <w:tcW w:w="1452" w:type="pct"/>
            <w:vAlign w:val="center"/>
          </w:tcPr>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szCs w:val="21"/>
                <w:vertAlign w:val="baseline"/>
                <w:lang w:val="en-US" w:eastAsia="zh-CN"/>
              </w:rPr>
            </w:pPr>
            <w:r>
              <w:rPr>
                <w:rFonts w:hint="default" w:ascii="Times New Roman"/>
                <w:szCs w:val="21"/>
                <w:vertAlign w:val="baseline"/>
                <w:lang w:val="en-US" w:eastAsia="zh-CN"/>
              </w:rPr>
              <w:t>头部发红，腹部膨大并积有大量血红色腹水，同时体表出现出血点或者血斑。</w:t>
            </w:r>
          </w:p>
        </w:tc>
        <w:tc>
          <w:tcPr>
            <w:tcW w:w="2624" w:type="pct"/>
            <w:vAlign w:val="center"/>
          </w:tcPr>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szCs w:val="21"/>
                <w:vertAlign w:val="baseline"/>
                <w:lang w:val="en-US" w:eastAsia="zh-CN"/>
              </w:rPr>
            </w:pPr>
            <w:r>
              <w:rPr>
                <w:rFonts w:hint="default" w:ascii="Times New Roman"/>
                <w:szCs w:val="21"/>
                <w:vertAlign w:val="baseline"/>
                <w:lang w:val="en-US" w:eastAsia="zh-CN"/>
              </w:rPr>
              <w:t>盐酸多西环素、烟酸诺氟沙星合剂（1：1）拌饵内服，用量为每1kg体重鱼用本合剂0.02g～0.03g，一日1次，连用5～7d。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肠炎病</w:t>
            </w:r>
          </w:p>
        </w:tc>
        <w:tc>
          <w:tcPr>
            <w:tcW w:w="542"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点状产气单胞菌</w:t>
            </w:r>
          </w:p>
        </w:tc>
        <w:tc>
          <w:tcPr>
            <w:tcW w:w="1452" w:type="pct"/>
            <w:vAlign w:val="center"/>
          </w:tcPr>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kern w:val="0"/>
                <w:sz w:val="21"/>
                <w:szCs w:val="21"/>
                <w:vertAlign w:val="baseline"/>
                <w:lang w:val="en-US" w:eastAsia="zh-CN" w:bidi="ar-SA"/>
              </w:rPr>
              <w:t>肛门红肿，肠壁充血发炎、弹性差、肠黏膜坏死脱落，腔内积有大量淡黄色黏液。</w:t>
            </w:r>
          </w:p>
        </w:tc>
        <w:tc>
          <w:tcPr>
            <w:tcW w:w="2624" w:type="pct"/>
            <w:vAlign w:val="center"/>
          </w:tcPr>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kern w:val="0"/>
                <w:sz w:val="21"/>
                <w:szCs w:val="21"/>
                <w:vertAlign w:val="baseline"/>
                <w:lang w:val="en-US" w:eastAsia="zh-CN" w:bidi="ar-SA"/>
              </w:rPr>
              <w:t>大</w:t>
            </w:r>
            <w:bookmarkStart w:id="48" w:name="_GoBack"/>
            <w:bookmarkEnd w:id="48"/>
            <w:r>
              <w:rPr>
                <w:rFonts w:hint="default" w:ascii="Times New Roman" w:hAnsi="Times New Roman" w:eastAsia="宋体" w:cs="Times New Roman"/>
                <w:kern w:val="0"/>
                <w:sz w:val="21"/>
                <w:szCs w:val="21"/>
                <w:vertAlign w:val="baseline"/>
                <w:lang w:val="en-US" w:eastAsia="zh-CN" w:bidi="ar-SA"/>
              </w:rPr>
              <w:t>蒜捣碎拌饵投喂，每1kg体重鱼用量0.1g～0.2g，一日1次，连续投喂3d～4d。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eastAsia"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车轮</w:t>
            </w:r>
          </w:p>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虫病</w:t>
            </w:r>
          </w:p>
        </w:tc>
        <w:tc>
          <w:tcPr>
            <w:tcW w:w="542"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车轮虫</w:t>
            </w:r>
          </w:p>
        </w:tc>
        <w:tc>
          <w:tcPr>
            <w:tcW w:w="1452"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kern w:val="0"/>
                <w:sz w:val="21"/>
                <w:szCs w:val="21"/>
                <w:vertAlign w:val="baseline"/>
                <w:lang w:val="en-US" w:eastAsia="zh-CN" w:bidi="ar-SA"/>
              </w:rPr>
              <w:t>病鱼鳃、皮肤黏液增生，鳃丝充血，体表、皮肤有出血小点。</w:t>
            </w:r>
          </w:p>
        </w:tc>
        <w:tc>
          <w:tcPr>
            <w:tcW w:w="2624" w:type="pct"/>
            <w:vAlign w:val="center"/>
          </w:tcPr>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szCs w:val="21"/>
                <w:vertAlign w:val="baseline"/>
                <w:lang w:val="en-US" w:eastAsia="zh-CN"/>
              </w:rPr>
            </w:pPr>
            <w:r>
              <w:rPr>
                <w:rFonts w:hint="default" w:ascii="Times New Roman"/>
                <w:szCs w:val="21"/>
                <w:vertAlign w:val="baseline"/>
                <w:lang w:val="en-US" w:eastAsia="zh-CN"/>
              </w:rPr>
              <w:t>0.7g/m</w:t>
            </w:r>
            <w:r>
              <w:rPr>
                <w:rFonts w:hint="default" w:ascii="Times New Roman"/>
                <w:szCs w:val="21"/>
                <w:vertAlign w:val="superscript"/>
                <w:lang w:val="en-US" w:eastAsia="zh-CN"/>
              </w:rPr>
              <w:t>3</w:t>
            </w:r>
            <w:r>
              <w:rPr>
                <w:rFonts w:hint="default" w:ascii="Times New Roman"/>
                <w:szCs w:val="21"/>
                <w:vertAlign w:val="baseline"/>
                <w:lang w:val="en-US" w:eastAsia="zh-CN"/>
              </w:rPr>
              <w:t>硫酸铜、硫酸亚铁合剂（5：2）全池</w:t>
            </w:r>
          </w:p>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szCs w:val="21"/>
                <w:vertAlign w:val="baseline"/>
                <w:lang w:val="en-US" w:eastAsia="zh-CN"/>
              </w:rPr>
            </w:pPr>
            <w:r>
              <w:rPr>
                <w:rFonts w:hint="default" w:ascii="Times New Roman"/>
                <w:szCs w:val="21"/>
                <w:vertAlign w:val="baseline"/>
                <w:lang w:val="en-US" w:eastAsia="zh-CN"/>
              </w:rPr>
              <w:t>泼洒；或0.8g/m</w:t>
            </w:r>
            <w:r>
              <w:rPr>
                <w:rFonts w:hint="default" w:ascii="Times New Roman"/>
                <w:szCs w:val="21"/>
                <w:vertAlign w:val="superscript"/>
                <w:lang w:val="en-US" w:eastAsia="zh-CN"/>
              </w:rPr>
              <w:t>3</w:t>
            </w:r>
            <w:r>
              <w:rPr>
                <w:rFonts w:hint="default" w:ascii="Times New Roman"/>
                <w:szCs w:val="21"/>
                <w:vertAlign w:val="baseline"/>
                <w:lang w:val="en-US" w:eastAsia="zh-CN"/>
              </w:rPr>
              <w:t>～1.0g/m</w:t>
            </w:r>
            <w:r>
              <w:rPr>
                <w:rFonts w:hint="default" w:ascii="Times New Roman"/>
                <w:szCs w:val="21"/>
                <w:vertAlign w:val="superscript"/>
                <w:lang w:val="en-US" w:eastAsia="zh-CN"/>
              </w:rPr>
              <w:t>3</w:t>
            </w:r>
            <w:r>
              <w:rPr>
                <w:rFonts w:hint="default" w:ascii="Times New Roman"/>
                <w:szCs w:val="21"/>
                <w:vertAlign w:val="baseline"/>
                <w:lang w:val="en-US" w:eastAsia="zh-CN"/>
              </w:rPr>
              <w:t>水产用敌百虫、硫酸</w:t>
            </w:r>
          </w:p>
          <w:p>
            <w:pPr>
              <w:pStyle w:val="231"/>
              <w:keepNext w:val="0"/>
              <w:keepLines w:val="0"/>
              <w:pageBreakBefore w:val="0"/>
              <w:widowControl/>
              <w:kinsoku/>
              <w:wordWrap/>
              <w:overflowPunct/>
              <w:topLinePunct w:val="0"/>
              <w:autoSpaceDE w:val="0"/>
              <w:autoSpaceDN w:val="0"/>
              <w:bidi/>
              <w:adjustRightInd w:val="0"/>
              <w:snapToGrid w:val="0"/>
              <w:ind w:firstLine="0" w:firstLineChars="0"/>
              <w:jc w:val="center"/>
              <w:textAlignment w:val="auto"/>
              <w:rPr>
                <w:rFonts w:hint="default" w:ascii="Times New Roman"/>
                <w:szCs w:val="21"/>
                <w:vertAlign w:val="baseline"/>
                <w:lang w:val="en-US" w:eastAsia="zh-CN"/>
              </w:rPr>
            </w:pPr>
            <w:r>
              <w:rPr>
                <w:rFonts w:hint="default" w:ascii="Times New Roman"/>
                <w:szCs w:val="21"/>
                <w:vertAlign w:val="baseline"/>
                <w:lang w:val="en-US" w:eastAsia="zh-CN"/>
              </w:rPr>
              <w:t>铜合剂(1:1)全池泼洒。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营养性疾病</w:t>
            </w:r>
          </w:p>
          <w:p>
            <w:pPr>
              <w:keepNext w:val="0"/>
              <w:keepLines w:val="0"/>
              <w:pageBreakBefore w:val="0"/>
              <w:widowControl/>
              <w:suppressLineNumbers w:val="0"/>
              <w:kinsoku/>
              <w:wordWrap/>
              <w:overflowPunct/>
              <w:topLinePunct w:val="0"/>
              <w:bidi/>
              <w:adjustRightInd w:val="0"/>
              <w:snapToGrid w:val="0"/>
              <w:jc w:val="center"/>
              <w:textAlignment w:val="auto"/>
              <w:rPr>
                <w:rFonts w:hint="eastAsia" w:ascii="Times New Roman" w:hAnsi="Times New Roman" w:eastAsia="宋体" w:cs="Times New Roman"/>
                <w:kern w:val="0"/>
                <w:sz w:val="21"/>
                <w:szCs w:val="21"/>
                <w:vertAlign w:val="baseline"/>
                <w:lang w:val="en-US" w:eastAsia="zh-CN" w:bidi="ar-SA"/>
              </w:rPr>
            </w:pPr>
          </w:p>
        </w:tc>
        <w:tc>
          <w:tcPr>
            <w:tcW w:w="542"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eastAsia"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饲料中营养成分不平衡或变质</w:t>
            </w:r>
          </w:p>
        </w:tc>
        <w:tc>
          <w:tcPr>
            <w:tcW w:w="1452"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病鱼肝脏肿大，肝脏颜色粉白或发黄，胆囊肿大，胆汁发黑，胰脏色淡。</w:t>
            </w:r>
          </w:p>
        </w:tc>
        <w:tc>
          <w:tcPr>
            <w:tcW w:w="2624"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改进饲料配方,提高饲料质量,适当增加饲料中维生素和无机盐的用量。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eastAsia"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机械损伤</w:t>
            </w:r>
          </w:p>
        </w:tc>
        <w:tc>
          <w:tcPr>
            <w:tcW w:w="542"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eastAsia"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机械性损伤</w:t>
            </w:r>
          </w:p>
        </w:tc>
        <w:tc>
          <w:tcPr>
            <w:tcW w:w="1452"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kern w:val="0"/>
                <w:sz w:val="21"/>
                <w:szCs w:val="21"/>
                <w:vertAlign w:val="baseline"/>
                <w:lang w:val="en-US" w:eastAsia="zh-CN" w:bidi="ar-SA"/>
              </w:rPr>
              <w:t>皮肤擦伤、裂鳍等机械性损伤，继发细菌感染和霉菌感染。</w:t>
            </w:r>
          </w:p>
        </w:tc>
        <w:tc>
          <w:tcPr>
            <w:tcW w:w="2624" w:type="pct"/>
            <w:vAlign w:val="center"/>
          </w:tcPr>
          <w:p>
            <w:pPr>
              <w:keepNext w:val="0"/>
              <w:keepLines w:val="0"/>
              <w:pageBreakBefore w:val="0"/>
              <w:widowControl/>
              <w:suppressLineNumbers w:val="0"/>
              <w:kinsoku/>
              <w:wordWrap/>
              <w:overflowPunct/>
              <w:topLinePunct w:val="0"/>
              <w:bidi/>
              <w:adjustRightInd w:val="0"/>
              <w:snapToGrid w:val="0"/>
              <w:jc w:val="center"/>
              <w:textAlignment w:val="auto"/>
              <w:rPr>
                <w:rFonts w:hint="default" w:ascii="Times New Roman"/>
                <w:szCs w:val="21"/>
                <w:vertAlign w:val="baseline"/>
                <w:lang w:val="en-US" w:eastAsia="zh-CN"/>
              </w:rPr>
            </w:pPr>
            <w:r>
              <w:rPr>
                <w:rFonts w:hint="eastAsia" w:ascii="Times New Roman" w:hAnsi="Times New Roman" w:eastAsia="宋体" w:cs="Times New Roman"/>
                <w:kern w:val="0"/>
                <w:sz w:val="21"/>
                <w:szCs w:val="21"/>
                <w:vertAlign w:val="baseline"/>
                <w:lang w:val="en-US" w:eastAsia="zh-CN" w:bidi="ar-SA"/>
              </w:rPr>
              <w:t>在拉网锻炼和运输中要细心操作；鱼种入池前要用0.05％～0.1％高锰酸钾或2％～3％的食盐水溶液浸洗消毒。</w:t>
            </w:r>
          </w:p>
        </w:tc>
      </w:tr>
    </w:tbl>
    <w:p>
      <w:pPr>
        <w:pStyle w:val="231"/>
        <w:ind w:left="0" w:leftChars="0" w:firstLine="0" w:firstLineChars="0"/>
        <w:rPr>
          <w:rFonts w:hint="default" w:ascii="Times New Roman"/>
          <w:szCs w:val="21"/>
          <w:lang w:val="en-US" w:eastAsia="zh-CN"/>
        </w:rPr>
      </w:pPr>
    </w:p>
    <w:p>
      <w:pPr>
        <w:pStyle w:val="231"/>
        <w:rPr>
          <w:rFonts w:hint="eastAsia" w:ascii="Times New Roman"/>
          <w:szCs w:val="21"/>
          <w:lang w:val="en-US" w:eastAsia="zh-CN"/>
        </w:rPr>
      </w:pPr>
    </w:p>
    <w:bookmarkEnd w:id="46"/>
    <w:p>
      <w:pPr>
        <w:pStyle w:val="56"/>
        <w:ind w:firstLine="0" w:firstLineChars="0"/>
        <w:jc w:val="center"/>
      </w:pPr>
      <w:bookmarkStart w:id="47"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4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3404/T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3404/T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3969"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MWI5YTExODBhYTI3MDNlNmMzYzNhODdhNmI2ZjkifQ=="/>
  </w:docVars>
  <w:rsids>
    <w:rsidRoot w:val="00DE141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A02"/>
    <w:rsid w:val="00043282"/>
    <w:rsid w:val="00044286"/>
    <w:rsid w:val="00047F28"/>
    <w:rsid w:val="000503AA"/>
    <w:rsid w:val="00050539"/>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3F0F"/>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4D73"/>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AB9"/>
    <w:rsid w:val="00145D9D"/>
    <w:rsid w:val="00146388"/>
    <w:rsid w:val="00146A65"/>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681"/>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045B"/>
    <w:rsid w:val="00233D64"/>
    <w:rsid w:val="00234301"/>
    <w:rsid w:val="0023482A"/>
    <w:rsid w:val="002359CB"/>
    <w:rsid w:val="00243540"/>
    <w:rsid w:val="0024497B"/>
    <w:rsid w:val="0024515B"/>
    <w:rsid w:val="00246021"/>
    <w:rsid w:val="0024666E"/>
    <w:rsid w:val="00247F52"/>
    <w:rsid w:val="002501D3"/>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D2F"/>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3AEF"/>
    <w:rsid w:val="0036429C"/>
    <w:rsid w:val="00364A53"/>
    <w:rsid w:val="003654CB"/>
    <w:rsid w:val="00365AA9"/>
    <w:rsid w:val="00365F86"/>
    <w:rsid w:val="00365F87"/>
    <w:rsid w:val="00366E89"/>
    <w:rsid w:val="003705F4"/>
    <w:rsid w:val="00370D58"/>
    <w:rsid w:val="00371316"/>
    <w:rsid w:val="00376713"/>
    <w:rsid w:val="00380EC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1800"/>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B34"/>
    <w:rsid w:val="004746B1"/>
    <w:rsid w:val="0047583F"/>
    <w:rsid w:val="00475DE8"/>
    <w:rsid w:val="00481C44"/>
    <w:rsid w:val="00484936"/>
    <w:rsid w:val="00485702"/>
    <w:rsid w:val="00485C89"/>
    <w:rsid w:val="00486BE3"/>
    <w:rsid w:val="004905E4"/>
    <w:rsid w:val="00490A89"/>
    <w:rsid w:val="00490AB4"/>
    <w:rsid w:val="00492F02"/>
    <w:rsid w:val="004939AE"/>
    <w:rsid w:val="004A12DF"/>
    <w:rsid w:val="004A17E6"/>
    <w:rsid w:val="004A1BA8"/>
    <w:rsid w:val="004A3E6E"/>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53B8"/>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BE0"/>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F78"/>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5F4"/>
    <w:rsid w:val="0063381C"/>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703"/>
    <w:rsid w:val="00670B3C"/>
    <w:rsid w:val="00672060"/>
    <w:rsid w:val="00672BFD"/>
    <w:rsid w:val="006770F4"/>
    <w:rsid w:val="00677A84"/>
    <w:rsid w:val="0068026D"/>
    <w:rsid w:val="00680A27"/>
    <w:rsid w:val="006816A4"/>
    <w:rsid w:val="006819B8"/>
    <w:rsid w:val="00682BBD"/>
    <w:rsid w:val="006840A6"/>
    <w:rsid w:val="006850CD"/>
    <w:rsid w:val="00685AAB"/>
    <w:rsid w:val="00695D22"/>
    <w:rsid w:val="006A07AA"/>
    <w:rsid w:val="006A25E5"/>
    <w:rsid w:val="006A2B46"/>
    <w:rsid w:val="006A336D"/>
    <w:rsid w:val="006A37B9"/>
    <w:rsid w:val="006A6DC6"/>
    <w:rsid w:val="006B2672"/>
    <w:rsid w:val="006B29FB"/>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6153"/>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975"/>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307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29F"/>
    <w:rsid w:val="008603CE"/>
    <w:rsid w:val="008620FC"/>
    <w:rsid w:val="008627A5"/>
    <w:rsid w:val="00863E05"/>
    <w:rsid w:val="00865ACA"/>
    <w:rsid w:val="00865D28"/>
    <w:rsid w:val="00865F85"/>
    <w:rsid w:val="00867C10"/>
    <w:rsid w:val="00870439"/>
    <w:rsid w:val="00870DA1"/>
    <w:rsid w:val="00880B4D"/>
    <w:rsid w:val="00883F93"/>
    <w:rsid w:val="00884DB3"/>
    <w:rsid w:val="00885A9D"/>
    <w:rsid w:val="008864F6"/>
    <w:rsid w:val="0089049D"/>
    <w:rsid w:val="008928C9"/>
    <w:rsid w:val="00892FE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4AEA"/>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4BD"/>
    <w:rsid w:val="009E4A58"/>
    <w:rsid w:val="009E5A2D"/>
    <w:rsid w:val="009E5AB2"/>
    <w:rsid w:val="009E6219"/>
    <w:rsid w:val="009F03B3"/>
    <w:rsid w:val="009F3F38"/>
    <w:rsid w:val="00A0096C"/>
    <w:rsid w:val="00A01757"/>
    <w:rsid w:val="00A02844"/>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789"/>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08B"/>
    <w:rsid w:val="00A9295B"/>
    <w:rsid w:val="00A93B09"/>
    <w:rsid w:val="00A94247"/>
    <w:rsid w:val="00A952D7"/>
    <w:rsid w:val="00A963F7"/>
    <w:rsid w:val="00A96AD8"/>
    <w:rsid w:val="00AA052C"/>
    <w:rsid w:val="00AA1E45"/>
    <w:rsid w:val="00AA4286"/>
    <w:rsid w:val="00AA456B"/>
    <w:rsid w:val="00AA57F5"/>
    <w:rsid w:val="00AA672E"/>
    <w:rsid w:val="00AA6EC9"/>
    <w:rsid w:val="00AB3F9D"/>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ABA"/>
    <w:rsid w:val="00B11D8A"/>
    <w:rsid w:val="00B12981"/>
    <w:rsid w:val="00B12C55"/>
    <w:rsid w:val="00B147DD"/>
    <w:rsid w:val="00B156FD"/>
    <w:rsid w:val="00B21F61"/>
    <w:rsid w:val="00B261F1"/>
    <w:rsid w:val="00B265BC"/>
    <w:rsid w:val="00B31FB1"/>
    <w:rsid w:val="00B33952"/>
    <w:rsid w:val="00B33C5E"/>
    <w:rsid w:val="00B342F4"/>
    <w:rsid w:val="00B34369"/>
    <w:rsid w:val="00B34DC2"/>
    <w:rsid w:val="00B365E8"/>
    <w:rsid w:val="00B378E5"/>
    <w:rsid w:val="00B4346D"/>
    <w:rsid w:val="00B440F4"/>
    <w:rsid w:val="00B447A5"/>
    <w:rsid w:val="00B4654C"/>
    <w:rsid w:val="00B46AF0"/>
    <w:rsid w:val="00B47293"/>
    <w:rsid w:val="00B50E50"/>
    <w:rsid w:val="00B52120"/>
    <w:rsid w:val="00B54ABC"/>
    <w:rsid w:val="00B54DDE"/>
    <w:rsid w:val="00B555A7"/>
    <w:rsid w:val="00B56FBE"/>
    <w:rsid w:val="00B60ACF"/>
    <w:rsid w:val="00B61E3F"/>
    <w:rsid w:val="00B62B58"/>
    <w:rsid w:val="00B65149"/>
    <w:rsid w:val="00B66567"/>
    <w:rsid w:val="00B66F52"/>
    <w:rsid w:val="00B66FE5"/>
    <w:rsid w:val="00B72880"/>
    <w:rsid w:val="00B758BF"/>
    <w:rsid w:val="00B77EC8"/>
    <w:rsid w:val="00B827A6"/>
    <w:rsid w:val="00B831CE"/>
    <w:rsid w:val="00B833C1"/>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05E"/>
    <w:rsid w:val="00C21540"/>
    <w:rsid w:val="00C21906"/>
    <w:rsid w:val="00C21BFA"/>
    <w:rsid w:val="00C22148"/>
    <w:rsid w:val="00C24C8D"/>
    <w:rsid w:val="00C25FE2"/>
    <w:rsid w:val="00C26B53"/>
    <w:rsid w:val="00C279B2"/>
    <w:rsid w:val="00C33E50"/>
    <w:rsid w:val="00C34C20"/>
    <w:rsid w:val="00C35A3E"/>
    <w:rsid w:val="00C35A79"/>
    <w:rsid w:val="00C42130"/>
    <w:rsid w:val="00C423A4"/>
    <w:rsid w:val="00C44BF5"/>
    <w:rsid w:val="00C521D6"/>
    <w:rsid w:val="00C55232"/>
    <w:rsid w:val="00C553A4"/>
    <w:rsid w:val="00C55A06"/>
    <w:rsid w:val="00C55D03"/>
    <w:rsid w:val="00C57A0F"/>
    <w:rsid w:val="00C57F79"/>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0D4"/>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3D97"/>
    <w:rsid w:val="00DC5B90"/>
    <w:rsid w:val="00DD00FF"/>
    <w:rsid w:val="00DD0619"/>
    <w:rsid w:val="00DD07FB"/>
    <w:rsid w:val="00DD25C6"/>
    <w:rsid w:val="00DD4FE5"/>
    <w:rsid w:val="00DD54B0"/>
    <w:rsid w:val="00DD57EE"/>
    <w:rsid w:val="00DD6BCC"/>
    <w:rsid w:val="00DE0A4B"/>
    <w:rsid w:val="00DE141B"/>
    <w:rsid w:val="00DE2410"/>
    <w:rsid w:val="00DE2939"/>
    <w:rsid w:val="00DE6E81"/>
    <w:rsid w:val="00DE703F"/>
    <w:rsid w:val="00DE7595"/>
    <w:rsid w:val="00DF1933"/>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71AE"/>
    <w:rsid w:val="00E27529"/>
    <w:rsid w:val="00E3137A"/>
    <w:rsid w:val="00E32CCF"/>
    <w:rsid w:val="00E34168"/>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374E"/>
    <w:rsid w:val="00F25BB6"/>
    <w:rsid w:val="00F26B7E"/>
    <w:rsid w:val="00F27A3B"/>
    <w:rsid w:val="00F33817"/>
    <w:rsid w:val="00F420D5"/>
    <w:rsid w:val="00F451EA"/>
    <w:rsid w:val="00F45447"/>
    <w:rsid w:val="00F456C6"/>
    <w:rsid w:val="00F4577B"/>
    <w:rsid w:val="00F46496"/>
    <w:rsid w:val="00F474D0"/>
    <w:rsid w:val="00F50179"/>
    <w:rsid w:val="00F515EE"/>
    <w:rsid w:val="00F55BF4"/>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553"/>
    <w:rsid w:val="00FD7299"/>
    <w:rsid w:val="00FE1FBE"/>
    <w:rsid w:val="00FE3901"/>
    <w:rsid w:val="00FE39D3"/>
    <w:rsid w:val="00FE4BCE"/>
    <w:rsid w:val="00FE54AE"/>
    <w:rsid w:val="00FE576A"/>
    <w:rsid w:val="00FE7E79"/>
    <w:rsid w:val="00FF3E7D"/>
    <w:rsid w:val="00FF5B99"/>
    <w:rsid w:val="00FF730C"/>
    <w:rsid w:val="00FF7336"/>
    <w:rsid w:val="00FF73F4"/>
    <w:rsid w:val="00FF7CE4"/>
    <w:rsid w:val="00FF7E39"/>
    <w:rsid w:val="2A570E52"/>
    <w:rsid w:val="32261B46"/>
    <w:rsid w:val="385A3725"/>
    <w:rsid w:val="3B8242DB"/>
    <w:rsid w:val="569F0646"/>
    <w:rsid w:val="DFFF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Char"/>
    <w:link w:val="2"/>
    <w:autoRedefine/>
    <w:qFormat/>
    <w:uiPriority w:val="0"/>
    <w:rPr>
      <w:b/>
      <w:bCs/>
      <w:kern w:val="44"/>
      <w:sz w:val="44"/>
      <w:szCs w:val="44"/>
    </w:rPr>
  </w:style>
  <w:style w:type="character" w:customStyle="1" w:styleId="35">
    <w:name w:val="标题 2 Char"/>
    <w:link w:val="3"/>
    <w:autoRedefine/>
    <w:qFormat/>
    <w:uiPriority w:val="0"/>
    <w:rPr>
      <w:rFonts w:ascii="Arial" w:hAnsi="Arial" w:eastAsia="黑体"/>
      <w:b/>
      <w:bCs/>
      <w:kern w:val="2"/>
      <w:sz w:val="32"/>
      <w:szCs w:val="32"/>
    </w:rPr>
  </w:style>
  <w:style w:type="character" w:customStyle="1" w:styleId="36">
    <w:name w:val="标题 3 Char"/>
    <w:link w:val="4"/>
    <w:autoRedefine/>
    <w:qFormat/>
    <w:uiPriority w:val="0"/>
    <w:rPr>
      <w:b/>
      <w:bCs/>
      <w:kern w:val="2"/>
      <w:sz w:val="32"/>
      <w:szCs w:val="32"/>
    </w:rPr>
  </w:style>
  <w:style w:type="character" w:customStyle="1" w:styleId="37">
    <w:name w:val="标题 4 Char"/>
    <w:link w:val="5"/>
    <w:autoRedefine/>
    <w:qFormat/>
    <w:uiPriority w:val="0"/>
    <w:rPr>
      <w:rFonts w:ascii="Arial" w:hAnsi="Arial" w:eastAsia="黑体"/>
      <w:b/>
      <w:bCs/>
      <w:kern w:val="2"/>
      <w:sz w:val="28"/>
      <w:szCs w:val="28"/>
    </w:rPr>
  </w:style>
  <w:style w:type="character" w:customStyle="1" w:styleId="38">
    <w:name w:val="标题 5 Char"/>
    <w:link w:val="6"/>
    <w:autoRedefine/>
    <w:qFormat/>
    <w:uiPriority w:val="0"/>
    <w:rPr>
      <w:b/>
      <w:bCs/>
      <w:kern w:val="2"/>
      <w:sz w:val="28"/>
      <w:szCs w:val="28"/>
    </w:rPr>
  </w:style>
  <w:style w:type="character" w:customStyle="1" w:styleId="39">
    <w:name w:val="标题 6 Char"/>
    <w:link w:val="7"/>
    <w:autoRedefine/>
    <w:qFormat/>
    <w:uiPriority w:val="0"/>
    <w:rPr>
      <w:rFonts w:ascii="Arial" w:hAnsi="Arial" w:eastAsia="黑体"/>
      <w:b/>
      <w:bCs/>
      <w:kern w:val="2"/>
      <w:sz w:val="24"/>
      <w:szCs w:val="24"/>
    </w:rPr>
  </w:style>
  <w:style w:type="character" w:customStyle="1" w:styleId="40">
    <w:name w:val="标题 7 Char"/>
    <w:link w:val="8"/>
    <w:autoRedefine/>
    <w:qFormat/>
    <w:uiPriority w:val="0"/>
    <w:rPr>
      <w:b/>
      <w:bCs/>
      <w:kern w:val="2"/>
      <w:sz w:val="24"/>
      <w:szCs w:val="24"/>
    </w:rPr>
  </w:style>
  <w:style w:type="character" w:customStyle="1" w:styleId="41">
    <w:name w:val="标题 8 Char"/>
    <w:link w:val="9"/>
    <w:autoRedefine/>
    <w:qFormat/>
    <w:uiPriority w:val="0"/>
    <w:rPr>
      <w:rFonts w:ascii="Arial" w:hAnsi="Arial" w:eastAsia="黑体"/>
      <w:kern w:val="2"/>
      <w:sz w:val="24"/>
      <w:szCs w:val="24"/>
    </w:rPr>
  </w:style>
  <w:style w:type="character" w:customStyle="1" w:styleId="42">
    <w:name w:val="标题 9 Char"/>
    <w:link w:val="10"/>
    <w:autoRedefine/>
    <w:qFormat/>
    <w:uiPriority w:val="0"/>
    <w:rPr>
      <w:rFonts w:ascii="Arial" w:hAnsi="Arial" w:eastAsia="黑体"/>
      <w:kern w:val="2"/>
      <w:sz w:val="21"/>
      <w:szCs w:val="21"/>
    </w:rPr>
  </w:style>
  <w:style w:type="character" w:customStyle="1" w:styleId="43">
    <w:name w:val="页眉 Char"/>
    <w:link w:val="18"/>
    <w:autoRedefine/>
    <w:qFormat/>
    <w:uiPriority w:val="99"/>
    <w:rPr>
      <w:kern w:val="2"/>
      <w:sz w:val="18"/>
      <w:szCs w:val="18"/>
    </w:rPr>
  </w:style>
  <w:style w:type="character" w:customStyle="1" w:styleId="44">
    <w:name w:val="页脚 Char"/>
    <w:link w:val="17"/>
    <w:autoRedefine/>
    <w:qFormat/>
    <w:uiPriority w:val="99"/>
    <w:rPr>
      <w:rFonts w:ascii="宋体"/>
      <w:kern w:val="2"/>
      <w:sz w:val="18"/>
      <w:szCs w:val="18"/>
    </w:rPr>
  </w:style>
  <w:style w:type="character" w:customStyle="1" w:styleId="45">
    <w:name w:val="批注框文本 Char"/>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kern w:val="2"/>
      <w:sz w:val="21"/>
      <w:szCs w:val="21"/>
    </w:rPr>
  </w:style>
  <w:style w:type="character" w:customStyle="1" w:styleId="48">
    <w:name w:val="标题 Char"/>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numPr>
        <w:numId w:val="0"/>
      </w:numPr>
      <w:spacing w:line="460" w:lineRule="exact"/>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numPr>
        <w:ilvl w:val="0"/>
        <w:numId w:val="0"/>
      </w:num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numPr>
        <w:ilvl w:val="0"/>
        <w:numId w:val="0"/>
      </w:num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numPr>
        <w:ilvl w:val="0"/>
        <w:numId w:val="0"/>
      </w:num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numPr>
        <w:ilvl w:val="0"/>
        <w:numId w:val="0"/>
      </w:num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numPr>
        <w:ilvl w:val="0"/>
        <w:numId w:val="0"/>
      </w:num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vAnchor="page" w:hAnchor="page" w:x="1419" w:y="14097"/>
    </w:pPr>
  </w:style>
  <w:style w:type="paragraph" w:customStyle="1" w:styleId="194">
    <w:name w:val="其他实施日期"/>
    <w:basedOn w:val="154"/>
    <w:autoRedefine/>
    <w:qFormat/>
    <w:uiPriority w:val="0"/>
    <w:pPr>
      <w:framePr w:w="3997" w:h="471" w:hRule="exact" w:vSpace="181"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numPr>
        <w:ilvl w:val="0"/>
        <w:numId w:val="0"/>
      </w:num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numPr>
        <w:ilvl w:val="0"/>
        <w:numId w:val="0"/>
      </w:num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numPr>
        <w:ilvl w:val="0"/>
        <w:numId w:val="0"/>
      </w:num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numPr>
        <w:ilvl w:val="0"/>
        <w:numId w:val="0"/>
      </w:num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numPr>
        <w:ilvl w:val="0"/>
        <w:numId w:val="0"/>
      </w:num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numPr>
        <w:ilvl w:val="0"/>
        <w:numId w:val="0"/>
      </w:num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numPr>
        <w:ilvl w:val="0"/>
        <w:numId w:val="0"/>
      </w:num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numPr>
        <w:ilvl w:val="0"/>
        <w:numId w:val="0"/>
      </w:num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numPr>
        <w:ilvl w:val="0"/>
        <w:numId w:val="0"/>
      </w:num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numPr>
        <w:ilvl w:val="0"/>
        <w:numId w:val="0"/>
      </w:num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章标题"/>
    <w:next w:val="231"/>
    <w:autoRedefine/>
    <w:qFormat/>
    <w:uiPriority w:val="99"/>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7564F84CD38442BB31DA126D03AE425"/>
        <w:style w:val=""/>
        <w:category>
          <w:name w:val="常规"/>
          <w:gallery w:val="placeholder"/>
        </w:category>
        <w:types>
          <w:type w:val="bbPlcHdr"/>
        </w:types>
        <w:behaviors>
          <w:behavior w:val="content"/>
        </w:behaviors>
        <w:description w:val=""/>
        <w:guid w:val="{17E66725-C1E7-4607-9987-B0F4424B33FE}"/>
      </w:docPartPr>
      <w:docPartBody>
        <w:p>
          <w:pPr>
            <w:pStyle w:val="5"/>
          </w:pPr>
          <w:r>
            <w:rPr>
              <w:rStyle w:val="4"/>
              <w:rFonts w:hint="eastAsia"/>
            </w:rPr>
            <w:t>单击或点击此处输入文字。</w:t>
          </w:r>
        </w:p>
      </w:docPartBody>
    </w:docPart>
    <w:docPart>
      <w:docPartPr>
        <w:name w:val="345843A83C9344799B9D6CC838F3BDAF"/>
        <w:style w:val=""/>
        <w:category>
          <w:name w:val="常规"/>
          <w:gallery w:val="placeholder"/>
        </w:category>
        <w:types>
          <w:type w:val="bbPlcHdr"/>
        </w:types>
        <w:behaviors>
          <w:behavior w:val="content"/>
        </w:behaviors>
        <w:description w:val=""/>
        <w:guid w:val="{42301661-B694-4D30-9F6A-2786F4AAE52D}"/>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59"/>
    <w:rsid w:val="00012979"/>
    <w:rsid w:val="00013799"/>
    <w:rsid w:val="00264AAD"/>
    <w:rsid w:val="00486D4C"/>
    <w:rsid w:val="00644684"/>
    <w:rsid w:val="008C3859"/>
    <w:rsid w:val="009C5361"/>
    <w:rsid w:val="00E7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7564F84CD38442BB31DA126D03AE42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45843A83C9344799B9D6CC838F3BDA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2079398FF2D4EAEBF1C97079BC6904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806</Words>
  <Characters>4598</Characters>
  <Lines>38</Lines>
  <Paragraphs>10</Paragraphs>
  <TotalTime>6</TotalTime>
  <ScaleCrop>false</ScaleCrop>
  <LinksUpToDate>false</LinksUpToDate>
  <CharactersWithSpaces>5394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2023-10-07T16:17:00Z</dcterms:created>
  <dc:creator>xb21cn</dc:creator>
  <dc:description>&lt;config cover="true" show_menu="true" version="1.0.0" doctype="SDKXY"&gt;_x000d_
&lt;/config&gt;</dc:description>
  <cp:lastModifiedBy>周华兴</cp:lastModifiedBy>
  <cp:lastPrinted>2023-06-01T10:52:00Z</cp:lastPrinted>
  <dcterms:modified xsi:type="dcterms:W3CDTF">2024-03-19T06:34:35Z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B77DAD0F62684B74A6FA8A28F9F55931_12</vt:lpwstr>
  </property>
</Properties>
</file>