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keepNext w:val="0"/>
        <w:keepLines w:val="0"/>
        <w:pageBreakBefore w:val="0"/>
        <w:kinsoku/>
        <w:wordWrap/>
        <w:overflowPunct/>
        <w:topLinePunct w:val="0"/>
        <w:bidi w:val="0"/>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560" w:lineRule="exac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101 </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当事人：</w:t>
      </w:r>
      <w:r>
        <w:rPr>
          <w:rFonts w:hint="eastAsia" w:ascii="仿宋_GB2312" w:hAnsi="仿宋_GB2312" w:eastAsia="仿宋_GB2312" w:cs="仿宋_GB2312"/>
          <w:b w:val="0"/>
          <w:bCs w:val="0"/>
          <w:color w:val="auto"/>
          <w:sz w:val="32"/>
          <w:szCs w:val="32"/>
          <w:u w:val="single"/>
          <w:lang w:eastAsia="zh-CN"/>
        </w:rPr>
        <w:t>田家庵区刘明荣蔬菜经营部</w:t>
      </w:r>
      <w:r>
        <w:rPr>
          <w:rFonts w:hint="eastAsia" w:ascii="仿宋_GB2312" w:hAnsi="仿宋_GB2312" w:eastAsia="仿宋_GB2312" w:cs="仿宋_GB2312"/>
          <w:sz w:val="32"/>
          <w:szCs w:val="32"/>
          <w:u w:val="single"/>
        </w:rPr>
        <w:t xml:space="preserve">                            </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统一社会信用代码（注册号）：</w:t>
      </w:r>
      <w:r>
        <w:rPr>
          <w:rFonts w:hint="eastAsia" w:ascii="仿宋_GB2312" w:hAnsi="仿宋_GB2312" w:eastAsia="仿宋_GB2312" w:cs="仿宋_GB2312"/>
          <w:b w:val="0"/>
          <w:bCs w:val="0"/>
          <w:color w:val="auto"/>
          <w:sz w:val="32"/>
          <w:szCs w:val="32"/>
          <w:u w:val="single"/>
          <w:lang w:val="en-US" w:eastAsia="zh-CN"/>
        </w:rPr>
        <w:t>92340403MA8P5CD15W</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w w:val="90"/>
          <w:sz w:val="32"/>
          <w:szCs w:val="32"/>
          <w:u w:val="single"/>
          <w:lang w:val="en-US"/>
        </w:rPr>
      </w:pPr>
      <w:r>
        <w:rPr>
          <w:rFonts w:hint="eastAsia" w:ascii="仿宋_GB2312" w:hAnsi="仿宋_GB2312" w:eastAsia="仿宋_GB2312" w:cs="仿宋_GB2312"/>
          <w:sz w:val="32"/>
          <w:szCs w:val="32"/>
          <w:u w:val="single"/>
        </w:rPr>
        <w:t>住所（住址）：</w:t>
      </w:r>
      <w:r>
        <w:rPr>
          <w:rFonts w:hint="eastAsia" w:ascii="仿宋_GB2312" w:hAnsi="仿宋_GB2312" w:eastAsia="仿宋_GB2312" w:cs="仿宋_GB2312"/>
          <w:b w:val="0"/>
          <w:bCs w:val="0"/>
          <w:color w:val="auto"/>
          <w:sz w:val="32"/>
          <w:szCs w:val="32"/>
          <w:u w:val="single"/>
          <w:lang w:val="en-US" w:eastAsia="zh-CN"/>
        </w:rPr>
        <w:t>田家庵区国庆街道欣雅菜市场北18-26号</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法定代表人（负责人、经营者）：</w:t>
      </w:r>
      <w:r>
        <w:rPr>
          <w:rFonts w:hint="eastAsia" w:ascii="仿宋_GB2312" w:hAnsi="仿宋_GB2312" w:eastAsia="仿宋_GB2312" w:cs="仿宋_GB2312"/>
          <w:b w:val="0"/>
          <w:bCs w:val="0"/>
          <w:color w:val="auto"/>
          <w:sz w:val="32"/>
          <w:szCs w:val="32"/>
          <w:u w:val="single"/>
          <w:lang w:val="en-US" w:eastAsia="zh-CN"/>
        </w:rPr>
        <w:t>刘*荣</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b w:val="0"/>
          <w:bCs w:val="0"/>
          <w:color w:val="auto"/>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w w:val="90"/>
          <w:sz w:val="32"/>
          <w:szCs w:val="32"/>
          <w:u w:val="single"/>
          <w:lang w:val="en-US"/>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b w:val="0"/>
          <w:bCs w:val="0"/>
          <w:color w:val="auto"/>
          <w:sz w:val="32"/>
          <w:szCs w:val="32"/>
          <w:u w:val="single"/>
          <w:lang w:val="en-US" w:eastAsia="zh-CN"/>
        </w:rPr>
        <w:t>****************</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14日淮南市田家庵区市场监督管理局委托安徽省公众检验研究院有限公司对田家庵区刘明荣蔬菜经营部销售的“豆角”（购进日期：2023年11月14日）进行监督抽验，经检验，检验结论为“不合格”。我局执法人员于2023年12月08日从“国家食品安全抽样检验信息系统网站”下载并打印检验结论为不合格的《检验报告》（№:FCX2300590950)和《国家食品安全抽样检验结果通知书》（№:XBJ23340403342259951），并于2023年12月08日向当事人现场送达了该《检验报告》、《国家食品安全抽样检验结果通知书》。当事人在法定期限内未提出复检申请。我局于2023年12月08日立案调查，并指派执法人员程振（执法证号∶12070430046）、王祥凤（执法证号∶12070430024）负责对该案查处。2024年03月05日在淮南市田家庵区市场监督管理局经济检查执法股依法对当事人进行了询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经查明，</w:t>
      </w:r>
      <w:r>
        <w:rPr>
          <w:rFonts w:hint="eastAsia" w:ascii="仿宋_GB2312" w:hAnsi="仿宋_GB2312" w:eastAsia="仿宋_GB2312" w:cs="仿宋_GB2312"/>
          <w:color w:val="auto"/>
          <w:sz w:val="32"/>
          <w:szCs w:val="32"/>
          <w:lang w:val="en-US" w:eastAsia="zh-CN"/>
        </w:rPr>
        <w:t>当事人销售的食品名称：“豆角”（购进日期：2023年11月14日），经抽样检验，倍硫磷项目不符合GB 2763-2021《食品安全国家标准 食品中农药最大残留限量》要求，检验结论为不合格。根据当</w:t>
      </w:r>
      <w:r>
        <w:rPr>
          <w:rFonts w:hint="eastAsia" w:ascii="仿宋_GB2312" w:hAnsi="仿宋_GB2312" w:eastAsia="仿宋_GB2312" w:cs="仿宋_GB2312"/>
          <w:color w:val="auto"/>
          <w:sz w:val="32"/>
          <w:szCs w:val="32"/>
        </w:rPr>
        <w:t>事人的询问笔</w:t>
      </w:r>
      <w:r>
        <w:rPr>
          <w:rFonts w:hint="eastAsia" w:ascii="仿宋_GB2312" w:hAnsi="仿宋_GB2312" w:eastAsia="仿宋_GB2312" w:cs="仿宋_GB2312"/>
          <w:color w:val="auto"/>
          <w:sz w:val="32"/>
          <w:szCs w:val="32"/>
          <w:lang w:val="en-US" w:eastAsia="zh-CN"/>
        </w:rPr>
        <w:t>录，当事人共购进上述批次“豆角”10kg，均已售完无剩余，上述不合格批次“豆角”进价9元/kg，销售价10元/kg，当事人销售经抽检不合格批次“豆角”的货值金额100元，违法所得10元，当事人对上述批次“豆角”已采取公告召回，公告期间无消费者退回上述批次“豆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1.《国家食品安全抽样检验抽样单（非网络）》</w:t>
      </w:r>
      <w:r>
        <w:rPr>
          <w:rFonts w:hint="eastAsia" w:ascii="仿宋_GB2312" w:hAnsi="仿宋_GB2312" w:eastAsia="仿宋_GB2312" w:cs="仿宋_GB2312"/>
          <w:color w:val="auto"/>
          <w:sz w:val="32"/>
          <w:szCs w:val="32"/>
          <w:lang w:val="en-US" w:eastAsia="zh-CN"/>
        </w:rPr>
        <w:t>（№:XBJ23340403342259951）</w:t>
      </w:r>
      <w:r>
        <w:rPr>
          <w:rFonts w:hint="eastAsia" w:ascii="仿宋_GB2312" w:hAnsi="仿宋_GB2312" w:eastAsia="仿宋_GB2312" w:cs="仿宋_GB2312"/>
          <w:color w:val="auto"/>
          <w:sz w:val="32"/>
          <w:szCs w:val="32"/>
        </w:rPr>
        <w:t>一份，证明</w:t>
      </w:r>
      <w:r>
        <w:rPr>
          <w:rFonts w:hint="eastAsia" w:ascii="仿宋_GB2312" w:hAnsi="仿宋_GB2312" w:eastAsia="仿宋_GB2312" w:cs="仿宋_GB2312"/>
          <w:color w:val="auto"/>
          <w:sz w:val="32"/>
          <w:szCs w:val="32"/>
          <w:lang w:val="en-US" w:eastAsia="zh-CN"/>
        </w:rPr>
        <w:t>淮南市田家庵区市场监督管理局委托安徽省公众检验研究院有限公司对</w:t>
      </w:r>
      <w:r>
        <w:rPr>
          <w:rFonts w:hint="eastAsia" w:ascii="仿宋_GB2312" w:hAnsi="仿宋_GB2312" w:eastAsia="仿宋_GB2312" w:cs="仿宋_GB2312"/>
          <w:color w:val="auto"/>
          <w:sz w:val="32"/>
          <w:szCs w:val="32"/>
        </w:rPr>
        <w:t>当事人销售的</w:t>
      </w:r>
      <w:r>
        <w:rPr>
          <w:rFonts w:hint="eastAsia" w:ascii="仿宋_GB2312" w:hAnsi="仿宋_GB2312" w:eastAsia="仿宋_GB2312" w:cs="仿宋_GB2312"/>
          <w:color w:val="auto"/>
          <w:sz w:val="32"/>
          <w:szCs w:val="32"/>
          <w:lang w:val="en-US" w:eastAsia="zh-CN"/>
        </w:rPr>
        <w:t>“豆角”</w:t>
      </w:r>
      <w:r>
        <w:rPr>
          <w:rFonts w:hint="eastAsia" w:ascii="仿宋_GB2312" w:hAnsi="仿宋_GB2312" w:eastAsia="仿宋_GB2312" w:cs="仿宋_GB2312"/>
          <w:color w:val="auto"/>
          <w:sz w:val="32"/>
          <w:szCs w:val="32"/>
        </w:rPr>
        <w:t>（购进日期：</w:t>
      </w:r>
      <w:r>
        <w:rPr>
          <w:rFonts w:hint="eastAsia" w:ascii="仿宋_GB2312" w:hAnsi="仿宋_GB2312" w:eastAsia="仿宋_GB2312" w:cs="仿宋_GB2312"/>
          <w:color w:val="auto"/>
          <w:sz w:val="32"/>
          <w:szCs w:val="32"/>
          <w:lang w:val="en-US" w:eastAsia="zh-CN"/>
        </w:rPr>
        <w:t>2023年11月14日</w:t>
      </w:r>
      <w:r>
        <w:rPr>
          <w:rFonts w:hint="eastAsia" w:ascii="仿宋_GB2312" w:hAnsi="仿宋_GB2312" w:eastAsia="仿宋_GB2312" w:cs="仿宋_GB2312"/>
          <w:color w:val="auto"/>
          <w:sz w:val="32"/>
          <w:szCs w:val="32"/>
        </w:rPr>
        <w:t>）进行抽检的事实；</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《检验报告》（№:FCX2300590950）一</w:t>
      </w:r>
      <w:r>
        <w:rPr>
          <w:rFonts w:hint="eastAsia" w:ascii="仿宋_GB2312" w:hAnsi="仿宋_GB2312" w:eastAsia="仿宋_GB2312" w:cs="仿宋_GB2312"/>
          <w:color w:val="auto"/>
          <w:sz w:val="32"/>
          <w:szCs w:val="32"/>
        </w:rPr>
        <w:t>份，证明当事人销售的</w:t>
      </w:r>
      <w:r>
        <w:rPr>
          <w:rFonts w:hint="eastAsia" w:ascii="仿宋_GB2312" w:hAnsi="仿宋_GB2312" w:eastAsia="仿宋_GB2312" w:cs="仿宋_GB2312"/>
          <w:color w:val="auto"/>
          <w:sz w:val="32"/>
          <w:szCs w:val="32"/>
          <w:lang w:val="en-US" w:eastAsia="zh-CN"/>
        </w:rPr>
        <w:t>“豆角”经抽检</w:t>
      </w:r>
      <w:r>
        <w:rPr>
          <w:rFonts w:hint="eastAsia" w:ascii="仿宋_GB2312" w:hAnsi="仿宋_GB2312" w:eastAsia="仿宋_GB2312" w:cs="仿宋_GB2312"/>
          <w:color w:val="auto"/>
          <w:sz w:val="32"/>
          <w:szCs w:val="32"/>
        </w:rPr>
        <w:t>检验结论不合格的事实</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3.《询问笔录》一份，证明当事人销售不合格批次</w:t>
      </w:r>
      <w:r>
        <w:rPr>
          <w:rFonts w:hint="eastAsia" w:ascii="仿宋_GB2312" w:hAnsi="仿宋_GB2312" w:eastAsia="仿宋_GB2312" w:cs="仿宋_GB2312"/>
          <w:color w:val="auto"/>
          <w:sz w:val="32"/>
          <w:szCs w:val="32"/>
          <w:lang w:val="en-US" w:eastAsia="zh-CN"/>
        </w:rPr>
        <w:t>“豆角”货值金额100元，违法所得10元</w:t>
      </w:r>
      <w:r>
        <w:rPr>
          <w:rFonts w:hint="eastAsia" w:ascii="仿宋_GB2312" w:hAnsi="仿宋_GB2312" w:eastAsia="仿宋_GB2312" w:cs="仿宋_GB2312"/>
          <w:color w:val="auto"/>
          <w:sz w:val="32"/>
          <w:szCs w:val="32"/>
        </w:rPr>
        <w:t>的事实；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当事人营业执照、食品经营许可证及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w:t>
      </w:r>
      <w:r>
        <w:rPr>
          <w:rFonts w:hint="eastAsia" w:ascii="仿宋_GB2312" w:hAnsi="仿宋_GB2312" w:eastAsia="仿宋_GB2312" w:cs="仿宋_GB2312"/>
          <w:sz w:val="32"/>
          <w:szCs w:val="32"/>
          <w:highlight w:val="none"/>
        </w:rPr>
        <w:t>份，证明当事人的主体资格；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当事人提交的不合格食品召回公告</w:t>
      </w:r>
      <w:r>
        <w:rPr>
          <w:rFonts w:hint="eastAsia" w:ascii="仿宋_GB2312" w:hAnsi="仿宋_GB2312" w:eastAsia="仿宋_GB2312" w:cs="仿宋_GB2312"/>
          <w:sz w:val="32"/>
          <w:szCs w:val="32"/>
        </w:rPr>
        <w:t>、召回情况及整改报告各一份，证明已对不合格食品采取公告召回。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04</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，本局向当事人送达了</w:t>
      </w:r>
      <w:r>
        <w:rPr>
          <w:rFonts w:hint="eastAsia" w:ascii="仿宋_GB2312" w:hAnsi="仿宋_GB2312" w:eastAsia="仿宋_GB2312" w:cs="仿宋_GB2312"/>
          <w:sz w:val="32"/>
          <w:szCs w:val="32"/>
          <w:highlight w:val="none"/>
          <w:lang w:val="en-US" w:eastAsia="zh-CN"/>
        </w:rPr>
        <w:t>淮</w:t>
      </w:r>
      <w:r>
        <w:rPr>
          <w:rFonts w:hint="eastAsia" w:ascii="仿宋_GB2312" w:hAnsi="仿宋_GB2312" w:eastAsia="仿宋_GB2312" w:cs="仿宋_GB2312"/>
          <w:sz w:val="32"/>
          <w:szCs w:val="32"/>
          <w:highlight w:val="none"/>
        </w:rPr>
        <w:t>市监</w:t>
      </w:r>
      <w:r>
        <w:rPr>
          <w:rFonts w:hint="eastAsia" w:ascii="仿宋_GB2312" w:hAnsi="仿宋_GB2312" w:eastAsia="仿宋_GB2312" w:cs="仿宋_GB2312"/>
          <w:sz w:val="32"/>
          <w:szCs w:val="32"/>
          <w:highlight w:val="none"/>
          <w:lang w:val="en-US" w:eastAsia="zh-CN"/>
        </w:rPr>
        <w:t>田罚</w:t>
      </w:r>
      <w:r>
        <w:rPr>
          <w:rFonts w:hint="eastAsia" w:ascii="仿宋_GB2312" w:hAnsi="仿宋_GB2312" w:eastAsia="仿宋_GB2312" w:cs="仿宋_GB2312"/>
          <w:sz w:val="32"/>
          <w:szCs w:val="32"/>
          <w:highlight w:val="none"/>
        </w:rPr>
        <w:t>告〔202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859</w:t>
      </w:r>
      <w:r>
        <w:rPr>
          <w:rFonts w:hint="eastAsia" w:ascii="仿宋_GB2312" w:hAnsi="仿宋_GB2312" w:eastAsia="仿宋_GB2312" w:cs="仿宋_GB2312"/>
          <w:sz w:val="32"/>
          <w:szCs w:val="32"/>
          <w:highlight w:val="none"/>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我局认为</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当事人销售的不符合食品安全标准</w:t>
      </w:r>
      <w:r>
        <w:rPr>
          <w:rFonts w:hint="eastAsia" w:ascii="仿宋_GB2312" w:hAnsi="仿宋_GB2312" w:eastAsia="仿宋_GB2312" w:cs="仿宋_GB2312"/>
          <w:b w:val="0"/>
          <w:bCs/>
          <w:color w:val="auto"/>
          <w:sz w:val="32"/>
          <w:szCs w:val="32"/>
          <w:lang w:val="en-US" w:eastAsia="zh-CN"/>
        </w:rPr>
        <w:t>“豆角”</w:t>
      </w:r>
      <w:r>
        <w:rPr>
          <w:rFonts w:hint="eastAsia" w:ascii="仿宋_GB2312" w:hAnsi="仿宋_GB2312" w:eastAsia="仿宋_GB2312" w:cs="仿宋_GB2312"/>
          <w:b w:val="0"/>
          <w:bCs/>
          <w:color w:val="auto"/>
          <w:sz w:val="32"/>
          <w:szCs w:val="32"/>
        </w:rPr>
        <w:t>的行为，</w:t>
      </w:r>
      <w:r>
        <w:rPr>
          <w:rFonts w:hint="eastAsia" w:ascii="仿宋_GB2312" w:hAnsi="仿宋_GB2312" w:eastAsia="仿宋_GB2312" w:cs="仿宋_GB2312"/>
          <w:b w:val="0"/>
          <w:bCs/>
          <w:color w:val="auto"/>
          <w:sz w:val="32"/>
          <w:szCs w:val="32"/>
          <w:lang w:eastAsia="zh-CN"/>
        </w:rPr>
        <w:t>违反了《食用农产品市场销售质量安全监督管理办法》第十五条第一款“禁止销售者采购、销售食品安全法第三十四条规定情形的食用农产品。”和《中华人民共和国食品安全法》第三十四条第一款第（二）项“禁止生产经营下列食品、食品添加剂、食品相关产品：（二）致病性微生物，农药残留、兽药残留、生物毒素、重金属等污染物质以及其他危害人体健康的物质含量超过食品安全标准限量的食品、食品添加剂、食品相关产品；”之规定，属于经营不合格食用农产品的违法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color w:val="auto"/>
          <w:sz w:val="32"/>
          <w:szCs w:val="32"/>
        </w:rPr>
        <w:t>当事人未按规定建立食用农产品进货查验记录制度的行为，违反了</w:t>
      </w:r>
      <w:r>
        <w:rPr>
          <w:rFonts w:hint="eastAsia" w:ascii="仿宋_GB2312" w:hAnsi="仿宋_GB2312" w:eastAsia="仿宋_GB2312" w:cs="仿宋_GB2312"/>
          <w:b w:val="0"/>
          <w:bCs/>
          <w:color w:val="auto"/>
          <w:sz w:val="32"/>
          <w:szCs w:val="32"/>
          <w:lang w:eastAsia="zh-CN"/>
        </w:rPr>
        <w:t>《食用农产品市场销售质量安全监督管理办法》第八条第一款“销售者采购食用农产品，应当依照食品安全法第六十五条的规定建立食用农产品进货查验记录制度，索取并留存食用农产品进货凭证，并核对供货者等有关信息。”和《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color w:val="auto"/>
          <w:sz w:val="32"/>
          <w:szCs w:val="32"/>
          <w:lang w:val="en-US" w:eastAsia="zh-CN"/>
        </w:rPr>
        <w:t>的</w:t>
      </w:r>
      <w:r>
        <w:rPr>
          <w:rFonts w:hint="eastAsia" w:ascii="仿宋_GB2312" w:hAnsi="仿宋_GB2312" w:eastAsia="仿宋_GB2312" w:cs="仿宋_GB2312"/>
          <w:b w:val="0"/>
          <w:bCs/>
          <w:color w:val="auto"/>
          <w:sz w:val="32"/>
          <w:szCs w:val="32"/>
          <w:lang w:eastAsia="zh-CN"/>
        </w:rPr>
        <w:t>规定。</w:t>
      </w:r>
    </w:p>
    <w:p>
      <w:pPr>
        <w:pStyle w:val="8"/>
        <w:keepNext w:val="0"/>
        <w:keepLines w:val="0"/>
        <w:pageBreakBefore w:val="0"/>
        <w:kinsoku/>
        <w:wordWrap/>
        <w:overflowPunct/>
        <w:topLinePunct w:val="0"/>
        <w:bidi w:val="0"/>
        <w:adjustRightInd w:val="0"/>
        <w:spacing w:beforeLines="0" w:afterLines="0" w:line="56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鉴于当事人在本案调查过程中对不合格食品进行召回，主动减轻违法行为危害后果。依据《食用农产品市场销售质量安全监督管理办法》第四十二条“销售者违反本办法第十五条规定，采购、销售食品安全法第三十四条规定情形的食用农产品的，由县级以上市场监督管理部门依照食品安全法有关规定给予处罚。”《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一）项“</w:t>
      </w:r>
      <w:r>
        <w:rPr>
          <w:rFonts w:hint="eastAsia" w:ascii="仿宋_GB2312" w:hAnsi="仿宋_GB2312" w:eastAsia="仿宋_GB2312" w:cs="仿宋_GB2312"/>
          <w:bCs/>
          <w:color w:val="auto"/>
          <w:sz w:val="32"/>
          <w:szCs w:val="32"/>
          <w:lang w:val="en-US" w:eastAsia="zh-CN"/>
        </w:rPr>
        <w:t>（一）生产经营致病性微生物，农药残留、兽药残留、生物毒素、重金属等污染物质以及其他危害人体健康的物质含量超过食品安全标准限量的食品、食品添加剂；</w:t>
      </w:r>
      <w:r>
        <w:rPr>
          <w:rFonts w:hint="eastAsia" w:ascii="仿宋_GB2312" w:hAnsi="仿宋_GB2312" w:eastAsia="仿宋_GB2312" w:cs="仿宋_GB2312"/>
          <w:bCs/>
          <w:color w:val="auto"/>
          <w:sz w:val="32"/>
          <w:szCs w:val="32"/>
          <w:lang w:eastAsia="zh-CN"/>
        </w:rPr>
        <w:t>”，《中华人民共和国行政处罚法》第</w:t>
      </w:r>
      <w:r>
        <w:rPr>
          <w:rFonts w:hint="eastAsia" w:ascii="仿宋_GB2312" w:hAnsi="仿宋_GB2312" w:eastAsia="仿宋_GB2312" w:cs="仿宋_GB2312"/>
          <w:bCs/>
          <w:color w:val="auto"/>
          <w:sz w:val="32"/>
          <w:szCs w:val="32"/>
          <w:lang w:val="en-US" w:eastAsia="zh-CN"/>
        </w:rPr>
        <w:t>二十八</w:t>
      </w:r>
      <w:r>
        <w:rPr>
          <w:rFonts w:hint="eastAsia" w:ascii="仿宋_GB2312" w:hAnsi="仿宋_GB2312" w:eastAsia="仿宋_GB2312" w:cs="仿宋_GB2312"/>
          <w:bCs/>
          <w:color w:val="auto"/>
          <w:sz w:val="32"/>
          <w:szCs w:val="32"/>
          <w:lang w:eastAsia="zh-CN"/>
        </w:rPr>
        <w:t>条第一款“行政机关实施行政处罚时，应当责令当事人改正或者限期改正违法行为。”和第</w:t>
      </w:r>
      <w:r>
        <w:rPr>
          <w:rFonts w:hint="eastAsia" w:ascii="仿宋_GB2312" w:hAnsi="仿宋_GB2312" w:eastAsia="仿宋_GB2312" w:cs="仿宋_GB2312"/>
          <w:bCs/>
          <w:color w:val="auto"/>
          <w:sz w:val="32"/>
          <w:szCs w:val="32"/>
          <w:lang w:val="en-US" w:eastAsia="zh-CN"/>
        </w:rPr>
        <w:t>三十二</w:t>
      </w:r>
      <w:r>
        <w:rPr>
          <w:rFonts w:hint="eastAsia" w:ascii="仿宋_GB2312" w:hAnsi="仿宋_GB2312" w:eastAsia="仿宋_GB2312" w:cs="仿宋_GB2312"/>
          <w:bCs/>
          <w:color w:val="auto"/>
          <w:sz w:val="32"/>
          <w:szCs w:val="32"/>
          <w:lang w:eastAsia="zh-CN"/>
        </w:rPr>
        <w:t>条第一款第（一）项“当事人有下列情形之一的，应当依法从轻或者减轻行政处罚：（一）主动消除或者减轻违法行为危害后果的”，参照《安徽省市场监督管理行政处罚裁量权基准》（</w:t>
      </w:r>
      <w:r>
        <w:rPr>
          <w:rFonts w:hint="eastAsia" w:ascii="仿宋_GB2312" w:hAnsi="仿宋_GB2312" w:eastAsia="仿宋_GB2312" w:cs="仿宋_GB2312"/>
          <w:bCs/>
          <w:color w:val="auto"/>
          <w:sz w:val="32"/>
          <w:szCs w:val="32"/>
          <w:lang w:val="en-US" w:eastAsia="zh-CN"/>
        </w:rPr>
        <w:t>2023年本）</w:t>
      </w:r>
      <w:r>
        <w:rPr>
          <w:rFonts w:hint="eastAsia" w:ascii="仿宋_GB2312" w:hAnsi="仿宋_GB2312" w:eastAsia="仿宋_GB2312" w:cs="仿宋_GB2312"/>
          <w:bCs/>
          <w:color w:val="auto"/>
          <w:sz w:val="32"/>
          <w:szCs w:val="32"/>
          <w:lang w:eastAsia="zh-CN"/>
        </w:rPr>
        <w:t>【1</w:t>
      </w:r>
      <w:r>
        <w:rPr>
          <w:rFonts w:hint="eastAsia" w:ascii="仿宋_GB2312" w:hAnsi="仿宋_GB2312" w:eastAsia="仿宋_GB2312" w:cs="仿宋_GB2312"/>
          <w:bCs/>
          <w:color w:val="auto"/>
          <w:sz w:val="32"/>
          <w:szCs w:val="32"/>
          <w:lang w:val="en-US" w:eastAsia="zh-CN"/>
        </w:rPr>
        <w:t>26</w:t>
      </w:r>
      <w:r>
        <w:rPr>
          <w:rFonts w:hint="eastAsia" w:ascii="仿宋_GB2312" w:hAnsi="仿宋_GB2312" w:eastAsia="仿宋_GB2312" w:cs="仿宋_GB2312"/>
          <w:bCs/>
          <w:color w:val="auto"/>
          <w:sz w:val="32"/>
          <w:szCs w:val="32"/>
          <w:lang w:eastAsia="zh-CN"/>
        </w:rPr>
        <w:t>】条第一款第（一）项第</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目“【</w:t>
      </w:r>
      <w:r>
        <w:rPr>
          <w:rFonts w:hint="eastAsia" w:ascii="仿宋_GB2312" w:hAnsi="仿宋_GB2312" w:eastAsia="仿宋_GB2312" w:cs="仿宋_GB2312"/>
          <w:bCs/>
          <w:color w:val="auto"/>
          <w:sz w:val="32"/>
          <w:szCs w:val="32"/>
          <w:lang w:val="en-US" w:eastAsia="zh-CN"/>
        </w:rPr>
        <w:t>126</w:t>
      </w:r>
      <w:r>
        <w:rPr>
          <w:rFonts w:hint="eastAsia" w:ascii="仿宋_GB2312" w:hAnsi="仿宋_GB2312" w:eastAsia="仿宋_GB2312" w:cs="仿宋_GB2312"/>
          <w:bCs/>
          <w:color w:val="auto"/>
          <w:sz w:val="32"/>
          <w:szCs w:val="32"/>
          <w:lang w:eastAsia="zh-CN"/>
        </w:rPr>
        <w:t>】第一百二十四条第一款“处五万元以上十万元以下罚款”裁量基准的规定。（一）符合下列情形之一的，可以减轻行政处罚，处五</w:t>
      </w:r>
      <w:r>
        <w:rPr>
          <w:rFonts w:hint="eastAsia" w:ascii="仿宋_GB2312" w:hAnsi="仿宋_GB2312" w:eastAsia="仿宋_GB2312" w:cs="仿宋_GB2312"/>
          <w:bCs/>
          <w:color w:val="auto"/>
          <w:sz w:val="32"/>
          <w:szCs w:val="32"/>
          <w:lang w:val="en-US" w:eastAsia="zh-CN"/>
        </w:rPr>
        <w:t>万元以下罚款：1.</w:t>
      </w:r>
      <w:r>
        <w:rPr>
          <w:rFonts w:hint="eastAsia" w:ascii="仿宋_GB2312" w:hAnsi="仿宋_GB2312" w:eastAsia="仿宋_GB2312" w:cs="仿宋_GB2312"/>
          <w:bCs/>
          <w:color w:val="auto"/>
          <w:sz w:val="32"/>
          <w:szCs w:val="32"/>
          <w:lang w:eastAsia="zh-CN"/>
        </w:rPr>
        <w:t>涉案食品货值金额</w:t>
      </w:r>
      <w:r>
        <w:rPr>
          <w:rFonts w:hint="eastAsia" w:ascii="仿宋_GB2312" w:hAnsi="仿宋_GB2312" w:eastAsia="仿宋_GB2312" w:cs="仿宋_GB2312"/>
          <w:bCs/>
          <w:color w:val="auto"/>
          <w:sz w:val="32"/>
          <w:szCs w:val="32"/>
          <w:lang w:val="en-US" w:eastAsia="zh-CN"/>
        </w:rPr>
        <w:t>三千元</w:t>
      </w:r>
      <w:r>
        <w:rPr>
          <w:rFonts w:hint="eastAsia" w:ascii="仿宋_GB2312" w:hAnsi="仿宋_GB2312" w:eastAsia="仿宋_GB2312" w:cs="仿宋_GB2312"/>
          <w:bCs/>
          <w:color w:val="auto"/>
          <w:sz w:val="32"/>
          <w:szCs w:val="32"/>
          <w:lang w:eastAsia="zh-CN"/>
        </w:rPr>
        <w:t>以下的；”之规定，决定</w:t>
      </w:r>
      <w:r>
        <w:rPr>
          <w:rFonts w:hint="eastAsia" w:ascii="仿宋_GB2312" w:hAnsi="仿宋_GB2312" w:eastAsia="仿宋_GB2312" w:cs="仿宋_GB2312"/>
          <w:bCs/>
          <w:color w:val="auto"/>
          <w:sz w:val="32"/>
          <w:szCs w:val="32"/>
          <w:lang w:val="en-US" w:eastAsia="zh-CN"/>
        </w:rPr>
        <w:t>责令当事人改正违法行为并予以减轻处罚如下：1.没收违法所得10</w:t>
      </w:r>
      <w:r>
        <w:rPr>
          <w:rFonts w:hint="eastAsia" w:ascii="仿宋_GB2312" w:hAnsi="仿宋_GB2312" w:eastAsia="仿宋_GB2312" w:cs="仿宋_GB2312"/>
          <w:bCs/>
          <w:color w:val="auto"/>
          <w:sz w:val="32"/>
          <w:szCs w:val="32"/>
          <w:lang w:eastAsia="zh-CN"/>
        </w:rPr>
        <w:t>元；</w:t>
      </w:r>
      <w:r>
        <w:rPr>
          <w:rFonts w:hint="eastAsia" w:ascii="仿宋_GB2312" w:hAnsi="仿宋_GB2312" w:eastAsia="仿宋_GB2312" w:cs="仿宋_GB2312"/>
          <w:color w:val="auto"/>
          <w:sz w:val="32"/>
          <w:szCs w:val="32"/>
        </w:rPr>
        <w:t>2.罚款人民币</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当事人未按规定建立食用农产品进货查验记录制度的行为，</w:t>
      </w:r>
      <w:r>
        <w:rPr>
          <w:rFonts w:hint="eastAsia" w:ascii="仿宋_GB2312" w:hAnsi="仿宋_GB2312" w:eastAsia="仿宋_GB2312" w:cs="仿宋_GB2312"/>
          <w:bCs/>
          <w:color w:val="auto"/>
          <w:sz w:val="32"/>
          <w:szCs w:val="32"/>
          <w:lang w:eastAsia="zh-CN"/>
        </w:rPr>
        <w:t>依据《食用农产品市场销售质量安全监督管理办法》第三十九条第一款第（一）项的规定：“有下列情形之一的，由县级以上市场监督管理部门依照食品安全法第一百二十六条第一款的规定给予处罚：（一）销售者违反本办法第八条第一款规定，未按要求建立食用农产品进货查验记录制度，或者未按要求索取进货凭证的；”</w:t>
      </w:r>
      <w:r>
        <w:rPr>
          <w:rFonts w:hint="eastAsia" w:hAnsi="仿宋_GB2312" w:eastAsia="仿宋_GB2312" w:cs="仿宋_GB2312"/>
          <w:b w:val="0"/>
          <w:bCs/>
          <w:color w:val="auto"/>
          <w:sz w:val="32"/>
          <w:szCs w:val="32"/>
          <w:lang w:val="en-US" w:eastAsia="zh-CN"/>
        </w:rPr>
        <w:t>和《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color w:val="auto"/>
          <w:sz w:val="32"/>
          <w:szCs w:val="32"/>
          <w:lang w:eastAsia="zh-CN"/>
        </w:rPr>
        <w:t>决定</w:t>
      </w:r>
      <w:r>
        <w:rPr>
          <w:rFonts w:hint="eastAsia" w:ascii="仿宋_GB2312" w:hAnsi="仿宋_GB2312" w:eastAsia="仿宋_GB2312" w:cs="仿宋_GB2312"/>
          <w:color w:val="auto"/>
          <w:sz w:val="32"/>
          <w:szCs w:val="32"/>
        </w:rPr>
        <w:t>责令当事人改正违法行为并予以</w:t>
      </w:r>
      <w:r>
        <w:rPr>
          <w:rFonts w:hint="eastAsia" w:ascii="仿宋_GB2312" w:hAnsi="仿宋_GB2312" w:eastAsia="仿宋_GB2312" w:cs="仿宋_GB2312"/>
          <w:color w:val="auto"/>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hAnsi="仿宋_GB2312" w:eastAsia="仿宋_GB2312" w:cs="仿宋_GB2312"/>
          <w:b w:val="0"/>
          <w:bCs/>
          <w:color w:val="auto"/>
          <w:sz w:val="32"/>
          <w:szCs w:val="32"/>
          <w:lang w:val="en-US" w:eastAsia="zh-CN"/>
        </w:rPr>
        <w:t>综上所述，</w:t>
      </w:r>
      <w:r>
        <w:rPr>
          <w:rFonts w:hint="eastAsia" w:ascii="仿宋_GB2312" w:hAnsi="仿宋_GB2312" w:eastAsia="仿宋_GB2312" w:cs="仿宋_GB2312"/>
          <w:bCs/>
          <w:color w:val="auto"/>
          <w:sz w:val="32"/>
          <w:szCs w:val="32"/>
          <w:lang w:eastAsia="zh-CN"/>
        </w:rPr>
        <w:t>依据《食用农产品市场销售质量安全监督管理办法》第四十二条、第三十九条第一款第（一）项，</w:t>
      </w:r>
      <w:r>
        <w:rPr>
          <w:rFonts w:hint="eastAsia" w:ascii="仿宋_GB2312" w:hAnsi="仿宋_GB2312" w:eastAsia="仿宋_GB2312" w:cs="仿宋_GB2312"/>
          <w:color w:val="auto"/>
          <w:sz w:val="32"/>
          <w:szCs w:val="32"/>
        </w:rPr>
        <w:t>《中华人民共和国食品安全法》第一百二十四条第一款第（一）项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第一百二十六条第一款和第四款、</w:t>
      </w:r>
      <w:r>
        <w:rPr>
          <w:rFonts w:hint="eastAsia" w:ascii="仿宋_GB2312" w:hAnsi="仿宋_GB2312" w:eastAsia="仿宋_GB2312" w:cs="仿宋_GB2312"/>
          <w:bCs/>
          <w:color w:val="auto"/>
          <w:sz w:val="32"/>
          <w:szCs w:val="32"/>
          <w:lang w:eastAsia="zh-CN"/>
        </w:rPr>
        <w:t>《中华人民共和国行政处罚法》第二十</w:t>
      </w:r>
      <w:r>
        <w:rPr>
          <w:rFonts w:hint="eastAsia" w:ascii="仿宋_GB2312" w:hAnsi="仿宋_GB2312" w:eastAsia="仿宋_GB2312" w:cs="仿宋_GB2312"/>
          <w:bCs/>
          <w:color w:val="auto"/>
          <w:sz w:val="32"/>
          <w:szCs w:val="32"/>
          <w:lang w:val="en-US" w:eastAsia="zh-CN"/>
        </w:rPr>
        <w:t>八条第一款</w:t>
      </w:r>
      <w:r>
        <w:rPr>
          <w:rFonts w:hint="eastAsia" w:ascii="仿宋_GB2312" w:hAnsi="仿宋_GB2312" w:eastAsia="仿宋_GB2312" w:cs="仿宋_GB2312"/>
          <w:bCs/>
          <w:color w:val="auto"/>
          <w:sz w:val="32"/>
          <w:szCs w:val="32"/>
          <w:lang w:eastAsia="zh-CN"/>
        </w:rPr>
        <w:t>、第</w:t>
      </w:r>
      <w:r>
        <w:rPr>
          <w:rFonts w:hint="eastAsia" w:ascii="仿宋_GB2312" w:hAnsi="仿宋_GB2312" w:eastAsia="仿宋_GB2312" w:cs="仿宋_GB2312"/>
          <w:bCs/>
          <w:color w:val="auto"/>
          <w:sz w:val="32"/>
          <w:szCs w:val="32"/>
          <w:lang w:val="en-US" w:eastAsia="zh-CN"/>
        </w:rPr>
        <w:t>三十二</w:t>
      </w:r>
      <w:r>
        <w:rPr>
          <w:rFonts w:hint="eastAsia" w:ascii="仿宋_GB2312" w:hAnsi="仿宋_GB2312" w:eastAsia="仿宋_GB2312" w:cs="仿宋_GB2312"/>
          <w:bCs/>
          <w:color w:val="auto"/>
          <w:sz w:val="32"/>
          <w:szCs w:val="32"/>
          <w:lang w:eastAsia="zh-CN"/>
        </w:rPr>
        <w:t>条第一款第（一）项之规定、参照《安徽省市场监督管理行政处罚裁量权基准》（</w:t>
      </w:r>
      <w:r>
        <w:rPr>
          <w:rFonts w:hint="eastAsia" w:ascii="仿宋_GB2312" w:hAnsi="仿宋_GB2312" w:eastAsia="仿宋_GB2312" w:cs="仿宋_GB2312"/>
          <w:bCs/>
          <w:color w:val="auto"/>
          <w:sz w:val="32"/>
          <w:szCs w:val="32"/>
          <w:lang w:val="en-US" w:eastAsia="zh-CN"/>
        </w:rPr>
        <w:t>2023年本）</w:t>
      </w:r>
      <w:r>
        <w:rPr>
          <w:rFonts w:hint="eastAsia" w:ascii="仿宋_GB2312" w:hAnsi="仿宋_GB2312" w:eastAsia="仿宋_GB2312" w:cs="仿宋_GB2312"/>
          <w:bCs/>
          <w:color w:val="auto"/>
          <w:sz w:val="32"/>
          <w:szCs w:val="32"/>
          <w:lang w:eastAsia="zh-CN"/>
        </w:rPr>
        <w:t>【1</w:t>
      </w:r>
      <w:r>
        <w:rPr>
          <w:rFonts w:hint="eastAsia" w:ascii="仿宋_GB2312" w:hAnsi="仿宋_GB2312" w:eastAsia="仿宋_GB2312" w:cs="仿宋_GB2312"/>
          <w:bCs/>
          <w:color w:val="auto"/>
          <w:sz w:val="32"/>
          <w:szCs w:val="32"/>
          <w:lang w:val="en-US" w:eastAsia="zh-CN"/>
        </w:rPr>
        <w:t>26</w:t>
      </w:r>
      <w:r>
        <w:rPr>
          <w:rFonts w:hint="eastAsia" w:ascii="仿宋_GB2312" w:hAnsi="仿宋_GB2312" w:eastAsia="仿宋_GB2312" w:cs="仿宋_GB2312"/>
          <w:bCs/>
          <w:color w:val="auto"/>
          <w:sz w:val="32"/>
          <w:szCs w:val="32"/>
          <w:lang w:eastAsia="zh-CN"/>
        </w:rPr>
        <w:t>】条第一款第（一）项第</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目之规定，建议责令当事人立即改正违法行为并对当事人减轻处罚如下：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1.警告；2</w:t>
      </w:r>
      <w:r>
        <w:rPr>
          <w:rFonts w:hint="eastAsia" w:ascii="仿宋_GB2312" w:hAnsi="仿宋_GB2312" w:eastAsia="仿宋_GB2312" w:cs="仿宋_GB2312"/>
          <w:color w:val="auto"/>
          <w:sz w:val="32"/>
          <w:szCs w:val="32"/>
        </w:rPr>
        <w:t>.没收违法所得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.罚款人民币</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pStyle w:val="2"/>
        <w:keepNext w:val="0"/>
        <w:keepLines w:val="0"/>
        <w:pageBreakBefore w:val="0"/>
        <w:kinsoku/>
        <w:wordWrap/>
        <w:overflowPunct/>
        <w:topLinePunct w:val="0"/>
        <w:bidi w:val="0"/>
        <w:adjustRightInd w:val="0"/>
        <w:spacing w:line="560" w:lineRule="exact"/>
        <w:ind w:left="0" w:leftChars="0" w:firstLine="0" w:firstLineChars="0"/>
        <w:rPr>
          <w:rFonts w:hint="eastAsia"/>
        </w:rPr>
      </w:pPr>
    </w:p>
    <w:p>
      <w:pPr>
        <w:pStyle w:val="2"/>
        <w:keepNext w:val="0"/>
        <w:keepLines w:val="0"/>
        <w:pageBreakBefore w:val="0"/>
        <w:kinsoku/>
        <w:wordWrap/>
        <w:overflowPunct/>
        <w:topLinePunct w:val="0"/>
        <w:bidi w:val="0"/>
        <w:adjustRightInd w:val="0"/>
        <w:spacing w:line="560" w:lineRule="exact"/>
        <w:ind w:left="0" w:leftChars="0" w:firstLine="0" w:firstLineChars="0"/>
        <w:rPr>
          <w:rFonts w:hint="eastAsia"/>
        </w:rPr>
      </w:pPr>
    </w:p>
    <w:p>
      <w:pPr>
        <w:keepNext w:val="0"/>
        <w:keepLines w:val="0"/>
        <w:pageBreakBefore w:val="0"/>
        <w:widowControl w:val="0"/>
        <w:kinsoku/>
        <w:wordWrap/>
        <w:overflowPunct/>
        <w:topLinePunct w:val="0"/>
        <w:bidi w:val="0"/>
        <w:adjustRightInd w:val="0"/>
        <w:snapToGrid w:val="0"/>
        <w:spacing w:line="560" w:lineRule="exact"/>
        <w:ind w:firstLine="4800" w:firstLineChars="1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淮南市市场监督管理局</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w:t>
      </w: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ind w:left="0" w:leftChars="0" w:firstLine="0" w:firstLineChars="0"/>
        <w:rPr>
          <w:rFonts w:hint="eastAsia" w:ascii="仿宋_GB2312" w:hAnsi="仿宋_GB2312" w:eastAsia="仿宋_GB2312" w:cs="仿宋_GB2312"/>
          <w:sz w:val="32"/>
          <w:szCs w:val="32"/>
          <w:highlight w:val="none"/>
        </w:rPr>
      </w:pPr>
    </w:p>
    <w:p>
      <w:pPr>
        <w:pStyle w:val="3"/>
        <w:keepNext w:val="0"/>
        <w:keepLines w:val="0"/>
        <w:pageBreakBefore w:val="0"/>
        <w:kinsoku/>
        <w:wordWrap/>
        <w:overflowPunct/>
        <w:topLinePunct w:val="0"/>
        <w:bidi w:val="0"/>
        <w:adjustRightInd w:val="0"/>
        <w:snapToGrid w:val="0"/>
        <w:spacing w:before="1" w:line="560" w:lineRule="exac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560" w:lineRule="exact"/>
        <w:textAlignment w:val="auto"/>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kNDI1Yzg0YTBjZmUwNTFlNWI2ODRmMzE5Njg5ZjMifQ=="/>
    <w:docVar w:name="KSO_WPS_MARK_KEY" w:val="7073c3c3-b28f-498c-aa40-d541a56469a2"/>
  </w:docVars>
  <w:rsids>
    <w:rsidRoot w:val="3AD15E25"/>
    <w:rsid w:val="0091065E"/>
    <w:rsid w:val="00A60B94"/>
    <w:rsid w:val="00A85C53"/>
    <w:rsid w:val="00B40D21"/>
    <w:rsid w:val="00B77725"/>
    <w:rsid w:val="03DD6B0A"/>
    <w:rsid w:val="04222A5F"/>
    <w:rsid w:val="05557691"/>
    <w:rsid w:val="05C95C01"/>
    <w:rsid w:val="05F92DDC"/>
    <w:rsid w:val="08D069EB"/>
    <w:rsid w:val="08FC41B3"/>
    <w:rsid w:val="09EB1B63"/>
    <w:rsid w:val="0A466568"/>
    <w:rsid w:val="0AC94872"/>
    <w:rsid w:val="0B006766"/>
    <w:rsid w:val="0CAC0DEC"/>
    <w:rsid w:val="0CCC323C"/>
    <w:rsid w:val="11671785"/>
    <w:rsid w:val="141B194C"/>
    <w:rsid w:val="166444E5"/>
    <w:rsid w:val="185E3FD1"/>
    <w:rsid w:val="1A587534"/>
    <w:rsid w:val="209C2051"/>
    <w:rsid w:val="2148092D"/>
    <w:rsid w:val="21E37453"/>
    <w:rsid w:val="22457241"/>
    <w:rsid w:val="24131719"/>
    <w:rsid w:val="249E10C1"/>
    <w:rsid w:val="24FF0ED0"/>
    <w:rsid w:val="25E535EB"/>
    <w:rsid w:val="26412E9B"/>
    <w:rsid w:val="29401E25"/>
    <w:rsid w:val="29C57696"/>
    <w:rsid w:val="2A37034E"/>
    <w:rsid w:val="2A8A4AA6"/>
    <w:rsid w:val="2B0F3F82"/>
    <w:rsid w:val="2D9A4369"/>
    <w:rsid w:val="32CF7DA6"/>
    <w:rsid w:val="33044FA9"/>
    <w:rsid w:val="33C81542"/>
    <w:rsid w:val="34643731"/>
    <w:rsid w:val="35202463"/>
    <w:rsid w:val="3ABE2AF5"/>
    <w:rsid w:val="3AD15E25"/>
    <w:rsid w:val="3B74479D"/>
    <w:rsid w:val="3C3D4E15"/>
    <w:rsid w:val="40D84BFE"/>
    <w:rsid w:val="416F6B49"/>
    <w:rsid w:val="481036F5"/>
    <w:rsid w:val="4A4C332E"/>
    <w:rsid w:val="4D5A5BCD"/>
    <w:rsid w:val="4E7B1D26"/>
    <w:rsid w:val="4FE21E3E"/>
    <w:rsid w:val="50A30B64"/>
    <w:rsid w:val="5478329F"/>
    <w:rsid w:val="5714026E"/>
    <w:rsid w:val="5A8F4E1E"/>
    <w:rsid w:val="5AD163BA"/>
    <w:rsid w:val="5AD57930"/>
    <w:rsid w:val="5B851D19"/>
    <w:rsid w:val="5BA86AF7"/>
    <w:rsid w:val="5BDF0CAA"/>
    <w:rsid w:val="5DDC214F"/>
    <w:rsid w:val="64E075C0"/>
    <w:rsid w:val="65B20DEA"/>
    <w:rsid w:val="6A210391"/>
    <w:rsid w:val="6DE226AC"/>
    <w:rsid w:val="6F123EE3"/>
    <w:rsid w:val="705B4AF4"/>
    <w:rsid w:val="72330BA2"/>
    <w:rsid w:val="72363AD7"/>
    <w:rsid w:val="74B45A34"/>
    <w:rsid w:val="76CF0D95"/>
    <w:rsid w:val="7B323902"/>
    <w:rsid w:val="7B736201"/>
    <w:rsid w:val="7CD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内文"/>
    <w:basedOn w:val="9"/>
    <w:qFormat/>
    <w:uiPriority w:val="99"/>
    <w:pPr>
      <w:ind w:firstLine="567"/>
    </w:pPr>
  </w:style>
  <w:style w:type="paragraph" w:customStyle="1" w:styleId="9">
    <w:name w:val="段落样式1"/>
    <w:basedOn w:val="10"/>
    <w:qFormat/>
    <w:uiPriority w:val="99"/>
    <w:pPr>
      <w:spacing w:line="460" w:lineRule="atLeast"/>
    </w:pPr>
    <w:rPr>
      <w:sz w:val="30"/>
      <w:szCs w:val="30"/>
    </w:rPr>
  </w:style>
  <w:style w:type="paragraph" w:customStyle="1" w:styleId="10">
    <w:name w:val="[无段落样式]"/>
    <w:qFormat/>
    <w:uiPriority w:val="0"/>
    <w:pPr>
      <w:widowControl w:val="0"/>
      <w:autoSpaceDE w:val="0"/>
      <w:autoSpaceDN w:val="0"/>
      <w:adjustRightInd w:val="0"/>
      <w:spacing w:line="288" w:lineRule="auto"/>
      <w:jc w:val="both"/>
      <w:textAlignment w:val="center"/>
    </w:pPr>
    <w:rPr>
      <w:rFonts w:ascii="宋体" w:hAnsi="Calibri"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3284</Words>
  <Characters>3551</Characters>
  <Lines>20</Lines>
  <Paragraphs>5</Paragraphs>
  <TotalTime>22</TotalTime>
  <ScaleCrop>false</ScaleCrop>
  <LinksUpToDate>false</LinksUpToDate>
  <CharactersWithSpaces>3770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attorney</cp:lastModifiedBy>
  <cp:lastPrinted>2023-11-28T03:32:00Z</cp:lastPrinted>
  <dcterms:modified xsi:type="dcterms:W3CDTF">2024-04-19T07:58:19Z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FF656211E8094786BF1B93BFE5B6A056</vt:lpwstr>
  </property>
</Properties>
</file>