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ind w:firstLine="547" w:firstLineChars="171"/>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淮南市塑料编织袋产品质量市级监督抽查实施细则</w:t>
      </w:r>
    </w:p>
    <w:p>
      <w:pPr>
        <w:snapToGrid w:val="0"/>
        <w:spacing w:line="440" w:lineRule="exact"/>
        <w:ind w:firstLine="547" w:firstLineChars="171"/>
        <w:jc w:val="center"/>
        <w:rPr>
          <w:rFonts w:ascii="方正公文小标宋" w:hAnsi="方正公文小标宋" w:eastAsia="方正公文小标宋" w:cs="方正公文小标宋"/>
          <w:sz w:val="32"/>
          <w:szCs w:val="32"/>
        </w:rPr>
      </w:pPr>
      <w:r>
        <w:rPr>
          <w:rFonts w:hint="eastAsia" w:ascii="方正小标宋简体" w:hAnsi="方正小标宋简体" w:eastAsia="方正小标宋简体" w:cs="方正小标宋简体"/>
          <w:sz w:val="32"/>
          <w:szCs w:val="32"/>
        </w:rPr>
        <w:t>（2025版）</w:t>
      </w: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rFonts w:ascii="宋体" w:hAnsi="宋体"/>
          <w:szCs w:val="21"/>
        </w:rPr>
      </w:pPr>
      <w:r>
        <w:rPr>
          <w:rFonts w:hint="eastAsia" w:ascii="宋体" w:hAnsi="宋体"/>
          <w:szCs w:val="21"/>
        </w:rPr>
        <w:t>随机数一般可使用随机数表等方法产生。</w:t>
      </w:r>
    </w:p>
    <w:p>
      <w:pPr>
        <w:snapToGrid w:val="0"/>
        <w:spacing w:line="440" w:lineRule="exact"/>
        <w:ind w:firstLine="420" w:firstLineChars="200"/>
      </w:pPr>
      <w:r>
        <w:rPr>
          <w:rFonts w:hint="eastAsia"/>
        </w:rPr>
        <w:t>抽取样品应为同一型号规格、同一批次的产品。</w:t>
      </w:r>
    </w:p>
    <w:p>
      <w:pPr>
        <w:snapToGrid w:val="0"/>
        <w:spacing w:line="440" w:lineRule="exact"/>
        <w:ind w:firstLine="420" w:firstLineChars="200"/>
        <w:rPr>
          <w:rFonts w:ascii="宋体" w:hAnsi="宋体" w:cs="宋体"/>
        </w:rPr>
      </w:pPr>
      <w:r>
        <w:rPr>
          <w:rFonts w:hint="eastAsia" w:ascii="宋体" w:hAnsi="宋体" w:cs="宋体"/>
        </w:rPr>
        <w:t>生产领域在企业产品代销存储库中抽取；流通领域在商店抽取。每批样品取</w:t>
      </w:r>
      <w:r>
        <w:rPr>
          <w:rFonts w:hint="eastAsia"/>
          <w:color w:val="000000"/>
        </w:rPr>
        <w:t>30条</w:t>
      </w:r>
      <w:r>
        <w:rPr>
          <w:rFonts w:hint="eastAsia" w:ascii="宋体" w:hAnsi="宋体" w:cs="宋体"/>
        </w:rPr>
        <w:t>×2份，一份作为检验样品，一份作为备用样品。</w:t>
      </w:r>
    </w:p>
    <w:p>
      <w:pPr>
        <w:snapToGrid w:val="0"/>
        <w:spacing w:line="440" w:lineRule="exact"/>
        <w:ind w:firstLine="420" w:firstLineChars="200"/>
        <w:rPr>
          <w:color w:val="000000"/>
        </w:rPr>
      </w:pPr>
      <w:r>
        <w:rPr>
          <w:rFonts w:hint="eastAsia" w:ascii="宋体" w:hAnsi="宋体" w:cs="宋体"/>
        </w:rPr>
        <w:t>抽查样品基数满足抽样数量即可。</w:t>
      </w:r>
    </w:p>
    <w:p>
      <w:pPr>
        <w:snapToGrid w:val="0"/>
        <w:spacing w:line="440" w:lineRule="exact"/>
        <w:rPr>
          <w:rFonts w:eastAsia="黑体"/>
          <w:szCs w:val="21"/>
        </w:rPr>
      </w:pPr>
      <w:r>
        <w:rPr>
          <w:rFonts w:eastAsia="黑体"/>
          <w:szCs w:val="21"/>
        </w:rPr>
        <w:t>2 检验依据</w:t>
      </w:r>
    </w:p>
    <w:p>
      <w:pPr>
        <w:widowControl/>
        <w:spacing w:before="100" w:beforeAutospacing="1" w:after="100" w:afterAutospacing="1" w:line="30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表1、塑料</w:t>
      </w:r>
      <w:r>
        <w:rPr>
          <w:rFonts w:hint="eastAsia" w:ascii="宋体" w:hAnsi="宋体" w:cs="宋体"/>
          <w:color w:val="000000"/>
          <w:kern w:val="0"/>
          <w:szCs w:val="21"/>
          <w:lang w:eastAsia="zh-CN"/>
        </w:rPr>
        <w:t>编织袋</w:t>
      </w:r>
      <w:bookmarkStart w:id="0" w:name="_GoBack"/>
      <w:bookmarkEnd w:id="0"/>
    </w:p>
    <w:tbl>
      <w:tblPr>
        <w:tblStyle w:val="8"/>
        <w:tblW w:w="8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9"/>
        <w:gridCol w:w="3524"/>
        <w:gridCol w:w="3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exact"/>
          <w:tblHeader/>
          <w:jc w:val="center"/>
        </w:trPr>
        <w:tc>
          <w:tcPr>
            <w:tcW w:w="1589" w:type="dxa"/>
            <w:vMerge w:val="restart"/>
            <w:noWrap/>
            <w:vAlign w:val="center"/>
          </w:tcPr>
          <w:p>
            <w:pPr>
              <w:snapToGrid w:val="0"/>
              <w:jc w:val="center"/>
              <w:rPr>
                <w:rFonts w:ascii="宋体" w:hAnsi="宋体" w:cs="宋体"/>
                <w:kern w:val="0"/>
                <w:szCs w:val="21"/>
              </w:rPr>
            </w:pPr>
            <w:r>
              <w:rPr>
                <w:rFonts w:hint="eastAsia" w:ascii="宋体" w:hAnsi="宋体" w:cs="宋体"/>
                <w:kern w:val="0"/>
                <w:szCs w:val="21"/>
              </w:rPr>
              <w:t>序号</w:t>
            </w:r>
          </w:p>
        </w:tc>
        <w:tc>
          <w:tcPr>
            <w:tcW w:w="3524" w:type="dxa"/>
            <w:vMerge w:val="restart"/>
            <w:noWrap/>
            <w:vAlign w:val="center"/>
          </w:tcPr>
          <w:p>
            <w:pPr>
              <w:snapToGrid w:val="0"/>
              <w:jc w:val="center"/>
              <w:rPr>
                <w:rFonts w:ascii="宋体" w:hAnsi="宋体" w:cs="宋体"/>
                <w:kern w:val="0"/>
                <w:szCs w:val="21"/>
              </w:rPr>
            </w:pPr>
            <w:r>
              <w:rPr>
                <w:rFonts w:hint="eastAsia" w:ascii="宋体" w:hAnsi="宋体" w:cs="宋体"/>
                <w:kern w:val="0"/>
                <w:szCs w:val="21"/>
              </w:rPr>
              <w:t>检验项目</w:t>
            </w:r>
          </w:p>
        </w:tc>
        <w:tc>
          <w:tcPr>
            <w:tcW w:w="3305" w:type="dxa"/>
            <w:vMerge w:val="restart"/>
            <w:noWrap/>
            <w:vAlign w:val="center"/>
          </w:tcPr>
          <w:p>
            <w:pPr>
              <w:snapToGrid w:val="0"/>
              <w:jc w:val="center"/>
              <w:rPr>
                <w:rFonts w:ascii="宋体" w:hAnsi="宋体" w:cs="宋体"/>
                <w:kern w:val="0"/>
                <w:szCs w:val="21"/>
              </w:rPr>
            </w:pPr>
            <w:r>
              <w:rPr>
                <w:rFonts w:hint="eastAsia" w:ascii="宋体" w:hAnsi="宋体" w:cs="宋体"/>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tblHeader/>
          <w:jc w:val="center"/>
        </w:trPr>
        <w:tc>
          <w:tcPr>
            <w:tcW w:w="1589" w:type="dxa"/>
            <w:vMerge w:val="continue"/>
            <w:noWrap/>
            <w:vAlign w:val="center"/>
          </w:tcPr>
          <w:p>
            <w:pPr>
              <w:snapToGrid w:val="0"/>
              <w:jc w:val="center"/>
              <w:rPr>
                <w:rFonts w:ascii="宋体" w:hAnsi="宋体" w:cs="宋体"/>
                <w:kern w:val="0"/>
                <w:szCs w:val="21"/>
              </w:rPr>
            </w:pPr>
          </w:p>
        </w:tc>
        <w:tc>
          <w:tcPr>
            <w:tcW w:w="3524" w:type="dxa"/>
            <w:vMerge w:val="continue"/>
            <w:noWrap/>
            <w:vAlign w:val="center"/>
          </w:tcPr>
          <w:p>
            <w:pPr>
              <w:snapToGrid w:val="0"/>
              <w:jc w:val="center"/>
              <w:rPr>
                <w:rFonts w:ascii="宋体" w:hAnsi="宋体" w:cs="宋体"/>
                <w:kern w:val="0"/>
                <w:szCs w:val="21"/>
              </w:rPr>
            </w:pPr>
          </w:p>
        </w:tc>
        <w:tc>
          <w:tcPr>
            <w:tcW w:w="3305" w:type="dxa"/>
            <w:vMerge w:val="continue"/>
            <w:noWrap/>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exact"/>
          <w:jc w:val="center"/>
        </w:trPr>
        <w:tc>
          <w:tcPr>
            <w:tcW w:w="1589" w:type="dxa"/>
            <w:noWrap/>
            <w:vAlign w:val="center"/>
          </w:tcPr>
          <w:p>
            <w:pPr>
              <w:snapToGrid w:val="0"/>
              <w:jc w:val="center"/>
              <w:rPr>
                <w:rFonts w:ascii="宋体" w:hAnsi="宋体" w:cs="宋体"/>
                <w:szCs w:val="21"/>
              </w:rPr>
            </w:pPr>
            <w:r>
              <w:rPr>
                <w:rFonts w:hint="eastAsia" w:ascii="宋体" w:hAnsi="宋体" w:cs="宋体"/>
                <w:szCs w:val="21"/>
              </w:rPr>
              <w:t>1</w:t>
            </w:r>
          </w:p>
        </w:tc>
        <w:tc>
          <w:tcPr>
            <w:tcW w:w="3524" w:type="dxa"/>
            <w:noWrap/>
            <w:vAlign w:val="center"/>
          </w:tcPr>
          <w:p>
            <w:pPr>
              <w:widowControl/>
              <w:spacing w:line="320" w:lineRule="atLeast"/>
              <w:jc w:val="center"/>
              <w:rPr>
                <w:kern w:val="0"/>
                <w:szCs w:val="21"/>
              </w:rPr>
            </w:pPr>
            <w:r>
              <w:rPr>
                <w:rFonts w:hint="eastAsia" w:ascii="宋体" w:hAnsi="宋体"/>
                <w:kern w:val="0"/>
                <w:sz w:val="18"/>
                <w:szCs w:val="18"/>
              </w:rPr>
              <w:t>外观质量</w:t>
            </w:r>
          </w:p>
        </w:tc>
        <w:tc>
          <w:tcPr>
            <w:tcW w:w="3305" w:type="dxa"/>
            <w:noWrap/>
            <w:vAlign w:val="center"/>
          </w:tcPr>
          <w:p>
            <w:pPr>
              <w:widowControl/>
              <w:spacing w:line="320" w:lineRule="atLeast"/>
              <w:jc w:val="center"/>
              <w:rPr>
                <w:kern w:val="0"/>
                <w:szCs w:val="21"/>
              </w:rPr>
            </w:pPr>
            <w:r>
              <w:rPr>
                <w:rFonts w:ascii="宋体" w:hAnsi="宋体"/>
                <w:kern w:val="0"/>
                <w:sz w:val="18"/>
                <w:szCs w:val="18"/>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exact"/>
          <w:jc w:val="center"/>
        </w:trPr>
        <w:tc>
          <w:tcPr>
            <w:tcW w:w="1589" w:type="dxa"/>
            <w:noWrap/>
            <w:vAlign w:val="center"/>
          </w:tcPr>
          <w:p>
            <w:pPr>
              <w:snapToGrid w:val="0"/>
              <w:jc w:val="center"/>
              <w:rPr>
                <w:rFonts w:ascii="宋体" w:hAnsi="宋体" w:cs="宋体"/>
                <w:szCs w:val="21"/>
              </w:rPr>
            </w:pPr>
            <w:r>
              <w:rPr>
                <w:rFonts w:hint="eastAsia" w:ascii="宋体" w:hAnsi="宋体" w:cs="宋体"/>
                <w:szCs w:val="21"/>
              </w:rPr>
              <w:t>2</w:t>
            </w:r>
          </w:p>
        </w:tc>
        <w:tc>
          <w:tcPr>
            <w:tcW w:w="3524" w:type="dxa"/>
            <w:noWrap/>
            <w:vAlign w:val="center"/>
          </w:tcPr>
          <w:p>
            <w:pPr>
              <w:widowControl/>
              <w:spacing w:line="320" w:lineRule="atLeast"/>
              <w:jc w:val="center"/>
              <w:rPr>
                <w:kern w:val="0"/>
                <w:szCs w:val="21"/>
              </w:rPr>
            </w:pPr>
            <w:r>
              <w:rPr>
                <w:rFonts w:hint="eastAsia" w:ascii="宋体" w:hAnsi="宋体"/>
                <w:kern w:val="0"/>
                <w:sz w:val="18"/>
                <w:szCs w:val="18"/>
              </w:rPr>
              <w:t>允许偏差</w:t>
            </w:r>
          </w:p>
        </w:tc>
        <w:tc>
          <w:tcPr>
            <w:tcW w:w="3305" w:type="dxa"/>
            <w:noWrap/>
            <w:vAlign w:val="center"/>
          </w:tcPr>
          <w:p>
            <w:pPr>
              <w:widowControl/>
              <w:spacing w:line="320" w:lineRule="atLeast"/>
              <w:jc w:val="center"/>
              <w:rPr>
                <w:kern w:val="0"/>
                <w:szCs w:val="21"/>
              </w:rPr>
            </w:pPr>
            <w:r>
              <w:rPr>
                <w:rFonts w:ascii="宋体" w:hAnsi="宋体"/>
                <w:kern w:val="0"/>
                <w:sz w:val="18"/>
                <w:szCs w:val="18"/>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exact"/>
          <w:jc w:val="center"/>
        </w:trPr>
        <w:tc>
          <w:tcPr>
            <w:tcW w:w="1589" w:type="dxa"/>
            <w:noWrap/>
            <w:vAlign w:val="center"/>
          </w:tcPr>
          <w:p>
            <w:pPr>
              <w:snapToGrid w:val="0"/>
              <w:jc w:val="center"/>
              <w:rPr>
                <w:rFonts w:ascii="宋体" w:hAnsi="宋体" w:cs="宋体"/>
                <w:szCs w:val="21"/>
              </w:rPr>
            </w:pPr>
            <w:r>
              <w:rPr>
                <w:rFonts w:hint="eastAsia" w:ascii="宋体" w:hAnsi="宋体" w:cs="宋体"/>
                <w:szCs w:val="21"/>
              </w:rPr>
              <w:t>3</w:t>
            </w:r>
          </w:p>
        </w:tc>
        <w:tc>
          <w:tcPr>
            <w:tcW w:w="3524" w:type="dxa"/>
            <w:noWrap/>
            <w:vAlign w:val="center"/>
          </w:tcPr>
          <w:p>
            <w:pPr>
              <w:widowControl/>
              <w:spacing w:line="320" w:lineRule="atLeast"/>
              <w:jc w:val="center"/>
              <w:rPr>
                <w:kern w:val="0"/>
                <w:szCs w:val="21"/>
              </w:rPr>
            </w:pPr>
            <w:r>
              <w:rPr>
                <w:rFonts w:hint="eastAsia" w:ascii="宋体" w:hAnsi="宋体"/>
                <w:kern w:val="0"/>
                <w:sz w:val="18"/>
                <w:szCs w:val="18"/>
              </w:rPr>
              <w:t>拉伸负荷</w:t>
            </w:r>
          </w:p>
        </w:tc>
        <w:tc>
          <w:tcPr>
            <w:tcW w:w="3305" w:type="dxa"/>
            <w:noWrap/>
            <w:vAlign w:val="center"/>
          </w:tcPr>
          <w:p>
            <w:pPr>
              <w:widowControl/>
              <w:spacing w:line="320" w:lineRule="atLeast"/>
              <w:jc w:val="center"/>
              <w:rPr>
                <w:kern w:val="0"/>
                <w:szCs w:val="21"/>
              </w:rPr>
            </w:pPr>
            <w:r>
              <w:rPr>
                <w:rFonts w:ascii="宋体" w:hAnsi="宋体"/>
                <w:kern w:val="0"/>
                <w:sz w:val="18"/>
                <w:szCs w:val="18"/>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1589" w:type="dxa"/>
            <w:noWrap/>
            <w:vAlign w:val="center"/>
          </w:tcPr>
          <w:p>
            <w:pPr>
              <w:snapToGrid w:val="0"/>
              <w:jc w:val="center"/>
              <w:rPr>
                <w:rFonts w:ascii="宋体" w:hAnsi="宋体" w:cs="宋体"/>
                <w:szCs w:val="21"/>
              </w:rPr>
            </w:pPr>
            <w:r>
              <w:rPr>
                <w:rFonts w:hint="eastAsia" w:ascii="宋体" w:hAnsi="宋体" w:cs="宋体"/>
                <w:szCs w:val="21"/>
              </w:rPr>
              <w:t>4</w:t>
            </w:r>
          </w:p>
        </w:tc>
        <w:tc>
          <w:tcPr>
            <w:tcW w:w="3524" w:type="dxa"/>
            <w:noWrap/>
            <w:vAlign w:val="center"/>
          </w:tcPr>
          <w:p>
            <w:pPr>
              <w:widowControl/>
              <w:spacing w:line="320" w:lineRule="atLeast"/>
              <w:jc w:val="center"/>
              <w:rPr>
                <w:kern w:val="0"/>
                <w:szCs w:val="21"/>
              </w:rPr>
            </w:pPr>
            <w:r>
              <w:rPr>
                <w:rFonts w:hint="eastAsia" w:ascii="宋体" w:hAnsi="宋体"/>
                <w:kern w:val="0"/>
                <w:sz w:val="18"/>
                <w:szCs w:val="18"/>
              </w:rPr>
              <w:t>耐热性能</w:t>
            </w:r>
          </w:p>
        </w:tc>
        <w:tc>
          <w:tcPr>
            <w:tcW w:w="3305" w:type="dxa"/>
            <w:noWrap/>
            <w:vAlign w:val="center"/>
          </w:tcPr>
          <w:p>
            <w:pPr>
              <w:widowControl/>
              <w:spacing w:line="320" w:lineRule="atLeast"/>
              <w:jc w:val="center"/>
              <w:rPr>
                <w:kern w:val="0"/>
                <w:szCs w:val="21"/>
              </w:rPr>
            </w:pPr>
            <w:r>
              <w:rPr>
                <w:rFonts w:ascii="宋体" w:hAnsi="宋体"/>
                <w:kern w:val="0"/>
                <w:sz w:val="18"/>
                <w:szCs w:val="18"/>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1589" w:type="dxa"/>
            <w:noWrap/>
            <w:vAlign w:val="center"/>
          </w:tcPr>
          <w:p>
            <w:pPr>
              <w:snapToGrid w:val="0"/>
              <w:jc w:val="center"/>
              <w:rPr>
                <w:rFonts w:ascii="宋体" w:hAnsi="宋体" w:cs="宋体"/>
                <w:szCs w:val="21"/>
              </w:rPr>
            </w:pPr>
            <w:r>
              <w:rPr>
                <w:rFonts w:hint="eastAsia" w:ascii="宋体" w:hAnsi="宋体" w:cs="宋体"/>
                <w:szCs w:val="21"/>
              </w:rPr>
              <w:t>5</w:t>
            </w:r>
          </w:p>
        </w:tc>
        <w:tc>
          <w:tcPr>
            <w:tcW w:w="3524" w:type="dxa"/>
            <w:noWrap/>
            <w:vAlign w:val="center"/>
          </w:tcPr>
          <w:p>
            <w:pPr>
              <w:widowControl/>
              <w:spacing w:line="320" w:lineRule="atLeast"/>
              <w:jc w:val="center"/>
              <w:rPr>
                <w:kern w:val="0"/>
                <w:szCs w:val="21"/>
              </w:rPr>
            </w:pPr>
            <w:r>
              <w:rPr>
                <w:rFonts w:hint="eastAsia" w:ascii="宋体" w:hAnsi="宋体"/>
                <w:kern w:val="0"/>
                <w:sz w:val="18"/>
                <w:szCs w:val="18"/>
              </w:rPr>
              <w:t>高锰酸钾消耗量</w:t>
            </w:r>
          </w:p>
        </w:tc>
        <w:tc>
          <w:tcPr>
            <w:tcW w:w="3305" w:type="dxa"/>
            <w:noWrap/>
            <w:vAlign w:val="center"/>
          </w:tcPr>
          <w:p>
            <w:pPr>
              <w:widowControl/>
              <w:spacing w:line="320" w:lineRule="atLeast"/>
              <w:jc w:val="center"/>
              <w:rPr>
                <w:kern w:val="0"/>
                <w:szCs w:val="21"/>
              </w:rPr>
            </w:pPr>
            <w:r>
              <w:rPr>
                <w:rFonts w:ascii="宋体" w:hAnsi="宋体"/>
                <w:kern w:val="0"/>
                <w:sz w:val="18"/>
                <w:szCs w:val="18"/>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1589" w:type="dxa"/>
            <w:noWrap/>
            <w:vAlign w:val="center"/>
          </w:tcPr>
          <w:p>
            <w:pPr>
              <w:snapToGrid w:val="0"/>
              <w:jc w:val="center"/>
              <w:rPr>
                <w:rFonts w:ascii="宋体" w:hAnsi="宋体" w:cs="宋体"/>
                <w:szCs w:val="21"/>
              </w:rPr>
            </w:pPr>
            <w:r>
              <w:rPr>
                <w:rFonts w:hint="eastAsia" w:ascii="宋体" w:hAnsi="宋体" w:cs="宋体"/>
                <w:szCs w:val="21"/>
              </w:rPr>
              <w:t>6</w:t>
            </w:r>
          </w:p>
        </w:tc>
        <w:tc>
          <w:tcPr>
            <w:tcW w:w="3524" w:type="dxa"/>
            <w:noWrap/>
            <w:vAlign w:val="center"/>
          </w:tcPr>
          <w:p>
            <w:pPr>
              <w:widowControl/>
              <w:spacing w:line="320" w:lineRule="atLeast"/>
              <w:jc w:val="center"/>
              <w:rPr>
                <w:kern w:val="0"/>
                <w:szCs w:val="21"/>
              </w:rPr>
            </w:pPr>
            <w:r>
              <w:rPr>
                <w:rFonts w:hint="eastAsia" w:ascii="宋体" w:hAnsi="宋体"/>
                <w:kern w:val="0"/>
                <w:sz w:val="18"/>
                <w:szCs w:val="18"/>
              </w:rPr>
              <w:t>重金属</w:t>
            </w:r>
          </w:p>
        </w:tc>
        <w:tc>
          <w:tcPr>
            <w:tcW w:w="3305" w:type="dxa"/>
            <w:noWrap/>
            <w:vAlign w:val="center"/>
          </w:tcPr>
          <w:p>
            <w:pPr>
              <w:widowControl/>
              <w:spacing w:line="320" w:lineRule="atLeast"/>
              <w:jc w:val="center"/>
              <w:rPr>
                <w:kern w:val="0"/>
                <w:szCs w:val="21"/>
              </w:rPr>
            </w:pPr>
            <w:r>
              <w:rPr>
                <w:rFonts w:ascii="宋体" w:hAnsi="宋体"/>
                <w:kern w:val="0"/>
                <w:sz w:val="18"/>
                <w:szCs w:val="18"/>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1589" w:type="dxa"/>
            <w:noWrap/>
            <w:vAlign w:val="center"/>
          </w:tcPr>
          <w:p>
            <w:pPr>
              <w:snapToGrid w:val="0"/>
              <w:jc w:val="center"/>
              <w:rPr>
                <w:rFonts w:ascii="宋体" w:hAnsi="宋体" w:cs="宋体"/>
                <w:szCs w:val="21"/>
              </w:rPr>
            </w:pPr>
            <w:r>
              <w:rPr>
                <w:rFonts w:hint="eastAsia" w:ascii="宋体" w:hAnsi="宋体" w:cs="宋体"/>
                <w:szCs w:val="21"/>
              </w:rPr>
              <w:t>7</w:t>
            </w:r>
          </w:p>
        </w:tc>
        <w:tc>
          <w:tcPr>
            <w:tcW w:w="3524" w:type="dxa"/>
            <w:noWrap/>
            <w:vAlign w:val="center"/>
          </w:tcPr>
          <w:p>
            <w:pPr>
              <w:widowControl/>
              <w:spacing w:line="320" w:lineRule="atLeast"/>
              <w:jc w:val="center"/>
              <w:rPr>
                <w:kern w:val="0"/>
                <w:szCs w:val="21"/>
              </w:rPr>
            </w:pPr>
            <w:r>
              <w:rPr>
                <w:rFonts w:hint="eastAsia" w:ascii="宋体" w:hAnsi="宋体"/>
                <w:kern w:val="0"/>
                <w:sz w:val="18"/>
                <w:szCs w:val="18"/>
              </w:rPr>
              <w:t>脱色试验</w:t>
            </w:r>
          </w:p>
        </w:tc>
        <w:tc>
          <w:tcPr>
            <w:tcW w:w="3305" w:type="dxa"/>
            <w:noWrap/>
            <w:vAlign w:val="center"/>
          </w:tcPr>
          <w:p>
            <w:pPr>
              <w:widowControl/>
              <w:spacing w:line="320" w:lineRule="atLeast"/>
              <w:jc w:val="center"/>
              <w:rPr>
                <w:kern w:val="0"/>
                <w:szCs w:val="21"/>
              </w:rPr>
            </w:pPr>
            <w:r>
              <w:rPr>
                <w:rFonts w:ascii="宋体" w:hAnsi="宋体"/>
                <w:kern w:val="0"/>
                <w:sz w:val="18"/>
                <w:szCs w:val="18"/>
              </w:rPr>
              <w:t>GB 31604.7-20</w:t>
            </w:r>
            <w:r>
              <w:rPr>
                <w:rFonts w:hint="eastAsia" w:ascii="宋体" w:hAnsi="宋体"/>
                <w:kern w:val="0"/>
                <w:sz w:val="18"/>
                <w:szCs w:val="18"/>
              </w:rPr>
              <w:t>23</w:t>
            </w:r>
          </w:p>
        </w:tc>
      </w:tr>
    </w:tbl>
    <w:p>
      <w:pPr>
        <w:snapToGrid w:val="0"/>
        <w:spacing w:line="440" w:lineRule="exact"/>
        <w:ind w:firstLine="420" w:firstLineChars="200"/>
        <w:rPr>
          <w:szCs w:val="21"/>
        </w:rPr>
      </w:pPr>
      <w:r>
        <w:rPr>
          <w:rFonts w:hint="eastAsia"/>
          <w:szCs w:val="21"/>
        </w:rPr>
        <w:t>执行企业标准、团体标准、地方标准的产品，检验项目参照上述内容执行。</w:t>
      </w:r>
    </w:p>
    <w:p>
      <w:pPr>
        <w:snapToGrid w:val="0"/>
        <w:spacing w:line="440" w:lineRule="exact"/>
        <w:ind w:firstLine="420" w:firstLineChars="200"/>
        <w:rPr>
          <w:szCs w:val="21"/>
        </w:rPr>
      </w:pPr>
      <w:r>
        <w:rPr>
          <w:rFonts w:hint="eastAsia"/>
          <w:szCs w:val="21"/>
        </w:rPr>
        <w:t>凡是注日期的文件，其随后所有的修改单（不包括勘误的内容）或修订版不适用于本细则。凡是不注日期的文件，其最新版本适用于本细则。</w:t>
      </w:r>
    </w:p>
    <w:p>
      <w:pPr>
        <w:spacing w:beforeLines="50" w:line="360" w:lineRule="auto"/>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rPr>
          <w:rFonts w:ascii="宋体" w:hAnsi="宋体"/>
          <w:color w:val="333333"/>
          <w:kern w:val="0"/>
          <w:szCs w:val="21"/>
        </w:rPr>
      </w:pPr>
      <w:r>
        <w:rPr>
          <w:rFonts w:hint="eastAsia" w:ascii="宋体" w:hAnsi="宋体"/>
          <w:color w:val="333333"/>
          <w:kern w:val="0"/>
          <w:szCs w:val="21"/>
        </w:rPr>
        <w:t>GB/T 8946-2013  《塑料编织袋通用技术要求》</w:t>
      </w:r>
    </w:p>
    <w:p>
      <w:pPr>
        <w:widowControl/>
        <w:shd w:val="clear" w:color="auto" w:fill="FFFFFF"/>
        <w:spacing w:line="440" w:lineRule="atLeast"/>
        <w:ind w:firstLine="359"/>
        <w:rPr>
          <w:rFonts w:ascii="宋体" w:hAnsi="宋体"/>
          <w:color w:val="333333"/>
          <w:kern w:val="0"/>
          <w:szCs w:val="21"/>
        </w:rPr>
      </w:pPr>
      <w:r>
        <w:rPr>
          <w:rFonts w:hint="eastAsia" w:ascii="宋体" w:hAnsi="宋体"/>
          <w:color w:val="333333"/>
          <w:kern w:val="0"/>
          <w:szCs w:val="21"/>
        </w:rPr>
        <w:t>GB/T 1040.1-2018《塑料 拉伸性能的测定 第1部分：总则》</w:t>
      </w:r>
    </w:p>
    <w:p>
      <w:pPr>
        <w:widowControl/>
        <w:shd w:val="clear" w:color="auto" w:fill="FFFFFF"/>
        <w:spacing w:line="440" w:lineRule="atLeast"/>
        <w:ind w:firstLine="359"/>
        <w:rPr>
          <w:rFonts w:ascii="宋体" w:hAnsi="宋体"/>
          <w:color w:val="333333"/>
          <w:kern w:val="0"/>
          <w:szCs w:val="21"/>
        </w:rPr>
      </w:pPr>
      <w:r>
        <w:rPr>
          <w:rFonts w:hint="eastAsia" w:ascii="宋体" w:hAnsi="宋体"/>
          <w:color w:val="333333"/>
          <w:kern w:val="0"/>
          <w:szCs w:val="21"/>
        </w:rPr>
        <w:t>GB/T 1040.3-2006《塑料 拉伸性能的测定 第3部分:薄膜和薄片的试验条件》</w:t>
      </w:r>
    </w:p>
    <w:p>
      <w:pPr>
        <w:widowControl/>
        <w:shd w:val="clear" w:color="auto" w:fill="FFFFFF"/>
        <w:spacing w:line="440" w:lineRule="atLeast"/>
        <w:ind w:firstLine="359"/>
        <w:rPr>
          <w:rFonts w:ascii="宋体" w:hAnsi="宋体"/>
          <w:color w:val="333333"/>
          <w:kern w:val="0"/>
          <w:szCs w:val="21"/>
        </w:rPr>
      </w:pPr>
      <w:r>
        <w:rPr>
          <w:rFonts w:ascii="宋体" w:hAnsi="宋体"/>
          <w:color w:val="333333"/>
          <w:kern w:val="0"/>
          <w:szCs w:val="21"/>
        </w:rPr>
        <w:t>GB 31604.2-2016</w:t>
      </w:r>
      <w:r>
        <w:rPr>
          <w:rFonts w:hint="eastAsia" w:ascii="宋体" w:hAnsi="宋体"/>
          <w:color w:val="333333"/>
          <w:kern w:val="0"/>
          <w:szCs w:val="21"/>
        </w:rPr>
        <w:t>《食品安全国家标准 食品接触材料及制品 高锰酸钾消耗量的测定》</w:t>
      </w:r>
    </w:p>
    <w:p>
      <w:pPr>
        <w:widowControl/>
        <w:shd w:val="clear" w:color="auto" w:fill="FFFFFF"/>
        <w:spacing w:line="440" w:lineRule="atLeast"/>
        <w:ind w:firstLine="359"/>
        <w:rPr>
          <w:rFonts w:ascii="宋体" w:hAnsi="宋体"/>
          <w:color w:val="333333"/>
          <w:kern w:val="0"/>
          <w:szCs w:val="21"/>
        </w:rPr>
      </w:pPr>
      <w:r>
        <w:rPr>
          <w:rFonts w:hint="eastAsia" w:ascii="宋体" w:hAnsi="宋体"/>
          <w:color w:val="333333"/>
          <w:kern w:val="0"/>
          <w:szCs w:val="21"/>
        </w:rPr>
        <w:t>GB 31604.9-2016 《食品安全国家标准 食品接触材料及制品 食品模拟物中重金属的测定》</w:t>
      </w:r>
    </w:p>
    <w:p>
      <w:pPr>
        <w:widowControl/>
        <w:shd w:val="clear" w:color="auto" w:fill="FFFFFF"/>
        <w:spacing w:line="440" w:lineRule="atLeast"/>
        <w:ind w:firstLine="359"/>
        <w:rPr>
          <w:rFonts w:ascii="宋体" w:hAnsi="宋体"/>
          <w:color w:val="333333"/>
          <w:kern w:val="0"/>
          <w:szCs w:val="21"/>
        </w:rPr>
      </w:pPr>
      <w:r>
        <w:rPr>
          <w:rFonts w:ascii="宋体" w:hAnsi="宋体"/>
          <w:color w:val="333333"/>
          <w:kern w:val="0"/>
          <w:szCs w:val="21"/>
        </w:rPr>
        <w:t>GB 31604.7-20</w:t>
      </w:r>
      <w:r>
        <w:rPr>
          <w:rFonts w:hint="eastAsia" w:ascii="宋体" w:hAnsi="宋体"/>
          <w:color w:val="333333"/>
          <w:kern w:val="0"/>
          <w:szCs w:val="21"/>
        </w:rPr>
        <w:t>23《食品安全国家标准 食品接触材料及制品 脱色试验》</w:t>
      </w:r>
    </w:p>
    <w:p>
      <w:pPr>
        <w:snapToGrid w:val="0"/>
        <w:spacing w:line="440" w:lineRule="exact"/>
        <w:ind w:firstLine="420" w:firstLineChars="200"/>
        <w:rPr>
          <w:szCs w:val="21"/>
        </w:rPr>
      </w:pPr>
      <w:r>
        <w:rPr>
          <w:szCs w:val="21"/>
        </w:rPr>
        <w:t>现行有效的企业标准、团体标准、地方标准及产品明示质量要求</w:t>
      </w:r>
    </w:p>
    <w:p>
      <w:pPr>
        <w:adjustRightInd w:val="0"/>
        <w:snapToGrid w:val="0"/>
        <w:spacing w:line="440" w:lineRule="exact"/>
        <w:rPr>
          <w:szCs w:val="21"/>
        </w:rPr>
      </w:pPr>
      <w:r>
        <w:rPr>
          <w:rFonts w:hint="eastAsia"/>
          <w:szCs w:val="21"/>
        </w:rPr>
        <w:t>3.2判定原则</w:t>
      </w:r>
    </w:p>
    <w:p>
      <w:pPr>
        <w:adjustRightInd w:val="0"/>
        <w:snapToGrid w:val="0"/>
        <w:spacing w:line="440" w:lineRule="exact"/>
        <w:ind w:firstLine="420" w:firstLineChars="200"/>
        <w:rPr>
          <w:szCs w:val="21"/>
        </w:rPr>
      </w:pPr>
      <w:r>
        <w:rPr>
          <w:szCs w:val="21"/>
        </w:rPr>
        <w:t>经检验，检验项目全部合格，判定为被抽查产品所检项目未发现不合格；</w:t>
      </w:r>
      <w:r>
        <w:rPr>
          <w:rFonts w:hint="eastAsia"/>
          <w:szCs w:val="21"/>
        </w:rPr>
        <w:t>检验项目中任一项或一项以上不合格，判定为被抽查产品不合格。</w:t>
      </w:r>
    </w:p>
    <w:p>
      <w:pPr>
        <w:adjustRightInd w:val="0"/>
        <w:snapToGrid w:val="0"/>
        <w:spacing w:line="440" w:lineRule="exact"/>
        <w:ind w:firstLine="417" w:firstLineChars="199"/>
        <w:rPr>
          <w:szCs w:val="21"/>
        </w:rPr>
      </w:pPr>
      <w:r>
        <w:rPr>
          <w:rFonts w:hint="eastAsia"/>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szCs w:val="21"/>
        </w:rPr>
      </w:pPr>
      <w:r>
        <w:rPr>
          <w:rFonts w:hint="eastAsia"/>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szCs w:val="21"/>
        </w:rPr>
      </w:pPr>
      <w:r>
        <w:rPr>
          <w:rFonts w:hint="eastAsia"/>
          <w:szCs w:val="21"/>
        </w:rPr>
        <w:t>若被检产品明示的质量要求低于或包含细则中检验项目依据的推荐性标准要求时，应以被检产品明示的质量要求判定。</w:t>
      </w:r>
    </w:p>
    <w:p>
      <w:pPr>
        <w:adjustRightInd w:val="0"/>
        <w:snapToGrid w:val="0"/>
        <w:spacing w:line="440" w:lineRule="exact"/>
        <w:ind w:firstLine="417" w:firstLineChars="199"/>
        <w:rPr>
          <w:szCs w:val="21"/>
        </w:rPr>
      </w:pPr>
      <w:r>
        <w:rPr>
          <w:rFonts w:hint="eastAsia"/>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rFonts w:hint="eastAsia"/>
          <w:szCs w:val="21"/>
        </w:rPr>
        <w:t>若被检产品明示的质量要求缺少本细则中检验项目依据的推荐性标准要求时，该项目不参与判定。</w:t>
      </w:r>
    </w:p>
    <w:p>
      <w:pPr>
        <w:snapToGrid w:val="0"/>
        <w:spacing w:line="440" w:lineRule="exact"/>
        <w:rPr>
          <w:rFonts w:eastAsia="黑体"/>
          <w:szCs w:val="21"/>
        </w:rPr>
      </w:pPr>
      <w:r>
        <w:rPr>
          <w:rFonts w:hint="eastAsia" w:eastAsia="黑体"/>
          <w:szCs w:val="21"/>
        </w:rPr>
        <w:t>4附则</w:t>
      </w:r>
    </w:p>
    <w:p>
      <w:pPr>
        <w:snapToGrid w:val="0"/>
        <w:spacing w:line="440" w:lineRule="exact"/>
        <w:ind w:firstLine="420" w:firstLineChars="200"/>
        <w:rPr>
          <w:szCs w:val="21"/>
        </w:rPr>
      </w:pPr>
      <w:r>
        <w:rPr>
          <w:rFonts w:hint="eastAsia"/>
          <w:szCs w:val="21"/>
        </w:rPr>
        <w:t>本细则由淮南市市场监督管理局管理。</w:t>
      </w:r>
    </w:p>
    <w:p>
      <w:pPr>
        <w:snapToGrid w:val="0"/>
        <w:spacing w:line="440" w:lineRule="exact"/>
        <w:rPr>
          <w:szCs w:val="21"/>
        </w:rPr>
      </w:pPr>
    </w:p>
    <w:p>
      <w:pPr>
        <w:snapToGrid w:val="0"/>
        <w:spacing w:line="440" w:lineRule="exact"/>
        <w:rPr>
          <w:szCs w:val="21"/>
        </w:rPr>
      </w:pPr>
    </w:p>
    <w:p>
      <w:pPr>
        <w:snapToGrid w:val="0"/>
        <w:spacing w:line="440" w:lineRule="exact"/>
        <w:rPr>
          <w:sz w:val="24"/>
        </w:rPr>
      </w:pPr>
    </w:p>
    <w:sectPr>
      <w:headerReference r:id="rId3" w:type="default"/>
      <w:footerReference r:id="rId4" w:type="default"/>
      <w:pgSz w:w="11906" w:h="16838"/>
      <w:pgMar w:top="1985" w:right="1474" w:bottom="1644" w:left="1474" w:header="851" w:footer="1191"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公文小标宋">
    <w:altName w:val="宋体"/>
    <w:panose1 w:val="00000000000000000000"/>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9"/>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RkZWEyZDA0MTYyMmQ3ZjMwMDUwNzM5YmY5NGEwM2YifQ=="/>
  </w:docVars>
  <w:rsids>
    <w:rsidRoot w:val="00172A27"/>
    <w:rsid w:val="00001D7E"/>
    <w:rsid w:val="00012EEB"/>
    <w:rsid w:val="00051A44"/>
    <w:rsid w:val="00052092"/>
    <w:rsid w:val="000770C5"/>
    <w:rsid w:val="00081CBD"/>
    <w:rsid w:val="000976DE"/>
    <w:rsid w:val="000C27EF"/>
    <w:rsid w:val="000F2B3C"/>
    <w:rsid w:val="00136576"/>
    <w:rsid w:val="00172A27"/>
    <w:rsid w:val="001809DD"/>
    <w:rsid w:val="001A51E1"/>
    <w:rsid w:val="0021621A"/>
    <w:rsid w:val="00235DC4"/>
    <w:rsid w:val="00247E11"/>
    <w:rsid w:val="002501F8"/>
    <w:rsid w:val="00253624"/>
    <w:rsid w:val="002627EB"/>
    <w:rsid w:val="00275517"/>
    <w:rsid w:val="002A25C4"/>
    <w:rsid w:val="002B2F08"/>
    <w:rsid w:val="002D7F8A"/>
    <w:rsid w:val="002E0D1D"/>
    <w:rsid w:val="002E3205"/>
    <w:rsid w:val="003203A3"/>
    <w:rsid w:val="003B65A7"/>
    <w:rsid w:val="003C388C"/>
    <w:rsid w:val="003D6DF1"/>
    <w:rsid w:val="003E011E"/>
    <w:rsid w:val="003E61BF"/>
    <w:rsid w:val="00431B5D"/>
    <w:rsid w:val="00445E86"/>
    <w:rsid w:val="00467E74"/>
    <w:rsid w:val="00471943"/>
    <w:rsid w:val="00474E04"/>
    <w:rsid w:val="00483AC6"/>
    <w:rsid w:val="004962E3"/>
    <w:rsid w:val="004A0936"/>
    <w:rsid w:val="004D0C5A"/>
    <w:rsid w:val="004D3316"/>
    <w:rsid w:val="004E1396"/>
    <w:rsid w:val="004E7C02"/>
    <w:rsid w:val="00563EBC"/>
    <w:rsid w:val="00585975"/>
    <w:rsid w:val="0059238A"/>
    <w:rsid w:val="005B64D3"/>
    <w:rsid w:val="005F4CC6"/>
    <w:rsid w:val="005F6A0E"/>
    <w:rsid w:val="00640874"/>
    <w:rsid w:val="00666E54"/>
    <w:rsid w:val="006B79A8"/>
    <w:rsid w:val="006E5AB5"/>
    <w:rsid w:val="006F0971"/>
    <w:rsid w:val="0072334C"/>
    <w:rsid w:val="00736DEA"/>
    <w:rsid w:val="00755136"/>
    <w:rsid w:val="007928F3"/>
    <w:rsid w:val="008139C8"/>
    <w:rsid w:val="00871617"/>
    <w:rsid w:val="00895BEA"/>
    <w:rsid w:val="008A3497"/>
    <w:rsid w:val="008B1BD3"/>
    <w:rsid w:val="00917A54"/>
    <w:rsid w:val="009249EF"/>
    <w:rsid w:val="00926C29"/>
    <w:rsid w:val="00930572"/>
    <w:rsid w:val="009575EC"/>
    <w:rsid w:val="009865FB"/>
    <w:rsid w:val="009D5E02"/>
    <w:rsid w:val="009E01DE"/>
    <w:rsid w:val="009E4DB8"/>
    <w:rsid w:val="009F7375"/>
    <w:rsid w:val="00A03FA9"/>
    <w:rsid w:val="00A07E66"/>
    <w:rsid w:val="00A43553"/>
    <w:rsid w:val="00A62E74"/>
    <w:rsid w:val="00A72B9C"/>
    <w:rsid w:val="00A760C9"/>
    <w:rsid w:val="00A803C0"/>
    <w:rsid w:val="00A902CC"/>
    <w:rsid w:val="00A969D6"/>
    <w:rsid w:val="00AD5A48"/>
    <w:rsid w:val="00AF24AF"/>
    <w:rsid w:val="00B63955"/>
    <w:rsid w:val="00BF5D64"/>
    <w:rsid w:val="00C26074"/>
    <w:rsid w:val="00C40662"/>
    <w:rsid w:val="00C44CD6"/>
    <w:rsid w:val="00C60C39"/>
    <w:rsid w:val="00C83B0A"/>
    <w:rsid w:val="00C924E8"/>
    <w:rsid w:val="00CB2A9E"/>
    <w:rsid w:val="00CB331F"/>
    <w:rsid w:val="00CC137A"/>
    <w:rsid w:val="00CC25C2"/>
    <w:rsid w:val="00CE1E0C"/>
    <w:rsid w:val="00CE277E"/>
    <w:rsid w:val="00D150D3"/>
    <w:rsid w:val="00D206CD"/>
    <w:rsid w:val="00D216CF"/>
    <w:rsid w:val="00D47D5F"/>
    <w:rsid w:val="00D50D7D"/>
    <w:rsid w:val="00D56867"/>
    <w:rsid w:val="00D86F49"/>
    <w:rsid w:val="00DE2075"/>
    <w:rsid w:val="00E02A7F"/>
    <w:rsid w:val="00E07880"/>
    <w:rsid w:val="00E21E57"/>
    <w:rsid w:val="00E22560"/>
    <w:rsid w:val="00E53438"/>
    <w:rsid w:val="00E82621"/>
    <w:rsid w:val="00E83863"/>
    <w:rsid w:val="00E941CF"/>
    <w:rsid w:val="00ED4450"/>
    <w:rsid w:val="00ED5019"/>
    <w:rsid w:val="00ED5419"/>
    <w:rsid w:val="00F332B6"/>
    <w:rsid w:val="00F77C9A"/>
    <w:rsid w:val="00F86832"/>
    <w:rsid w:val="00FB576C"/>
    <w:rsid w:val="00FD1E95"/>
    <w:rsid w:val="00FD2AA6"/>
    <w:rsid w:val="00FE7E8A"/>
    <w:rsid w:val="00FF5DCC"/>
    <w:rsid w:val="04DB46E3"/>
    <w:rsid w:val="09234C9E"/>
    <w:rsid w:val="0B976158"/>
    <w:rsid w:val="0BF3562B"/>
    <w:rsid w:val="11473DDB"/>
    <w:rsid w:val="19171CA6"/>
    <w:rsid w:val="1A784B4A"/>
    <w:rsid w:val="1B9113EA"/>
    <w:rsid w:val="1C240C09"/>
    <w:rsid w:val="22096B18"/>
    <w:rsid w:val="2B166DCB"/>
    <w:rsid w:val="32744BE7"/>
    <w:rsid w:val="3D176663"/>
    <w:rsid w:val="3F9ED02C"/>
    <w:rsid w:val="556A1533"/>
    <w:rsid w:val="57476615"/>
    <w:rsid w:val="575527A0"/>
    <w:rsid w:val="5D551C37"/>
    <w:rsid w:val="636B2161"/>
    <w:rsid w:val="74DF0804"/>
    <w:rsid w:val="7BEF7469"/>
    <w:rsid w:val="7EDB396C"/>
    <w:rsid w:val="BFB7A0DA"/>
    <w:rsid w:val="CF9EC20D"/>
    <w:rsid w:val="E1E78D0A"/>
    <w:rsid w:val="F177F1CF"/>
    <w:rsid w:val="F7EF903B"/>
    <w:rsid w:val="FF7D00D7"/>
    <w:rsid w:val="FFDFD8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unhideWhenUsed/>
    <w:qFormat/>
    <w:uiPriority w:val="99"/>
    <w:pPr>
      <w:ind w:left="420" w:leftChars="2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unhideWhenUsed/>
    <w:qFormat/>
    <w:uiPriority w:val="99"/>
    <w:pPr>
      <w:ind w:firstLine="420" w:firstLineChars="200"/>
    </w:pPr>
  </w:style>
  <w:style w:type="character" w:styleId="10">
    <w:name w:val="page number"/>
    <w:basedOn w:val="9"/>
    <w:qFormat/>
    <w:uiPriority w:val="0"/>
  </w:style>
  <w:style w:type="character" w:customStyle="1" w:styleId="11">
    <w:name w:val="页脚 Char"/>
    <w:basedOn w:val="9"/>
    <w:link w:val="5"/>
    <w:qFormat/>
    <w:uiPriority w:val="99"/>
    <w:rPr>
      <w:kern w:val="2"/>
      <w:sz w:val="18"/>
      <w:szCs w:val="18"/>
    </w:rPr>
  </w:style>
  <w:style w:type="character" w:customStyle="1" w:styleId="12">
    <w:name w:val="页眉 Char"/>
    <w:basedOn w:val="9"/>
    <w:link w:val="6"/>
    <w:semiHidden/>
    <w:qFormat/>
    <w:uiPriority w:val="99"/>
    <w:rPr>
      <w:kern w:val="2"/>
      <w:sz w:val="18"/>
      <w:szCs w:val="18"/>
    </w:rPr>
  </w:style>
  <w:style w:type="paragraph" w:customStyle="1" w:styleId="13">
    <w:name w:val="列出段落1"/>
    <w:basedOn w:val="1"/>
    <w:qFormat/>
    <w:uiPriority w:val="34"/>
    <w:pPr>
      <w:ind w:firstLine="420" w:firstLineChars="200"/>
    </w:pPr>
    <w:rPr>
      <w:rFonts w:ascii="Calibri" w:hAnsi="Calibri"/>
      <w:szCs w:val="22"/>
    </w:rPr>
  </w:style>
  <w:style w:type="character" w:customStyle="1" w:styleId="14">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165</Words>
  <Characters>945</Characters>
  <Lines>7</Lines>
  <Paragraphs>2</Paragraphs>
  <TotalTime>152</TotalTime>
  <ScaleCrop>false</ScaleCrop>
  <LinksUpToDate>false</LinksUpToDate>
  <CharactersWithSpaces>1108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2020-01-02T08:57:00Z</dcterms:created>
  <dc:creator>Legend User</dc:creator>
  <cp:lastModifiedBy>uos</cp:lastModifiedBy>
  <cp:lastPrinted>2022-02-26T00:43:00Z</cp:lastPrinted>
  <dcterms:modified xsi:type="dcterms:W3CDTF">2025-08-12T17:06:14Z</dcterms:modified>
  <dc:title>××产品质量监督抽查实施细则</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92E9197D540240B4B1496FB842D97495</vt:lpwstr>
  </property>
</Properties>
</file>