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淮南市老视成镜产品质量</w:t>
      </w:r>
      <w:bookmarkStart w:id="0" w:name="_GoBack"/>
      <w:bookmarkEnd w:id="0"/>
      <w:r>
        <w:rPr>
          <w:rFonts w:hint="eastAsia" w:ascii="方正小标宋简体" w:hAnsi="方正小标宋简体" w:eastAsia="方正小标宋简体" w:cs="方正小标宋简体"/>
          <w:sz w:val="32"/>
          <w:szCs w:val="32"/>
        </w:rPr>
        <w:t>监督抽查实施细则</w:t>
      </w:r>
    </w:p>
    <w:p>
      <w:pPr>
        <w:snapToGrid w:val="0"/>
        <w:spacing w:line="44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（2025版）</w:t>
      </w: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szCs w:val="21"/>
        </w:rPr>
        <w:t>以随机抽样的方式在被抽样生产者、销售者的待销产品中抽取。</w:t>
      </w:r>
    </w:p>
    <w:p>
      <w:pPr>
        <w:snapToGrid w:val="0"/>
        <w:spacing w:line="440" w:lineRule="exact"/>
        <w:ind w:firstLine="420" w:firstLineChars="200"/>
        <w:rPr>
          <w:rFonts w:ascii="宋体" w:hAnsi="宋体"/>
          <w:szCs w:val="21"/>
        </w:rPr>
      </w:pPr>
      <w:r>
        <w:rPr>
          <w:rFonts w:hint="eastAsia" w:ascii="宋体" w:hAnsi="宋体"/>
          <w:szCs w:val="21"/>
        </w:rPr>
        <w:t>随机数一般可使用随机数表等方法产生。</w:t>
      </w:r>
    </w:p>
    <w:p>
      <w:pPr>
        <w:snapToGrid w:val="0"/>
        <w:spacing w:line="440" w:lineRule="exact"/>
        <w:ind w:firstLine="420" w:firstLineChars="200"/>
        <w:rPr>
          <w:szCs w:val="21"/>
        </w:rPr>
      </w:pPr>
      <w:r>
        <w:rPr>
          <w:szCs w:val="21"/>
        </w:rPr>
        <w:t>每批次产品抽取样品</w:t>
      </w:r>
      <w:r>
        <w:rPr>
          <w:rFonts w:hint="eastAsia"/>
          <w:szCs w:val="21"/>
        </w:rPr>
        <w:t>2副</w:t>
      </w:r>
      <w:r>
        <w:rPr>
          <w:szCs w:val="21"/>
        </w:rPr>
        <w:t>，其中</w:t>
      </w:r>
      <w:r>
        <w:rPr>
          <w:rFonts w:hint="eastAsia" w:cs="Sim Sun" w:asciiTheme="minorEastAsia" w:hAnsiTheme="minorEastAsia" w:eastAsiaTheme="minorEastAsia"/>
          <w:szCs w:val="21"/>
        </w:rPr>
        <w:t>1副</w:t>
      </w:r>
      <w:r>
        <w:rPr>
          <w:szCs w:val="21"/>
        </w:rPr>
        <w:t>作为检验样品，</w:t>
      </w:r>
      <w:r>
        <w:rPr>
          <w:rFonts w:hint="eastAsia" w:cs="Sim Sun" w:asciiTheme="minorEastAsia" w:hAnsiTheme="minorEastAsia" w:eastAsiaTheme="minorEastAsia"/>
          <w:szCs w:val="21"/>
        </w:rPr>
        <w:t>1副</w:t>
      </w:r>
      <w:r>
        <w:rPr>
          <w:szCs w:val="21"/>
        </w:rPr>
        <w:t>作为备用样品。</w:t>
      </w:r>
    </w:p>
    <w:p>
      <w:pPr>
        <w:snapToGrid w:val="0"/>
        <w:spacing w:line="440" w:lineRule="exact"/>
        <w:rPr>
          <w:rFonts w:eastAsia="黑体"/>
          <w:szCs w:val="21"/>
        </w:rPr>
      </w:pPr>
      <w:r>
        <w:rPr>
          <w:rFonts w:eastAsia="黑体"/>
          <w:szCs w:val="21"/>
        </w:rPr>
        <w:t>2 检验依据</w:t>
      </w:r>
    </w:p>
    <w:p>
      <w:pPr>
        <w:snapToGrid w:val="0"/>
        <w:spacing w:line="440" w:lineRule="exact"/>
        <w:rPr>
          <w:rFonts w:eastAsia="黑体"/>
          <w:szCs w:val="21"/>
        </w:rPr>
      </w:pPr>
    </w:p>
    <w:tbl>
      <w:tblPr>
        <w:tblStyle w:val="7"/>
        <w:tblW w:w="7652" w:type="dxa"/>
        <w:jc w:val="center"/>
        <w:tblLayout w:type="fixed"/>
        <w:tblCellMar>
          <w:top w:w="0" w:type="dxa"/>
          <w:left w:w="108" w:type="dxa"/>
          <w:bottom w:w="0" w:type="dxa"/>
          <w:right w:w="108" w:type="dxa"/>
        </w:tblCellMar>
      </w:tblPr>
      <w:tblGrid>
        <w:gridCol w:w="1187"/>
        <w:gridCol w:w="3615"/>
        <w:gridCol w:w="2850"/>
      </w:tblGrid>
      <w:tr>
        <w:tblPrEx>
          <w:tblCellMar>
            <w:top w:w="0" w:type="dxa"/>
            <w:left w:w="108" w:type="dxa"/>
            <w:bottom w:w="0" w:type="dxa"/>
            <w:right w:w="108" w:type="dxa"/>
          </w:tblCellMar>
        </w:tblPrEx>
        <w:trPr>
          <w:trHeight w:val="375" w:hRule="atLeast"/>
          <w:tblHeader/>
          <w:jc w:val="center"/>
        </w:trPr>
        <w:tc>
          <w:tcPr>
            <w:tcW w:w="118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序号</w:t>
            </w:r>
          </w:p>
        </w:tc>
        <w:tc>
          <w:tcPr>
            <w:tcW w:w="36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检验项目</w:t>
            </w:r>
          </w:p>
        </w:tc>
        <w:tc>
          <w:tcPr>
            <w:tcW w:w="285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检测方法</w:t>
            </w:r>
          </w:p>
        </w:tc>
      </w:tr>
      <w:tr>
        <w:tblPrEx>
          <w:tblCellMar>
            <w:top w:w="0" w:type="dxa"/>
            <w:left w:w="108" w:type="dxa"/>
            <w:bottom w:w="0" w:type="dxa"/>
            <w:right w:w="108" w:type="dxa"/>
          </w:tblCellMar>
        </w:tblPrEx>
        <w:trPr>
          <w:trHeight w:val="345" w:hRule="atLeast"/>
          <w:tblHeader/>
          <w:jc w:val="center"/>
        </w:trPr>
        <w:tc>
          <w:tcPr>
            <w:tcW w:w="1187" w:type="dxa"/>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Cs w:val="21"/>
              </w:rPr>
            </w:pPr>
          </w:p>
        </w:tc>
        <w:tc>
          <w:tcPr>
            <w:tcW w:w="3615" w:type="dxa"/>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Cs w:val="21"/>
              </w:rPr>
            </w:pPr>
          </w:p>
        </w:tc>
        <w:tc>
          <w:tcPr>
            <w:tcW w:w="2850" w:type="dxa"/>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Cs w:val="21"/>
              </w:rPr>
            </w:pPr>
          </w:p>
        </w:tc>
      </w:tr>
      <w:tr>
        <w:tblPrEx>
          <w:tblCellMar>
            <w:top w:w="0" w:type="dxa"/>
            <w:left w:w="108" w:type="dxa"/>
            <w:bottom w:w="0" w:type="dxa"/>
            <w:right w:w="108" w:type="dxa"/>
          </w:tblCellMar>
        </w:tblPrEx>
        <w:trPr>
          <w:trHeight w:val="555"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361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szCs w:val="21"/>
              </w:rPr>
            </w:pPr>
            <w:r>
              <w:rPr>
                <w:rFonts w:hint="eastAsia"/>
              </w:rPr>
              <w:t>顶焦度偏差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szCs w:val="21"/>
              </w:rPr>
            </w:pPr>
            <w:r>
              <w:rPr>
                <w:rFonts w:hint="eastAsia" w:ascii="宋体" w:hAnsi="宋体" w:cs="宋体"/>
                <w:color w:val="000000"/>
                <w:kern w:val="0"/>
                <w:sz w:val="20"/>
                <w:szCs w:val="20"/>
              </w:rPr>
              <w:t>GB 10810.1-2005</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3</w:t>
            </w:r>
          </w:p>
        </w:tc>
        <w:tc>
          <w:tcPr>
            <w:tcW w:w="36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rPr>
              <w:t>两镜片顶焦度互差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GB 10810.1-2005</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4</w:t>
            </w:r>
          </w:p>
        </w:tc>
        <w:tc>
          <w:tcPr>
            <w:tcW w:w="36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rPr>
              <w:t>镜片材料和表面的质量</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ascii="宋体" w:hAnsi="宋体" w:cs="宋体"/>
                <w:color w:val="000000"/>
                <w:kern w:val="0"/>
                <w:sz w:val="20"/>
                <w:szCs w:val="20"/>
              </w:rPr>
              <w:t>GB/T 13511.3-2019</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5</w:t>
            </w:r>
          </w:p>
        </w:tc>
        <w:tc>
          <w:tcPr>
            <w:tcW w:w="36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rPr>
              <w:t>光学中心单侧水平偏差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ascii="宋体" w:hAnsi="宋体" w:cs="宋体"/>
                <w:color w:val="000000"/>
                <w:kern w:val="0"/>
                <w:sz w:val="20"/>
                <w:szCs w:val="20"/>
              </w:rPr>
              <w:t>GB/T 13511.3-2019</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6</w:t>
            </w:r>
          </w:p>
        </w:tc>
        <w:tc>
          <w:tcPr>
            <w:tcW w:w="3615"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光学中心垂直互差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ascii="宋体" w:hAnsi="宋体" w:cs="宋体"/>
                <w:color w:val="000000"/>
                <w:kern w:val="0"/>
                <w:sz w:val="20"/>
                <w:szCs w:val="20"/>
              </w:rPr>
              <w:t>GB/T 13511.3-2019</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szCs w:val="21"/>
              </w:rPr>
            </w:pPr>
            <w:r>
              <w:rPr>
                <w:rFonts w:hint="eastAsia" w:cs="宋体" w:asciiTheme="minorEastAsia" w:hAnsiTheme="minorEastAsia" w:eastAsiaTheme="minorEastAsia"/>
                <w:szCs w:val="21"/>
              </w:rPr>
              <w:t>7</w:t>
            </w:r>
          </w:p>
        </w:tc>
        <w:tc>
          <w:tcPr>
            <w:tcW w:w="3615"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镜片材料和表面的质量</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GB 10810.1-2005</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8</w:t>
            </w:r>
          </w:p>
        </w:tc>
        <w:tc>
          <w:tcPr>
            <w:tcW w:w="3615"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装配质量</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GB 13511.1-2011</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szCs w:val="21"/>
              </w:rPr>
            </w:pPr>
            <w:r>
              <w:rPr>
                <w:rFonts w:hint="eastAsia" w:cs="宋体" w:asciiTheme="minorEastAsia" w:hAnsiTheme="minorEastAsia" w:eastAsiaTheme="minorEastAsia"/>
                <w:szCs w:val="21"/>
              </w:rPr>
              <w:t>9</w:t>
            </w:r>
          </w:p>
        </w:tc>
        <w:tc>
          <w:tcPr>
            <w:tcW w:w="3615"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镜架外观质量</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kern w:val="0"/>
                <w:sz w:val="20"/>
                <w:szCs w:val="20"/>
              </w:rPr>
            </w:pPr>
            <w:r>
              <w:rPr>
                <w:rFonts w:ascii="宋体" w:hAnsi="宋体" w:cs="宋体"/>
                <w:color w:val="000000"/>
                <w:kern w:val="0"/>
                <w:sz w:val="20"/>
                <w:szCs w:val="20"/>
              </w:rPr>
              <w:t>GB/T 14214-20</w:t>
            </w:r>
            <w:r>
              <w:rPr>
                <w:rFonts w:hint="eastAsia" w:ascii="宋体" w:hAnsi="宋体" w:cs="宋体"/>
                <w:color w:val="000000"/>
                <w:kern w:val="0"/>
                <w:sz w:val="20"/>
                <w:szCs w:val="20"/>
              </w:rPr>
              <w:t>19</w:t>
            </w:r>
          </w:p>
        </w:tc>
      </w:tr>
    </w:tbl>
    <w:p>
      <w:pPr>
        <w:snapToGrid w:val="0"/>
        <w:spacing w:line="440" w:lineRule="exact"/>
        <w:ind w:firstLine="420" w:firstLineChars="200"/>
        <w:rPr>
          <w:szCs w:val="21"/>
        </w:rPr>
      </w:pPr>
      <w:r>
        <w:rPr>
          <w:rFonts w:hint="eastAsia"/>
          <w:szCs w:val="21"/>
        </w:rPr>
        <w:t>执行企业标准、团体标准、地方标准的产品，检验项目参照上述内容执行。</w:t>
      </w:r>
    </w:p>
    <w:p>
      <w:pPr>
        <w:snapToGrid w:val="0"/>
        <w:spacing w:line="440" w:lineRule="exact"/>
        <w:ind w:firstLine="420" w:firstLineChars="200"/>
        <w:rPr>
          <w:szCs w:val="21"/>
        </w:rPr>
      </w:pPr>
      <w:r>
        <w:rPr>
          <w:rFonts w:hint="eastAsia"/>
          <w:szCs w:val="21"/>
        </w:rPr>
        <w:t>凡是注日期的文件，其随后所有的修改单（不包括勘误的内容）或修订版不适用于本细则。凡是不注日期的文件，其最新版本适用于本细则。</w:t>
      </w:r>
    </w:p>
    <w:p>
      <w:pPr>
        <w:snapToGrid w:val="0"/>
        <w:spacing w:line="440" w:lineRule="exact"/>
        <w:rPr>
          <w:rFonts w:eastAsia="黑体"/>
          <w:szCs w:val="21"/>
        </w:rPr>
      </w:pPr>
      <w:r>
        <w:rPr>
          <w:rFonts w:eastAsia="黑体"/>
          <w:szCs w:val="21"/>
        </w:rPr>
        <w:t>3 判定规则</w:t>
      </w:r>
    </w:p>
    <w:p>
      <w:pPr>
        <w:snapToGrid w:val="0"/>
        <w:spacing w:line="440" w:lineRule="exact"/>
        <w:rPr>
          <w:szCs w:val="21"/>
        </w:rPr>
      </w:pPr>
      <w:r>
        <w:rPr>
          <w:rFonts w:hint="eastAsia"/>
          <w:szCs w:val="21"/>
        </w:rPr>
        <w:t>3.1依据标准</w:t>
      </w:r>
    </w:p>
    <w:p>
      <w:pPr>
        <w:snapToGrid w:val="0"/>
        <w:spacing w:line="440" w:lineRule="exact"/>
        <w:ind w:firstLine="420" w:firstLineChars="200"/>
        <w:rPr>
          <w:szCs w:val="21"/>
        </w:rPr>
      </w:pPr>
      <w:r>
        <w:rPr>
          <w:rFonts w:hint="eastAsia"/>
          <w:szCs w:val="21"/>
        </w:rPr>
        <w:t>GB 13511.1-2011 配装眼镜第1部分：单光和多焦点</w:t>
      </w:r>
    </w:p>
    <w:p>
      <w:pPr>
        <w:snapToGrid w:val="0"/>
        <w:spacing w:line="440" w:lineRule="exact"/>
        <w:ind w:firstLine="420" w:firstLineChars="200"/>
        <w:rPr>
          <w:szCs w:val="21"/>
        </w:rPr>
      </w:pPr>
      <w:r>
        <w:rPr>
          <w:rFonts w:hint="eastAsia"/>
          <w:szCs w:val="21"/>
        </w:rPr>
        <w:t>GB/T 13511.3-2019 配装眼镜 第3部分：单光老视成镜</w:t>
      </w:r>
    </w:p>
    <w:p>
      <w:pPr>
        <w:snapToGrid w:val="0"/>
        <w:spacing w:line="440" w:lineRule="exact"/>
        <w:ind w:firstLine="420" w:firstLineChars="200"/>
        <w:rPr>
          <w:szCs w:val="21"/>
        </w:rPr>
      </w:pPr>
      <w:r>
        <w:rPr>
          <w:szCs w:val="21"/>
        </w:rPr>
        <w:t>现行有效的企业标准、团体标准、地方标准及产品明示质量要求</w:t>
      </w:r>
    </w:p>
    <w:p>
      <w:pPr>
        <w:snapToGrid w:val="0"/>
        <w:spacing w:line="440" w:lineRule="exact"/>
        <w:rPr>
          <w:szCs w:val="21"/>
        </w:rPr>
      </w:pPr>
      <w:r>
        <w:rPr>
          <w:rFonts w:hint="eastAsia"/>
          <w:szCs w:val="21"/>
        </w:rPr>
        <w:t>3.2判定原则</w:t>
      </w:r>
    </w:p>
    <w:p>
      <w:pPr>
        <w:adjustRightInd w:val="0"/>
        <w:snapToGrid w:val="0"/>
        <w:spacing w:line="440" w:lineRule="exact"/>
        <w:ind w:firstLine="420" w:firstLineChars="200"/>
        <w:rPr>
          <w:szCs w:val="21"/>
        </w:rPr>
      </w:pPr>
      <w:r>
        <w:rPr>
          <w:rFonts w:hint="eastAsia"/>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szCs w:val="21"/>
        </w:rPr>
      </w:pPr>
      <w:r>
        <w:rPr>
          <w:rFonts w:hint="eastAsia"/>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szCs w:val="21"/>
        </w:rPr>
      </w:pPr>
      <w:r>
        <w:rPr>
          <w:rFonts w:hint="eastAsia"/>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szCs w:val="21"/>
        </w:rPr>
      </w:pPr>
      <w:r>
        <w:rPr>
          <w:rFonts w:hint="eastAsia"/>
          <w:szCs w:val="21"/>
        </w:rPr>
        <w:t>若被检产品明示的质量要求低于或包含细则中检验项目依据的推荐性标准要求时，应以被检产品明示的质量要求判定。</w:t>
      </w:r>
    </w:p>
    <w:p>
      <w:pPr>
        <w:adjustRightInd w:val="0"/>
        <w:snapToGrid w:val="0"/>
        <w:spacing w:line="440" w:lineRule="exact"/>
        <w:ind w:firstLine="417" w:firstLineChars="199"/>
        <w:rPr>
          <w:szCs w:val="21"/>
        </w:rPr>
      </w:pPr>
      <w:r>
        <w:rPr>
          <w:rFonts w:hint="eastAsia"/>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rFonts w:hint="eastAsia"/>
          <w:szCs w:val="21"/>
        </w:rPr>
        <w:t>若被检产品明示的质量要求缺少本细则中检验项目依据的推荐性标准要求时，该项目不参与判定。</w:t>
      </w:r>
    </w:p>
    <w:p>
      <w:pPr>
        <w:snapToGrid w:val="0"/>
        <w:spacing w:line="440" w:lineRule="exact"/>
        <w:rPr>
          <w:rFonts w:eastAsia="黑体"/>
          <w:szCs w:val="21"/>
        </w:rPr>
      </w:pPr>
      <w:r>
        <w:rPr>
          <w:rFonts w:hint="eastAsia" w:eastAsia="黑体"/>
          <w:szCs w:val="21"/>
        </w:rPr>
        <w:t>4附则</w:t>
      </w:r>
    </w:p>
    <w:p>
      <w:pPr>
        <w:snapToGrid w:val="0"/>
        <w:spacing w:line="440" w:lineRule="exact"/>
        <w:ind w:firstLine="420" w:firstLineChars="200"/>
        <w:rPr>
          <w:szCs w:val="21"/>
        </w:rPr>
      </w:pPr>
      <w:r>
        <w:rPr>
          <w:rFonts w:hint="eastAsia"/>
          <w:szCs w:val="21"/>
        </w:rPr>
        <w:t>本细则由淮南市市场监督管理局管理。</w:t>
      </w:r>
    </w:p>
    <w:p>
      <w:pPr>
        <w:snapToGrid w:val="0"/>
        <w:spacing w:line="440" w:lineRule="exact"/>
        <w:rPr>
          <w:szCs w:val="21"/>
        </w:rPr>
      </w:pPr>
    </w:p>
    <w:p>
      <w:pPr>
        <w:snapToGrid w:val="0"/>
        <w:spacing w:line="440" w:lineRule="exact"/>
        <w:rPr>
          <w:sz w:val="24"/>
        </w:rPr>
      </w:pPr>
    </w:p>
    <w:sectPr>
      <w:headerReference r:id="rId3" w:type="default"/>
      <w:footerReference r:id="rId4" w:type="default"/>
      <w:pgSz w:w="11906" w:h="16838"/>
      <w:pgMar w:top="1985" w:right="1474" w:bottom="1644" w:left="1474" w:header="851" w:footer="1191"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Sim Sun">
    <w:altName w:val="宋体"/>
    <w:panose1 w:val="00000000000000000000"/>
    <w:charset w:val="86"/>
    <w:family w:val="swiss"/>
    <w:pitch w:val="default"/>
    <w:sig w:usb0="00000000" w:usb1="00000000" w:usb2="0000001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true"/>
  <w:bordersDoNotSurroundFooter w:val="true"/>
  <w:documentProtection w:enforcement="0"/>
  <w:defaultTabStop w:val="420"/>
  <w:drawingGridVerticalSpacing w:val="159"/>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RkZWEyZDA0MTYyMmQ3ZjMwMDUwNzM5YmY5NGEwM2YifQ=="/>
    <w:docVar w:name="KSO_WPS_MARK_KEY" w:val="c42a357b-bdfc-49b7-a72c-ea7c5e198079"/>
  </w:docVars>
  <w:rsids>
    <w:rsidRoot w:val="00172A27"/>
    <w:rsid w:val="00001D7E"/>
    <w:rsid w:val="00012EEB"/>
    <w:rsid w:val="00016641"/>
    <w:rsid w:val="00051A44"/>
    <w:rsid w:val="00052092"/>
    <w:rsid w:val="000770C5"/>
    <w:rsid w:val="00081CBD"/>
    <w:rsid w:val="000976DE"/>
    <w:rsid w:val="000C27EF"/>
    <w:rsid w:val="000F2B3C"/>
    <w:rsid w:val="00172A27"/>
    <w:rsid w:val="001809DD"/>
    <w:rsid w:val="001A51E1"/>
    <w:rsid w:val="0021621A"/>
    <w:rsid w:val="00235DC4"/>
    <w:rsid w:val="00247E11"/>
    <w:rsid w:val="002501F8"/>
    <w:rsid w:val="00253624"/>
    <w:rsid w:val="002627EB"/>
    <w:rsid w:val="00275517"/>
    <w:rsid w:val="002A25C4"/>
    <w:rsid w:val="002B2F08"/>
    <w:rsid w:val="002D7F8A"/>
    <w:rsid w:val="002E0D1D"/>
    <w:rsid w:val="002E3205"/>
    <w:rsid w:val="003203A3"/>
    <w:rsid w:val="003B65A7"/>
    <w:rsid w:val="003C388C"/>
    <w:rsid w:val="003D6DF1"/>
    <w:rsid w:val="003E011E"/>
    <w:rsid w:val="003E61BF"/>
    <w:rsid w:val="004025DB"/>
    <w:rsid w:val="00445E86"/>
    <w:rsid w:val="00467E74"/>
    <w:rsid w:val="00474E04"/>
    <w:rsid w:val="00483AC6"/>
    <w:rsid w:val="004962E3"/>
    <w:rsid w:val="004A0936"/>
    <w:rsid w:val="004D0C5A"/>
    <w:rsid w:val="004E1396"/>
    <w:rsid w:val="004E7C02"/>
    <w:rsid w:val="00563EBC"/>
    <w:rsid w:val="00585975"/>
    <w:rsid w:val="0059238A"/>
    <w:rsid w:val="005B64D3"/>
    <w:rsid w:val="005E646D"/>
    <w:rsid w:val="005F4CC6"/>
    <w:rsid w:val="00666E54"/>
    <w:rsid w:val="006B79A8"/>
    <w:rsid w:val="006C6461"/>
    <w:rsid w:val="006F0971"/>
    <w:rsid w:val="0072334C"/>
    <w:rsid w:val="00736DEA"/>
    <w:rsid w:val="00744E69"/>
    <w:rsid w:val="00755136"/>
    <w:rsid w:val="007928F3"/>
    <w:rsid w:val="007E69FB"/>
    <w:rsid w:val="00813164"/>
    <w:rsid w:val="008139C8"/>
    <w:rsid w:val="00871617"/>
    <w:rsid w:val="00895BEA"/>
    <w:rsid w:val="008A3497"/>
    <w:rsid w:val="008B1BD3"/>
    <w:rsid w:val="008F6D68"/>
    <w:rsid w:val="00902804"/>
    <w:rsid w:val="00906F13"/>
    <w:rsid w:val="00917A54"/>
    <w:rsid w:val="009249EF"/>
    <w:rsid w:val="00926C29"/>
    <w:rsid w:val="00930572"/>
    <w:rsid w:val="00945EFA"/>
    <w:rsid w:val="009865FB"/>
    <w:rsid w:val="009D5E02"/>
    <w:rsid w:val="009E01DE"/>
    <w:rsid w:val="009E4DB8"/>
    <w:rsid w:val="009F7375"/>
    <w:rsid w:val="00A07E66"/>
    <w:rsid w:val="00A43553"/>
    <w:rsid w:val="00A62E74"/>
    <w:rsid w:val="00A741F1"/>
    <w:rsid w:val="00A760C9"/>
    <w:rsid w:val="00A902CC"/>
    <w:rsid w:val="00AD5A48"/>
    <w:rsid w:val="00AF24AF"/>
    <w:rsid w:val="00BE5CCD"/>
    <w:rsid w:val="00BF5D64"/>
    <w:rsid w:val="00C26074"/>
    <w:rsid w:val="00C304C8"/>
    <w:rsid w:val="00C40662"/>
    <w:rsid w:val="00C44CD6"/>
    <w:rsid w:val="00C83B0A"/>
    <w:rsid w:val="00C924E8"/>
    <w:rsid w:val="00CB2A9E"/>
    <w:rsid w:val="00CB331F"/>
    <w:rsid w:val="00CC137A"/>
    <w:rsid w:val="00CC25C2"/>
    <w:rsid w:val="00CD405B"/>
    <w:rsid w:val="00CE1E0C"/>
    <w:rsid w:val="00CE277E"/>
    <w:rsid w:val="00D206CD"/>
    <w:rsid w:val="00D308E2"/>
    <w:rsid w:val="00D50D7D"/>
    <w:rsid w:val="00D56867"/>
    <w:rsid w:val="00DE2075"/>
    <w:rsid w:val="00E02A7F"/>
    <w:rsid w:val="00E07880"/>
    <w:rsid w:val="00E21E57"/>
    <w:rsid w:val="00E32291"/>
    <w:rsid w:val="00E3727B"/>
    <w:rsid w:val="00E53438"/>
    <w:rsid w:val="00E73CBE"/>
    <w:rsid w:val="00E82621"/>
    <w:rsid w:val="00ED4450"/>
    <w:rsid w:val="00ED5419"/>
    <w:rsid w:val="00F332B6"/>
    <w:rsid w:val="00F77C9A"/>
    <w:rsid w:val="00F86832"/>
    <w:rsid w:val="00FB576C"/>
    <w:rsid w:val="00FD2AA6"/>
    <w:rsid w:val="00FE7E8A"/>
    <w:rsid w:val="00FF5DCC"/>
    <w:rsid w:val="04DB46E3"/>
    <w:rsid w:val="09234C9E"/>
    <w:rsid w:val="0B976158"/>
    <w:rsid w:val="0BF3562B"/>
    <w:rsid w:val="10AC1152"/>
    <w:rsid w:val="11473DDB"/>
    <w:rsid w:val="1A784B4A"/>
    <w:rsid w:val="1B9113EA"/>
    <w:rsid w:val="1C240C09"/>
    <w:rsid w:val="22096B18"/>
    <w:rsid w:val="232922F7"/>
    <w:rsid w:val="250639AE"/>
    <w:rsid w:val="2B166DCB"/>
    <w:rsid w:val="32744BE7"/>
    <w:rsid w:val="360D5BA8"/>
    <w:rsid w:val="3617392A"/>
    <w:rsid w:val="38627659"/>
    <w:rsid w:val="3D176663"/>
    <w:rsid w:val="3F9ED02C"/>
    <w:rsid w:val="452407E1"/>
    <w:rsid w:val="4EA11120"/>
    <w:rsid w:val="53784B50"/>
    <w:rsid w:val="541B0FFB"/>
    <w:rsid w:val="545804DE"/>
    <w:rsid w:val="556A1533"/>
    <w:rsid w:val="575527A0"/>
    <w:rsid w:val="59047E99"/>
    <w:rsid w:val="59D16091"/>
    <w:rsid w:val="5C3470AC"/>
    <w:rsid w:val="5D551C37"/>
    <w:rsid w:val="636B2161"/>
    <w:rsid w:val="654078C1"/>
    <w:rsid w:val="6A46603D"/>
    <w:rsid w:val="720C4BFA"/>
    <w:rsid w:val="74DF0804"/>
    <w:rsid w:val="78F44C65"/>
    <w:rsid w:val="7BEF7469"/>
    <w:rsid w:val="7DF785DA"/>
    <w:rsid w:val="7EDB396C"/>
    <w:rsid w:val="BFB7A0DA"/>
    <w:rsid w:val="E1E78D0A"/>
    <w:rsid w:val="F7EF90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semiHidden/>
    <w:unhideWhenUsed/>
    <w:qFormat/>
    <w:uiPriority w:val="9"/>
    <w:pPr>
      <w:keepNext/>
      <w:keepLines/>
      <w:spacing w:line="372" w:lineRule="auto"/>
      <w:outlineLvl w:val="3"/>
    </w:pPr>
    <w:rPr>
      <w:rFonts w:ascii="Arial" w:hAnsi="Arial" w:eastAsia="黑体"/>
      <w:b/>
      <w:sz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customStyle="1" w:styleId="10">
    <w:name w:val="页脚 Char"/>
    <w:basedOn w:val="8"/>
    <w:link w:val="5"/>
    <w:qFormat/>
    <w:uiPriority w:val="99"/>
    <w:rPr>
      <w:kern w:val="2"/>
      <w:sz w:val="18"/>
      <w:szCs w:val="18"/>
    </w:rPr>
  </w:style>
  <w:style w:type="character" w:customStyle="1" w:styleId="11">
    <w:name w:val="页眉 Char"/>
    <w:basedOn w:val="8"/>
    <w:link w:val="6"/>
    <w:semiHidden/>
    <w:qFormat/>
    <w:uiPriority w:val="99"/>
    <w:rPr>
      <w:kern w:val="2"/>
      <w:sz w:val="18"/>
      <w:szCs w:val="18"/>
    </w:rPr>
  </w:style>
  <w:style w:type="paragraph" w:customStyle="1" w:styleId="12">
    <w:name w:val="列出段落1"/>
    <w:basedOn w:val="1"/>
    <w:qFormat/>
    <w:uiPriority w:val="34"/>
    <w:pPr>
      <w:ind w:firstLine="420" w:firstLineChars="200"/>
    </w:pPr>
    <w:rPr>
      <w:rFonts w:ascii="Calibri" w:hAnsi="Calibri"/>
      <w:szCs w:val="22"/>
    </w:rPr>
  </w:style>
  <w:style w:type="character" w:customStyle="1" w:styleId="13">
    <w:name w:val="批注框文本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136</Words>
  <Characters>778</Characters>
  <Lines>6</Lines>
  <Paragraphs>1</Paragraphs>
  <TotalTime>152</TotalTime>
  <ScaleCrop>false</ScaleCrop>
  <LinksUpToDate>false</LinksUpToDate>
  <CharactersWithSpaces>913</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2020-01-01T08:57:00Z</dcterms:created>
  <dc:creator>Legend User</dc:creator>
  <cp:lastModifiedBy>uos</cp:lastModifiedBy>
  <cp:lastPrinted>2022-02-25T00:43:00Z</cp:lastPrinted>
  <dcterms:modified xsi:type="dcterms:W3CDTF">2025-10-21T16:53:17Z</dcterms:modified>
  <dc:title>××产品质量监督抽查实施细则</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926D544BAA71488BB84BEA28F487F15F</vt:lpwstr>
  </property>
</Properties>
</file>