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1"/>
          <w:szCs w:val="21"/>
        </w:rPr>
      </w:pPr>
    </w:p>
    <w:p>
      <w:pPr>
        <w:snapToGrid w:val="0"/>
        <w:spacing w:line="440" w:lineRule="exact"/>
        <w:jc w:val="center"/>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淮南市车用柴油</w:t>
      </w:r>
      <w:r>
        <w:rPr>
          <w:rFonts w:hint="eastAsia" w:ascii="黑体" w:hAnsi="黑体" w:eastAsia="黑体" w:cs="黑体"/>
          <w:color w:val="000000"/>
          <w:sz w:val="32"/>
          <w:szCs w:val="32"/>
        </w:rPr>
        <w:t>产品质量监督抽查实施细则</w:t>
      </w:r>
    </w:p>
    <w:p>
      <w:pPr>
        <w:snapToGrid w:val="0"/>
        <w:spacing w:line="440" w:lineRule="exact"/>
        <w:jc w:val="center"/>
        <w:rPr>
          <w:rFonts w:ascii="方正小标宋简体" w:hAnsi="方正小标宋简体" w:eastAsia="方正小标宋简体" w:cs="方正小标宋简体"/>
          <w:color w:val="000000"/>
          <w:sz w:val="21"/>
          <w:szCs w:val="21"/>
        </w:rPr>
      </w:pPr>
      <w:r>
        <w:rPr>
          <w:rFonts w:hint="eastAsia" w:ascii="黑体" w:hAnsi="黑体" w:eastAsia="黑体" w:cs="黑体"/>
          <w:color w:val="000000"/>
          <w:sz w:val="32"/>
          <w:szCs w:val="32"/>
          <w:lang w:eastAsia="zh-CN"/>
        </w:rPr>
        <w:t>（</w:t>
      </w:r>
      <w:r>
        <w:rPr>
          <w:rFonts w:hint="eastAsia" w:ascii="黑体" w:hAnsi="黑体" w:eastAsia="黑体" w:cs="黑体"/>
          <w:color w:val="000000"/>
          <w:sz w:val="32"/>
          <w:szCs w:val="32"/>
        </w:rPr>
        <w:t>202</w:t>
      </w:r>
      <w:r>
        <w:rPr>
          <w:rFonts w:hint="eastAsia" w:ascii="黑体" w:hAnsi="黑体" w:eastAsia="黑体" w:cs="黑体"/>
          <w:color w:val="000000"/>
          <w:sz w:val="32"/>
          <w:szCs w:val="32"/>
          <w:lang w:val="en-US" w:eastAsia="zh-CN"/>
        </w:rPr>
        <w:t>5版）</w:t>
      </w:r>
    </w:p>
    <w:p>
      <w:pPr>
        <w:snapToGrid w:val="0"/>
        <w:spacing w:line="440" w:lineRule="exact"/>
        <w:rPr>
          <w:rFonts w:ascii="宋体" w:hAnsi="宋体"/>
          <w:color w:val="000000"/>
          <w:sz w:val="21"/>
          <w:szCs w:val="21"/>
        </w:rPr>
      </w:pPr>
      <w:r>
        <w:rPr>
          <w:rFonts w:hint="eastAsia" w:ascii="黑体" w:hAnsi="宋体" w:eastAsia="黑体"/>
          <w:color w:val="000000"/>
          <w:sz w:val="21"/>
          <w:szCs w:val="21"/>
        </w:rPr>
        <w:t>1 抽样方法</w:t>
      </w:r>
    </w:p>
    <w:p>
      <w:pPr>
        <w:snapToGrid w:val="0"/>
        <w:spacing w:line="440" w:lineRule="exact"/>
        <w:ind w:firstLine="420" w:firstLineChars="200"/>
        <w:rPr>
          <w:color w:val="auto"/>
          <w:szCs w:val="21"/>
        </w:rPr>
      </w:pPr>
      <w:r>
        <w:rPr>
          <w:color w:val="auto"/>
          <w:szCs w:val="21"/>
        </w:rPr>
        <w:t>以随机抽样的方式在被抽样生产者、销售者的待销产品中抽取。</w:t>
      </w:r>
    </w:p>
    <w:p>
      <w:pPr>
        <w:snapToGrid w:val="0"/>
        <w:spacing w:line="440" w:lineRule="exact"/>
        <w:ind w:firstLine="420" w:firstLineChars="200"/>
        <w:rPr>
          <w:rFonts w:hint="eastAsia" w:ascii="宋体" w:hAnsi="宋体" w:cs="Calibri"/>
          <w:color w:val="000000"/>
          <w:sz w:val="21"/>
          <w:szCs w:val="21"/>
        </w:rPr>
      </w:pPr>
      <w:r>
        <w:rPr>
          <w:rFonts w:hint="eastAsia" w:ascii="宋体" w:hAnsi="宋体"/>
          <w:color w:val="auto"/>
          <w:szCs w:val="21"/>
        </w:rPr>
        <w:t>随机数一般可使用随机数表等方法产生。</w:t>
      </w:r>
    </w:p>
    <w:p>
      <w:pPr>
        <w:snapToGrid w:val="0"/>
        <w:spacing w:line="440" w:lineRule="exact"/>
        <w:ind w:firstLine="420" w:firstLineChars="200"/>
        <w:rPr>
          <w:rFonts w:hint="eastAsia" w:ascii="宋体" w:hAnsi="宋体"/>
          <w:color w:val="000000"/>
          <w:sz w:val="21"/>
          <w:szCs w:val="21"/>
        </w:rPr>
      </w:pPr>
      <w:r>
        <w:rPr>
          <w:rFonts w:hint="eastAsia" w:ascii="宋体" w:hAnsi="宋体" w:cs="Calibri"/>
          <w:color w:val="000000"/>
          <w:sz w:val="21"/>
          <w:szCs w:val="21"/>
        </w:rPr>
        <w:t>取样按GB/T 4756</w:t>
      </w:r>
      <w:bookmarkStart w:id="0" w:name="OLE_LINK1"/>
      <w:r>
        <w:rPr>
          <w:color w:val="000000"/>
          <w:szCs w:val="21"/>
        </w:rPr>
        <w:t>—</w:t>
      </w:r>
      <w:bookmarkEnd w:id="0"/>
      <w:r>
        <w:rPr>
          <w:rFonts w:hint="eastAsia" w:ascii="宋体" w:hAnsi="宋体" w:cs="Calibri"/>
          <w:color w:val="000000"/>
          <w:sz w:val="21"/>
          <w:szCs w:val="21"/>
        </w:rPr>
        <w:t>2015《石油液体手工取样法》规定的要求执行。</w:t>
      </w:r>
      <w:r>
        <w:rPr>
          <w:rFonts w:hint="eastAsia" w:ascii="宋体" w:hAnsi="宋体"/>
          <w:color w:val="000000"/>
          <w:sz w:val="21"/>
          <w:szCs w:val="21"/>
        </w:rPr>
        <w:t>每批次</w:t>
      </w:r>
      <w:r>
        <w:rPr>
          <w:rFonts w:hint="eastAsia" w:ascii="宋体" w:hAnsi="宋体"/>
          <w:color w:val="000000"/>
          <w:sz w:val="21"/>
          <w:szCs w:val="21"/>
          <w:lang w:val="en-US" w:eastAsia="zh-CN"/>
        </w:rPr>
        <w:t>抽取</w:t>
      </w:r>
      <w:r>
        <w:rPr>
          <w:rFonts w:hint="eastAsia" w:ascii="宋体" w:hAnsi="宋体"/>
          <w:color w:val="000000"/>
          <w:sz w:val="21"/>
          <w:szCs w:val="21"/>
        </w:rPr>
        <w:t>样品</w:t>
      </w:r>
      <w:r>
        <w:rPr>
          <w:rFonts w:hint="eastAsia" w:ascii="宋体" w:hAnsi="宋体"/>
          <w:color w:val="000000"/>
          <w:sz w:val="21"/>
          <w:szCs w:val="21"/>
          <w:lang w:val="en-US" w:eastAsia="zh-CN"/>
        </w:rPr>
        <w:t>4</w:t>
      </w:r>
      <w:r>
        <w:rPr>
          <w:rFonts w:hint="eastAsia" w:ascii="宋体" w:hAnsi="宋体"/>
          <w:color w:val="000000"/>
          <w:sz w:val="21"/>
          <w:szCs w:val="21"/>
        </w:rPr>
        <w:t>L，其中</w:t>
      </w:r>
      <w:r>
        <w:rPr>
          <w:rFonts w:hint="eastAsia" w:ascii="宋体" w:hAnsi="宋体"/>
          <w:color w:val="000000"/>
          <w:sz w:val="21"/>
          <w:szCs w:val="21"/>
          <w:lang w:val="en-US" w:eastAsia="zh-CN"/>
        </w:rPr>
        <w:t>2</w:t>
      </w:r>
      <w:bookmarkStart w:id="1" w:name="_GoBack"/>
      <w:bookmarkEnd w:id="1"/>
      <w:r>
        <w:rPr>
          <w:rFonts w:hint="eastAsia" w:ascii="宋体" w:hAnsi="宋体"/>
          <w:color w:val="000000"/>
          <w:sz w:val="21"/>
          <w:szCs w:val="21"/>
        </w:rPr>
        <w:t>L作为检验样品，2L作为备用</w:t>
      </w:r>
      <w:r>
        <w:rPr>
          <w:rFonts w:hint="eastAsia" w:ascii="宋体" w:hAnsi="宋体"/>
          <w:color w:val="000000"/>
          <w:sz w:val="21"/>
          <w:szCs w:val="21"/>
          <w:lang w:eastAsia="zh-CN"/>
        </w:rPr>
        <w:t>样品</w:t>
      </w:r>
      <w:r>
        <w:rPr>
          <w:rFonts w:hint="eastAsia" w:ascii="宋体" w:hAnsi="宋体"/>
          <w:color w:val="000000"/>
          <w:sz w:val="21"/>
          <w:szCs w:val="21"/>
        </w:rPr>
        <w:t>。</w:t>
      </w:r>
    </w:p>
    <w:p>
      <w:pPr>
        <w:snapToGrid w:val="0"/>
        <w:spacing w:line="440" w:lineRule="exact"/>
        <w:ind w:firstLine="420" w:firstLineChars="200"/>
        <w:rPr>
          <w:rFonts w:hint="eastAsia" w:ascii="宋体" w:hAnsi="宋体"/>
          <w:color w:val="000000"/>
          <w:sz w:val="21"/>
          <w:szCs w:val="21"/>
        </w:rPr>
      </w:pPr>
    </w:p>
    <w:p>
      <w:pPr>
        <w:spacing w:line="460" w:lineRule="exact"/>
        <w:rPr>
          <w:rFonts w:ascii="黑体" w:hAnsi="黑体" w:eastAsia="黑体" w:cs="Calibri"/>
          <w:color w:val="000000"/>
          <w:sz w:val="21"/>
          <w:szCs w:val="21"/>
        </w:rPr>
      </w:pPr>
      <w:r>
        <w:rPr>
          <w:rFonts w:ascii="黑体" w:hAnsi="黑体" w:eastAsia="黑体" w:cs="Calibri"/>
          <w:color w:val="000000"/>
          <w:sz w:val="21"/>
          <w:szCs w:val="21"/>
        </w:rPr>
        <w:t xml:space="preserve">2 </w:t>
      </w:r>
      <w:r>
        <w:rPr>
          <w:rFonts w:hint="eastAsia" w:ascii="黑体" w:hAnsi="黑体" w:eastAsia="黑体" w:cs="Calibri"/>
          <w:color w:val="000000"/>
          <w:sz w:val="21"/>
          <w:szCs w:val="21"/>
        </w:rPr>
        <w:t>检验依据</w:t>
      </w:r>
    </w:p>
    <w:p>
      <w:pPr>
        <w:snapToGrid w:val="0"/>
        <w:spacing w:line="440" w:lineRule="exact"/>
        <w:jc w:val="center"/>
        <w:rPr>
          <w:rFonts w:ascii="宋体" w:hAnsi="宋体"/>
          <w:color w:val="000000"/>
          <w:sz w:val="21"/>
          <w:szCs w:val="21"/>
        </w:rPr>
      </w:pPr>
    </w:p>
    <w:tbl>
      <w:tblPr>
        <w:tblStyle w:val="9"/>
        <w:tblW w:w="48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110"/>
        <w:gridCol w:w="4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488" w:type="pct"/>
            <w:vAlign w:val="center"/>
          </w:tcPr>
          <w:p>
            <w:pPr>
              <w:jc w:val="center"/>
              <w:rPr>
                <w:rFonts w:ascii="宋体" w:hAnsi="宋体" w:cs="Calibri"/>
                <w:color w:val="000000"/>
                <w:szCs w:val="21"/>
              </w:rPr>
            </w:pPr>
            <w:r>
              <w:rPr>
                <w:rFonts w:ascii="宋体" w:hAnsi="宋体" w:cs="Calibri"/>
                <w:color w:val="000000"/>
                <w:szCs w:val="21"/>
              </w:rPr>
              <w:t>序号</w:t>
            </w:r>
          </w:p>
        </w:tc>
        <w:tc>
          <w:tcPr>
            <w:tcW w:w="1731" w:type="pct"/>
            <w:vAlign w:val="center"/>
          </w:tcPr>
          <w:p>
            <w:pPr>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2779" w:type="pct"/>
            <w:vAlign w:val="center"/>
          </w:tcPr>
          <w:p>
            <w:pPr>
              <w:jc w:val="center"/>
              <w:rPr>
                <w:rFonts w:hint="eastAsia" w:ascii="宋体" w:hAnsi="宋体" w:eastAsia="宋体" w:cs="Calibri"/>
                <w:color w:val="000000"/>
                <w:szCs w:val="21"/>
                <w:lang w:val="en-US" w:eastAsia="zh-CN"/>
              </w:rPr>
            </w:pPr>
            <w:r>
              <w:rPr>
                <w:rFonts w:hint="eastAsia" w:ascii="宋体" w:hAnsi="宋体" w:cs="Calibri"/>
                <w:color w:val="000000"/>
                <w:szCs w:val="21"/>
              </w:rPr>
              <w:t>检验方法</w:t>
            </w:r>
            <w:r>
              <w:rPr>
                <w:rFonts w:hint="eastAsia" w:ascii="宋体" w:hAnsi="宋体" w:cs="Calibri"/>
                <w:color w:val="000000"/>
                <w:szCs w:val="21"/>
                <w:lang w:val="en-US" w:eastAsia="zh-CN"/>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eastAsia="zh-CN"/>
              </w:rPr>
              <w:t>1</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硫含量</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SH/T 0689</w:t>
            </w:r>
            <w:r>
              <w:rPr>
                <w:color w:val="000000"/>
                <w:szCs w:val="21"/>
              </w:rPr>
              <w:t>—</w:t>
            </w:r>
            <w:r>
              <w:rPr>
                <w:rFonts w:ascii="宋体" w:hAnsi="宋体"/>
                <w:szCs w:val="2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eastAsia="zh-CN"/>
              </w:rPr>
              <w:t>2</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酸度</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258</w:t>
            </w:r>
            <w:r>
              <w:rPr>
                <w:color w:val="000000"/>
                <w:szCs w:val="21"/>
              </w:rPr>
              <w:t>—</w:t>
            </w:r>
            <w:r>
              <w:rPr>
                <w:rFonts w:ascii="宋体" w:hAnsi="宋体"/>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eastAsia="zh-CN"/>
              </w:rPr>
              <w:t>3</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10%蒸余物残炭</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17144</w:t>
            </w:r>
            <w:r>
              <w:rPr>
                <w:color w:val="000000"/>
                <w:szCs w:val="21"/>
              </w:rPr>
              <w:t>—</w:t>
            </w:r>
            <w:r>
              <w:rPr>
                <w:rFonts w:ascii="宋体" w:hAnsi="宋体"/>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4</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灰分</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508</w:t>
            </w:r>
            <w:r>
              <w:rPr>
                <w:color w:val="000000"/>
                <w:szCs w:val="21"/>
              </w:rPr>
              <w:t>—</w:t>
            </w:r>
            <w:r>
              <w:rPr>
                <w:rFonts w:hint="eastAsia" w:ascii="宋体" w:hAnsi="宋体"/>
                <w:szCs w:val="21"/>
              </w:rPr>
              <w:t>1985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5</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铜片腐蚀</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5096</w:t>
            </w:r>
            <w:r>
              <w:rPr>
                <w:color w:val="000000"/>
                <w:szCs w:val="21"/>
              </w:rPr>
              <w:t>—</w:t>
            </w:r>
            <w:r>
              <w:rPr>
                <w:rFonts w:hint="eastAsia" w:ascii="宋体" w:hAnsi="宋体"/>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6</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水含量</w:t>
            </w:r>
          </w:p>
        </w:tc>
        <w:tc>
          <w:tcPr>
            <w:tcW w:w="2779" w:type="pct"/>
            <w:vAlign w:val="center"/>
          </w:tcPr>
          <w:p>
            <w:pPr>
              <w:overflowPunct w:val="0"/>
              <w:autoSpaceDE w:val="0"/>
              <w:autoSpaceDN w:val="0"/>
              <w:adjustRightInd w:val="0"/>
              <w:snapToGrid w:val="0"/>
              <w:spacing w:line="240" w:lineRule="auto"/>
              <w:jc w:val="center"/>
              <w:rPr>
                <w:rFonts w:hint="eastAsia" w:ascii="宋体" w:hAnsi="宋体" w:cs="Calibri"/>
                <w:szCs w:val="21"/>
                <w:lang w:val="en-US" w:eastAsia="zh-CN"/>
              </w:rPr>
            </w:pPr>
            <w:r>
              <w:rPr>
                <w:rFonts w:ascii="宋体" w:hAnsi="宋体" w:cs="Calibri"/>
                <w:szCs w:val="21"/>
              </w:rPr>
              <w:t xml:space="preserve">GB </w:t>
            </w:r>
            <w:r>
              <w:rPr>
                <w:rFonts w:hint="eastAsia" w:ascii="宋体" w:hAnsi="宋体" w:cs="Calibri"/>
                <w:szCs w:val="21"/>
              </w:rPr>
              <w:t>19147</w:t>
            </w:r>
            <w:r>
              <w:rPr>
                <w:color w:val="000000"/>
                <w:szCs w:val="21"/>
              </w:rPr>
              <w:t>—</w:t>
            </w:r>
            <w:r>
              <w:rPr>
                <w:rFonts w:hint="eastAsia" w:ascii="宋体" w:hAnsi="宋体" w:cs="Calibri"/>
                <w:szCs w:val="21"/>
              </w:rPr>
              <w:t>2016</w:t>
            </w:r>
            <w:r>
              <w:rPr>
                <w:rFonts w:hint="eastAsia" w:ascii="宋体" w:hAnsi="宋体" w:cs="Calibri"/>
                <w:szCs w:val="21"/>
                <w:lang w:val="en-US" w:eastAsia="zh-CN"/>
              </w:rPr>
              <w:t xml:space="preserve"> 目测</w:t>
            </w:r>
          </w:p>
          <w:p>
            <w:pPr>
              <w:overflowPunct w:val="0"/>
              <w:autoSpaceDE w:val="0"/>
              <w:autoSpaceDN w:val="0"/>
              <w:adjustRightInd w:val="0"/>
              <w:snapToGrid w:val="0"/>
              <w:spacing w:line="240" w:lineRule="auto"/>
              <w:jc w:val="center"/>
              <w:rPr>
                <w:rFonts w:ascii="宋体" w:hAnsi="宋体"/>
                <w:szCs w:val="21"/>
              </w:rPr>
            </w:pPr>
            <w:r>
              <w:rPr>
                <w:rFonts w:hint="eastAsia" w:ascii="宋体" w:hAnsi="宋体" w:cs="Calibri"/>
                <w:szCs w:val="21"/>
                <w:lang w:val="en-US" w:eastAsia="zh-CN"/>
              </w:rPr>
              <w:t>或</w:t>
            </w:r>
            <w:r>
              <w:rPr>
                <w:rFonts w:hint="eastAsia" w:ascii="宋体" w:hAnsi="宋体"/>
                <w:szCs w:val="21"/>
              </w:rPr>
              <w:t>GB/T 260</w:t>
            </w:r>
            <w:r>
              <w:rPr>
                <w:color w:val="000000"/>
                <w:szCs w:val="21"/>
              </w:rPr>
              <w:t>—</w:t>
            </w:r>
            <w:r>
              <w:rPr>
                <w:rFonts w:hint="eastAsia" w:ascii="宋体" w:hAnsi="宋体"/>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7</w:t>
            </w:r>
          </w:p>
        </w:tc>
        <w:tc>
          <w:tcPr>
            <w:tcW w:w="1731" w:type="pct"/>
            <w:vAlign w:val="center"/>
          </w:tcPr>
          <w:p>
            <w:pPr>
              <w:overflowPunct w:val="0"/>
              <w:autoSpaceDE w:val="0"/>
              <w:autoSpaceDN w:val="0"/>
              <w:adjustRightInd w:val="0"/>
              <w:snapToGrid w:val="0"/>
              <w:spacing w:line="240" w:lineRule="auto"/>
              <w:jc w:val="center"/>
              <w:rPr>
                <w:rFonts w:hint="default" w:ascii="宋体" w:hAnsi="宋体" w:eastAsia="宋体"/>
                <w:szCs w:val="21"/>
                <w:lang w:val="en-US" w:eastAsia="zh-CN"/>
              </w:rPr>
            </w:pPr>
            <w:r>
              <w:rPr>
                <w:rFonts w:hint="eastAsia" w:ascii="宋体" w:hAnsi="宋体"/>
                <w:szCs w:val="21"/>
              </w:rPr>
              <w:t>多环芳烃含量</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NB/SH/T 0806</w:t>
            </w:r>
            <w:r>
              <w:rPr>
                <w:color w:val="000000"/>
                <w:szCs w:val="21"/>
              </w:rPr>
              <w:t>—</w:t>
            </w:r>
            <w:r>
              <w:rPr>
                <w:rFonts w:ascii="宋体" w:hAnsi="宋体"/>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8</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总污染物含量</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33400</w:t>
            </w:r>
            <w:r>
              <w:rPr>
                <w:color w:val="000000"/>
                <w:szCs w:val="21"/>
              </w:rPr>
              <w:t>—</w:t>
            </w:r>
            <w:r>
              <w:rPr>
                <w:rFonts w:hint="eastAsia" w:ascii="宋体" w:hAnsi="宋体"/>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9</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运动黏度</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265</w:t>
            </w:r>
            <w:r>
              <w:rPr>
                <w:color w:val="000000"/>
                <w:szCs w:val="21"/>
              </w:rPr>
              <w:t>—</w:t>
            </w:r>
            <w:r>
              <w:rPr>
                <w:rFonts w:hint="eastAsia" w:ascii="宋体" w:hAnsi="宋体"/>
                <w:szCs w:val="21"/>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default" w:ascii="宋体" w:hAnsi="宋体" w:eastAsia="宋体"/>
                <w:szCs w:val="21"/>
                <w:lang w:val="en-US" w:eastAsia="zh-CN"/>
              </w:rPr>
            </w:pPr>
            <w:r>
              <w:rPr>
                <w:rFonts w:hint="eastAsia" w:ascii="宋体" w:hAnsi="宋体"/>
                <w:szCs w:val="21"/>
                <w:lang w:val="en-US" w:eastAsia="zh-CN"/>
              </w:rPr>
              <w:t>10</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凝点</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510</w:t>
            </w:r>
            <w:r>
              <w:rPr>
                <w:color w:val="000000"/>
                <w:szCs w:val="21"/>
              </w:rPr>
              <w:t>—</w:t>
            </w:r>
            <w:r>
              <w:rPr>
                <w:rFonts w:hint="eastAsia" w:ascii="宋体" w:hAnsi="宋体"/>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1</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冷滤点</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NB/SH/T 0248</w:t>
            </w:r>
            <w:r>
              <w:rPr>
                <w:color w:val="000000"/>
                <w:szCs w:val="21"/>
              </w:rPr>
              <w:t>—</w:t>
            </w:r>
            <w:r>
              <w:rPr>
                <w:rFonts w:hint="eastAsia" w:ascii="宋体" w:hAnsi="宋体"/>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2</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闪点（闭口）</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261</w:t>
            </w:r>
            <w:r>
              <w:rPr>
                <w:color w:val="000000"/>
                <w:szCs w:val="21"/>
              </w:rPr>
              <w:t>—</w:t>
            </w:r>
            <w:r>
              <w:rPr>
                <w:rFonts w:ascii="宋体" w:hAnsi="宋体"/>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3</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十六烷值</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386</w:t>
            </w:r>
            <w:r>
              <w:rPr>
                <w:color w:val="000000"/>
                <w:szCs w:val="21"/>
              </w:rPr>
              <w:t>—</w:t>
            </w:r>
            <w:r>
              <w:rPr>
                <w:rFonts w:ascii="宋体" w:hAnsi="宋体"/>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default" w:ascii="宋体" w:hAnsi="宋体"/>
                <w:szCs w:val="21"/>
                <w:lang w:val="en-US"/>
              </w:rPr>
              <w:t>1</w:t>
            </w:r>
            <w:r>
              <w:rPr>
                <w:rFonts w:hint="eastAsia" w:ascii="宋体" w:hAnsi="宋体"/>
                <w:szCs w:val="21"/>
                <w:lang w:val="en-US" w:eastAsia="zh-CN"/>
              </w:rPr>
              <w:t>4</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十六烷指数</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SH/T 0694</w:t>
            </w:r>
            <w:r>
              <w:rPr>
                <w:color w:val="000000"/>
                <w:szCs w:val="21"/>
              </w:rPr>
              <w:t>—</w:t>
            </w:r>
            <w:r>
              <w:rPr>
                <w:rFonts w:ascii="宋体" w:hAnsi="宋体"/>
                <w:szCs w:val="21"/>
              </w:rPr>
              <w:t>2000</w:t>
            </w:r>
          </w:p>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lang w:eastAsia="zh-CN"/>
              </w:rPr>
              <w:t>或</w:t>
            </w:r>
            <w:r>
              <w:rPr>
                <w:rFonts w:hint="eastAsia" w:ascii="宋体" w:hAnsi="宋体"/>
                <w:szCs w:val="21"/>
                <w:lang w:val="en-US" w:eastAsia="zh-CN"/>
              </w:rPr>
              <w:t>GB/T 11139</w:t>
            </w:r>
            <w:r>
              <w:rPr>
                <w:color w:val="000000"/>
                <w:szCs w:val="21"/>
              </w:rPr>
              <w:t>—</w:t>
            </w:r>
            <w:r>
              <w:rPr>
                <w:rFonts w:hint="eastAsia" w:ascii="宋体" w:hAnsi="宋体"/>
                <w:szCs w:val="21"/>
                <w:lang w:val="en-US" w:eastAsia="zh-CN"/>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5</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馏程</w:t>
            </w:r>
          </w:p>
        </w:tc>
        <w:tc>
          <w:tcPr>
            <w:tcW w:w="2779" w:type="pct"/>
            <w:vAlign w:val="center"/>
          </w:tcPr>
          <w:p>
            <w:pPr>
              <w:overflowPunct w:val="0"/>
              <w:autoSpaceDE w:val="0"/>
              <w:autoSpaceDN w:val="0"/>
              <w:adjustRightInd w:val="0"/>
              <w:snapToGrid w:val="0"/>
              <w:spacing w:line="240" w:lineRule="auto"/>
              <w:jc w:val="center"/>
              <w:rPr>
                <w:rFonts w:hint="default" w:ascii="宋体" w:hAnsi="宋体" w:eastAsia="宋体"/>
                <w:szCs w:val="21"/>
                <w:lang w:val="en-US" w:eastAsia="zh-CN"/>
              </w:rPr>
            </w:pPr>
            <w:r>
              <w:rPr>
                <w:rFonts w:ascii="宋体" w:hAnsi="宋体"/>
                <w:szCs w:val="21"/>
              </w:rPr>
              <w:t>GB/T 6536</w:t>
            </w:r>
            <w:r>
              <w:rPr>
                <w:color w:val="000000"/>
                <w:szCs w:val="21"/>
              </w:rPr>
              <w:t>—</w:t>
            </w:r>
            <w:r>
              <w:rPr>
                <w:rFonts w:ascii="宋体" w:hAnsi="宋体"/>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6</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密度</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1884</w:t>
            </w:r>
            <w:r>
              <w:rPr>
                <w:color w:val="000000"/>
                <w:szCs w:val="21"/>
              </w:rPr>
              <w:t>—</w:t>
            </w:r>
            <w:r>
              <w:rPr>
                <w:rFonts w:ascii="宋体" w:hAnsi="宋体"/>
                <w:szCs w:val="21"/>
              </w:rPr>
              <w:t>2000</w:t>
            </w:r>
            <w:r>
              <w:rPr>
                <w:rFonts w:hint="eastAsia" w:ascii="宋体" w:hAnsi="宋体"/>
                <w:szCs w:val="21"/>
                <w:lang w:eastAsia="zh-CN"/>
              </w:rPr>
              <w:t>、</w:t>
            </w:r>
            <w:r>
              <w:rPr>
                <w:rFonts w:ascii="宋体" w:hAnsi="宋体"/>
                <w:szCs w:val="21"/>
              </w:rPr>
              <w:t>GB/T 1885</w:t>
            </w:r>
            <w:r>
              <w:rPr>
                <w:color w:val="000000"/>
                <w:szCs w:val="21"/>
              </w:rPr>
              <w:t>—</w:t>
            </w:r>
            <w:r>
              <w:rPr>
                <w:rFonts w:ascii="宋体" w:hAnsi="宋体"/>
                <w:szCs w:val="21"/>
              </w:rPr>
              <w:t>1998</w:t>
            </w:r>
          </w:p>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lang w:eastAsia="zh-CN"/>
              </w:rPr>
              <w:t>或</w:t>
            </w:r>
            <w:r>
              <w:rPr>
                <w:rFonts w:ascii="宋体" w:hAnsi="宋体"/>
                <w:szCs w:val="21"/>
              </w:rPr>
              <w:t>SH/T 0604</w:t>
            </w:r>
            <w:r>
              <w:rPr>
                <w:color w:val="000000"/>
                <w:szCs w:val="21"/>
              </w:rPr>
              <w:t>—</w:t>
            </w:r>
            <w:r>
              <w:rPr>
                <w:rFonts w:ascii="宋体" w:hAnsi="宋体"/>
                <w:szCs w:val="21"/>
              </w:rPr>
              <w:t>2000</w:t>
            </w:r>
          </w:p>
        </w:tc>
      </w:tr>
    </w:tbl>
    <w:p>
      <w:pPr>
        <w:snapToGrid w:val="0"/>
        <w:spacing w:line="440" w:lineRule="exact"/>
        <w:ind w:firstLine="420" w:firstLineChars="200"/>
        <w:rPr>
          <w:sz w:val="21"/>
          <w:szCs w:val="21"/>
        </w:rPr>
      </w:pPr>
      <w:r>
        <w:rPr>
          <w:rFonts w:hint="eastAsia"/>
          <w:sz w:val="21"/>
          <w:szCs w:val="21"/>
        </w:rPr>
        <w:t>执行企业标准、团体标准、地方标准的产品，检验项目参照上述内容执行。</w:t>
      </w:r>
    </w:p>
    <w:p>
      <w:pPr>
        <w:snapToGrid w:val="0"/>
        <w:spacing w:line="440" w:lineRule="exact"/>
        <w:ind w:firstLine="420" w:firstLineChars="200"/>
        <w:rPr>
          <w:rFonts w:hint="eastAsia"/>
          <w:sz w:val="21"/>
          <w:szCs w:val="21"/>
        </w:rPr>
      </w:pPr>
      <w:r>
        <w:rPr>
          <w:rFonts w:hint="eastAsia"/>
          <w:sz w:val="21"/>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eastAsia"/>
          <w:sz w:val="21"/>
          <w:szCs w:val="21"/>
        </w:rPr>
      </w:pPr>
    </w:p>
    <w:p>
      <w:pPr>
        <w:spacing w:beforeLines="50" w:line="360" w:lineRule="auto"/>
        <w:rPr>
          <w:rFonts w:hint="eastAsia" w:ascii="宋体" w:hAnsi="宋体" w:eastAsia="宋体" w:cs="宋体"/>
          <w:color w:val="auto"/>
          <w:szCs w:val="21"/>
        </w:rPr>
      </w:pPr>
      <w:r>
        <w:rPr>
          <w:rFonts w:hint="eastAsia" w:ascii="宋体" w:hAnsi="宋体" w:eastAsia="宋体" w:cs="宋体"/>
          <w:color w:val="auto"/>
          <w:szCs w:val="21"/>
        </w:rPr>
        <w:t>3 判定规则</w:t>
      </w:r>
    </w:p>
    <w:p>
      <w:pPr>
        <w:snapToGrid w:val="0"/>
        <w:spacing w:line="440" w:lineRule="exact"/>
        <w:rPr>
          <w:rFonts w:hint="eastAsia" w:ascii="宋体" w:hAnsi="宋体" w:cs="宋体"/>
          <w:color w:val="auto"/>
          <w:szCs w:val="21"/>
        </w:rPr>
      </w:pPr>
      <w:r>
        <w:rPr>
          <w:rFonts w:hint="eastAsia" w:ascii="宋体" w:hAnsi="宋体" w:cs="宋体"/>
          <w:color w:val="auto"/>
          <w:szCs w:val="21"/>
        </w:rPr>
        <w:t>3.1依据标准</w:t>
      </w:r>
    </w:p>
    <w:p>
      <w:pPr>
        <w:snapToGrid w:val="0"/>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eastAsia="zh-CN"/>
        </w:rPr>
        <w:t>G</w:t>
      </w:r>
      <w:r>
        <w:rPr>
          <w:rFonts w:hint="eastAsia" w:ascii="宋体" w:hAnsi="宋体" w:cs="宋体"/>
          <w:color w:val="auto"/>
          <w:sz w:val="21"/>
          <w:szCs w:val="21"/>
          <w:lang w:val="en-US" w:eastAsia="zh-CN"/>
        </w:rPr>
        <w:t xml:space="preserve">B </w:t>
      </w:r>
      <w:r>
        <w:rPr>
          <w:rFonts w:hint="eastAsia" w:ascii="宋体" w:hAnsi="宋体" w:cs="宋体"/>
          <w:color w:val="auto"/>
          <w:sz w:val="21"/>
          <w:szCs w:val="21"/>
          <w:lang w:eastAsia="zh-CN"/>
        </w:rPr>
        <w:t>1</w:t>
      </w:r>
      <w:r>
        <w:rPr>
          <w:rFonts w:hint="eastAsia" w:ascii="宋体" w:hAnsi="宋体" w:cs="宋体"/>
          <w:color w:val="auto"/>
          <w:sz w:val="21"/>
          <w:szCs w:val="21"/>
          <w:lang w:val="en-US" w:eastAsia="zh-CN"/>
        </w:rPr>
        <w:t>9147</w:t>
      </w:r>
      <w:r>
        <w:rPr>
          <w:color w:val="000000"/>
          <w:szCs w:val="21"/>
        </w:rPr>
        <w:t>—</w:t>
      </w:r>
      <w:r>
        <w:rPr>
          <w:rFonts w:hint="eastAsia" w:ascii="宋体" w:hAnsi="宋体" w:cs="宋体"/>
          <w:color w:val="auto"/>
          <w:sz w:val="21"/>
          <w:szCs w:val="21"/>
          <w:lang w:val="en-US" w:eastAsia="zh-CN"/>
        </w:rPr>
        <w:t>2016 车用柴油(GB 19147</w:t>
      </w:r>
      <w:r>
        <w:rPr>
          <w:color w:val="000000"/>
          <w:szCs w:val="21"/>
        </w:rPr>
        <w:t>—</w:t>
      </w:r>
      <w:r>
        <w:rPr>
          <w:rFonts w:hint="eastAsia" w:ascii="宋体" w:hAnsi="宋体" w:cs="宋体"/>
          <w:color w:val="auto"/>
          <w:sz w:val="21"/>
          <w:szCs w:val="21"/>
          <w:lang w:val="en-US" w:eastAsia="zh-CN"/>
        </w:rPr>
        <w:t>2016 车用柴油国家标准第1号修改单)</w:t>
      </w:r>
    </w:p>
    <w:p>
      <w:pPr>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现行有效的企业标准、团体标准、地方标准及产品明示质量要求</w:t>
      </w:r>
    </w:p>
    <w:p>
      <w:pPr>
        <w:adjustRightInd w:val="0"/>
        <w:snapToGrid w:val="0"/>
        <w:spacing w:line="440" w:lineRule="exact"/>
        <w:rPr>
          <w:rFonts w:hint="eastAsia" w:ascii="宋体" w:hAnsi="宋体" w:cs="宋体"/>
          <w:color w:val="auto"/>
          <w:szCs w:val="21"/>
        </w:rPr>
      </w:pPr>
      <w:r>
        <w:rPr>
          <w:rFonts w:hint="eastAsia" w:ascii="宋体" w:hAnsi="宋体" w:cs="宋体"/>
          <w:color w:val="auto"/>
          <w:szCs w:val="21"/>
        </w:rPr>
        <w:t>3.2判定原则</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若被检产品明示的质量要求低于或包含细则中检验项目依据的推荐性标准要求时，应以被检产品明示的质量要求判定。</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若被检产品明示的质量要求缺少本细则中检验项目依据的推荐性标准要求时，该项目不参与判定。</w:t>
      </w:r>
    </w:p>
    <w:p>
      <w:pPr>
        <w:snapToGrid w:val="0"/>
        <w:spacing w:line="440" w:lineRule="exact"/>
        <w:ind w:firstLine="417" w:firstLineChars="199"/>
        <w:rPr>
          <w:rFonts w:hint="eastAsia" w:ascii="宋体" w:hAnsi="宋体" w:cs="宋体"/>
          <w:color w:val="auto"/>
          <w:szCs w:val="21"/>
        </w:rPr>
      </w:pPr>
    </w:p>
    <w:p>
      <w:pPr>
        <w:snapToGrid w:val="0"/>
        <w:spacing w:line="440" w:lineRule="exact"/>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 xml:space="preserve"> </w:t>
      </w:r>
      <w:r>
        <w:rPr>
          <w:rFonts w:hint="eastAsia" w:ascii="宋体" w:hAnsi="宋体" w:eastAsia="宋体" w:cs="宋体"/>
          <w:color w:val="auto"/>
          <w:szCs w:val="21"/>
          <w:lang w:eastAsia="zh-CN"/>
        </w:rPr>
        <w:t>附则</w:t>
      </w:r>
    </w:p>
    <w:p>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firstLine="420" w:firstLineChars="200"/>
        <w:textAlignment w:val="auto"/>
        <w:rPr>
          <w:rFonts w:hint="eastAsia" w:ascii="宋体" w:hAnsi="宋体" w:cs="宋体"/>
          <w:color w:val="auto"/>
          <w:szCs w:val="21"/>
          <w:lang w:val="en-US" w:eastAsia="zh-CN"/>
        </w:rPr>
      </w:pPr>
      <w:r>
        <w:rPr>
          <w:rFonts w:hint="eastAsia" w:ascii="宋体" w:hAnsi="宋体" w:cs="宋体"/>
          <w:color w:val="auto"/>
          <w:szCs w:val="21"/>
          <w:lang w:val="en-US" w:eastAsia="zh-CN"/>
        </w:rPr>
        <w:t>本细则由淮南市市场监督管理局管理。</w:t>
      </w:r>
    </w:p>
    <w:p>
      <w:pPr>
        <w:snapToGrid w:val="0"/>
        <w:spacing w:line="440" w:lineRule="exact"/>
        <w:rPr>
          <w:rFonts w:ascii="宋体" w:hAnsi="宋体" w:cs="Calibri"/>
          <w:color w:val="000000"/>
          <w:sz w:val="21"/>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zUxMzQxZjA0YjQ5MGJhMWFmOTEyMjljNDUwMzAifQ=="/>
  </w:docVars>
  <w:rsids>
    <w:rsidRoot w:val="00B525EF"/>
    <w:rsid w:val="00052216"/>
    <w:rsid w:val="00061198"/>
    <w:rsid w:val="00067E04"/>
    <w:rsid w:val="000711B0"/>
    <w:rsid w:val="00074373"/>
    <w:rsid w:val="000827A6"/>
    <w:rsid w:val="000B2D0E"/>
    <w:rsid w:val="000C5FB2"/>
    <w:rsid w:val="000F0C8D"/>
    <w:rsid w:val="00100AE3"/>
    <w:rsid w:val="001163B4"/>
    <w:rsid w:val="001557C5"/>
    <w:rsid w:val="00177937"/>
    <w:rsid w:val="00191A4B"/>
    <w:rsid w:val="001A1209"/>
    <w:rsid w:val="001C0493"/>
    <w:rsid w:val="001C1973"/>
    <w:rsid w:val="001D3860"/>
    <w:rsid w:val="001D4CAC"/>
    <w:rsid w:val="00241C35"/>
    <w:rsid w:val="00244311"/>
    <w:rsid w:val="00252E2D"/>
    <w:rsid w:val="002813AC"/>
    <w:rsid w:val="00287C7A"/>
    <w:rsid w:val="002A0CD3"/>
    <w:rsid w:val="002A5A60"/>
    <w:rsid w:val="002B5BAA"/>
    <w:rsid w:val="002C3000"/>
    <w:rsid w:val="002D183E"/>
    <w:rsid w:val="0031228C"/>
    <w:rsid w:val="00312D4C"/>
    <w:rsid w:val="003151E2"/>
    <w:rsid w:val="00321035"/>
    <w:rsid w:val="0033148E"/>
    <w:rsid w:val="00344B4C"/>
    <w:rsid w:val="00355EA6"/>
    <w:rsid w:val="003703FC"/>
    <w:rsid w:val="003732AD"/>
    <w:rsid w:val="00385686"/>
    <w:rsid w:val="00386B17"/>
    <w:rsid w:val="003905FA"/>
    <w:rsid w:val="00391C7D"/>
    <w:rsid w:val="003939C6"/>
    <w:rsid w:val="003B19E1"/>
    <w:rsid w:val="003B219E"/>
    <w:rsid w:val="003F3D4C"/>
    <w:rsid w:val="003F458E"/>
    <w:rsid w:val="004050D4"/>
    <w:rsid w:val="004312FC"/>
    <w:rsid w:val="00436C05"/>
    <w:rsid w:val="00443464"/>
    <w:rsid w:val="00444BC4"/>
    <w:rsid w:val="00451D9D"/>
    <w:rsid w:val="004564F2"/>
    <w:rsid w:val="004754B8"/>
    <w:rsid w:val="00482B03"/>
    <w:rsid w:val="00486203"/>
    <w:rsid w:val="004937A8"/>
    <w:rsid w:val="0049598B"/>
    <w:rsid w:val="004B0EFE"/>
    <w:rsid w:val="004B224F"/>
    <w:rsid w:val="00522A8A"/>
    <w:rsid w:val="00532B56"/>
    <w:rsid w:val="0054381E"/>
    <w:rsid w:val="00545330"/>
    <w:rsid w:val="00552532"/>
    <w:rsid w:val="00591444"/>
    <w:rsid w:val="005B70D3"/>
    <w:rsid w:val="005D1282"/>
    <w:rsid w:val="006059DF"/>
    <w:rsid w:val="0062455D"/>
    <w:rsid w:val="0062552A"/>
    <w:rsid w:val="00634372"/>
    <w:rsid w:val="00640C75"/>
    <w:rsid w:val="00650E70"/>
    <w:rsid w:val="006622F5"/>
    <w:rsid w:val="00663E1C"/>
    <w:rsid w:val="00682BEA"/>
    <w:rsid w:val="006870F9"/>
    <w:rsid w:val="00693CED"/>
    <w:rsid w:val="00694271"/>
    <w:rsid w:val="006C6D21"/>
    <w:rsid w:val="006C74F8"/>
    <w:rsid w:val="006D5D4E"/>
    <w:rsid w:val="007023E2"/>
    <w:rsid w:val="00714339"/>
    <w:rsid w:val="007241D6"/>
    <w:rsid w:val="00730C62"/>
    <w:rsid w:val="00774493"/>
    <w:rsid w:val="007869C0"/>
    <w:rsid w:val="007B2AF8"/>
    <w:rsid w:val="007D4B6A"/>
    <w:rsid w:val="007E02ED"/>
    <w:rsid w:val="007E039D"/>
    <w:rsid w:val="007E3C75"/>
    <w:rsid w:val="0080728B"/>
    <w:rsid w:val="00816AC7"/>
    <w:rsid w:val="00875F17"/>
    <w:rsid w:val="00885A73"/>
    <w:rsid w:val="008914CE"/>
    <w:rsid w:val="00901DC8"/>
    <w:rsid w:val="00912469"/>
    <w:rsid w:val="0093348D"/>
    <w:rsid w:val="00954ADF"/>
    <w:rsid w:val="00962735"/>
    <w:rsid w:val="00966498"/>
    <w:rsid w:val="00967007"/>
    <w:rsid w:val="00977A9E"/>
    <w:rsid w:val="00982E78"/>
    <w:rsid w:val="009C015D"/>
    <w:rsid w:val="009E3F6F"/>
    <w:rsid w:val="00A01322"/>
    <w:rsid w:val="00A0203C"/>
    <w:rsid w:val="00A21482"/>
    <w:rsid w:val="00A370CD"/>
    <w:rsid w:val="00A5505C"/>
    <w:rsid w:val="00A656CB"/>
    <w:rsid w:val="00A84953"/>
    <w:rsid w:val="00AA3AA5"/>
    <w:rsid w:val="00AB0483"/>
    <w:rsid w:val="00AB0539"/>
    <w:rsid w:val="00AB320B"/>
    <w:rsid w:val="00AC0658"/>
    <w:rsid w:val="00AD5CAF"/>
    <w:rsid w:val="00AE0FCC"/>
    <w:rsid w:val="00AF107E"/>
    <w:rsid w:val="00AF5684"/>
    <w:rsid w:val="00B04FC5"/>
    <w:rsid w:val="00B11798"/>
    <w:rsid w:val="00B525EF"/>
    <w:rsid w:val="00B604A2"/>
    <w:rsid w:val="00B61872"/>
    <w:rsid w:val="00B71D10"/>
    <w:rsid w:val="00B92C96"/>
    <w:rsid w:val="00BB3C97"/>
    <w:rsid w:val="00BC03D6"/>
    <w:rsid w:val="00BC5F7D"/>
    <w:rsid w:val="00BD4CE2"/>
    <w:rsid w:val="00BF10E3"/>
    <w:rsid w:val="00BF70A3"/>
    <w:rsid w:val="00C050AD"/>
    <w:rsid w:val="00C17CD0"/>
    <w:rsid w:val="00C24610"/>
    <w:rsid w:val="00C3453D"/>
    <w:rsid w:val="00C53409"/>
    <w:rsid w:val="00CB203A"/>
    <w:rsid w:val="00CB6A67"/>
    <w:rsid w:val="00CC5DCC"/>
    <w:rsid w:val="00CD7FCB"/>
    <w:rsid w:val="00CE7540"/>
    <w:rsid w:val="00CF096B"/>
    <w:rsid w:val="00CF2B94"/>
    <w:rsid w:val="00D60852"/>
    <w:rsid w:val="00D644DF"/>
    <w:rsid w:val="00D743D7"/>
    <w:rsid w:val="00D913BE"/>
    <w:rsid w:val="00D95161"/>
    <w:rsid w:val="00D9787F"/>
    <w:rsid w:val="00DA355D"/>
    <w:rsid w:val="00DB272E"/>
    <w:rsid w:val="00DD32EF"/>
    <w:rsid w:val="00DE2355"/>
    <w:rsid w:val="00DE7C3B"/>
    <w:rsid w:val="00DF5050"/>
    <w:rsid w:val="00E024FE"/>
    <w:rsid w:val="00E4426D"/>
    <w:rsid w:val="00E63F51"/>
    <w:rsid w:val="00EA030F"/>
    <w:rsid w:val="00EA28F9"/>
    <w:rsid w:val="00ED1A5B"/>
    <w:rsid w:val="00ED6940"/>
    <w:rsid w:val="00F12E8D"/>
    <w:rsid w:val="00F1679A"/>
    <w:rsid w:val="00F219BF"/>
    <w:rsid w:val="00F332CA"/>
    <w:rsid w:val="00F3592D"/>
    <w:rsid w:val="00F37CD7"/>
    <w:rsid w:val="00F57ACD"/>
    <w:rsid w:val="00F61AE9"/>
    <w:rsid w:val="00F61E17"/>
    <w:rsid w:val="00F72014"/>
    <w:rsid w:val="00F8408F"/>
    <w:rsid w:val="00F84D35"/>
    <w:rsid w:val="00FB148F"/>
    <w:rsid w:val="00FB7ECB"/>
    <w:rsid w:val="00FF153A"/>
    <w:rsid w:val="00FF58F3"/>
    <w:rsid w:val="06A12875"/>
    <w:rsid w:val="06F4526B"/>
    <w:rsid w:val="087D7FB4"/>
    <w:rsid w:val="0C7E51DC"/>
    <w:rsid w:val="0DC87016"/>
    <w:rsid w:val="0E76345F"/>
    <w:rsid w:val="108131DF"/>
    <w:rsid w:val="1802708A"/>
    <w:rsid w:val="181D6B8E"/>
    <w:rsid w:val="1BB734C3"/>
    <w:rsid w:val="1DE85B0E"/>
    <w:rsid w:val="1E62130A"/>
    <w:rsid w:val="210F4536"/>
    <w:rsid w:val="213802C2"/>
    <w:rsid w:val="260B1019"/>
    <w:rsid w:val="2AB534C2"/>
    <w:rsid w:val="307750E9"/>
    <w:rsid w:val="32022F7F"/>
    <w:rsid w:val="37F95AA4"/>
    <w:rsid w:val="39DDBB0D"/>
    <w:rsid w:val="3AC30F2B"/>
    <w:rsid w:val="3CAF4C58"/>
    <w:rsid w:val="417D0F6B"/>
    <w:rsid w:val="42132CAC"/>
    <w:rsid w:val="42661C6F"/>
    <w:rsid w:val="462A789C"/>
    <w:rsid w:val="518530AF"/>
    <w:rsid w:val="536B3FCF"/>
    <w:rsid w:val="53A2397B"/>
    <w:rsid w:val="5B28492B"/>
    <w:rsid w:val="5BF3746A"/>
    <w:rsid w:val="5C773DFE"/>
    <w:rsid w:val="5ED22530"/>
    <w:rsid w:val="62BA36B3"/>
    <w:rsid w:val="63233BF1"/>
    <w:rsid w:val="657806E9"/>
    <w:rsid w:val="65B643D5"/>
    <w:rsid w:val="66974E96"/>
    <w:rsid w:val="67F7003E"/>
    <w:rsid w:val="695157D0"/>
    <w:rsid w:val="6B964E45"/>
    <w:rsid w:val="6D8E174D"/>
    <w:rsid w:val="6E504BFA"/>
    <w:rsid w:val="72C07694"/>
    <w:rsid w:val="739D2368"/>
    <w:rsid w:val="73AF5389"/>
    <w:rsid w:val="73CC2623"/>
    <w:rsid w:val="7CF301D8"/>
    <w:rsid w:val="CBCEB523"/>
    <w:rsid w:val="DFEEC880"/>
    <w:rsid w:val="DFF4D5B4"/>
    <w:rsid w:val="FABE10D3"/>
    <w:rsid w:val="FF9260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unhideWhenUsed/>
    <w:qFormat/>
    <w:uiPriority w:val="99"/>
    <w:pPr>
      <w:spacing w:after="120" w:afterLines="0" w:afterAutospacing="0"/>
      <w:ind w:left="420" w:leftChars="200"/>
    </w:pPr>
  </w:style>
  <w:style w:type="paragraph" w:styleId="4">
    <w:name w:val="Balloon Text"/>
    <w:basedOn w:val="1"/>
    <w:link w:val="17"/>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0"/>
    <w:semiHidden/>
    <w:unhideWhenUsed/>
    <w:qFormat/>
    <w:uiPriority w:val="99"/>
    <w:rPr>
      <w:b/>
      <w:bCs/>
    </w:rPr>
  </w:style>
  <w:style w:type="paragraph" w:styleId="8">
    <w:name w:val="Body Text First Indent 2"/>
    <w:basedOn w:val="3"/>
    <w:unhideWhenUsed/>
    <w:qFormat/>
    <w:uiPriority w:val="99"/>
    <w:pPr>
      <w:ind w:firstLine="420" w:firstLineChars="200"/>
    </w:p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annotation reference"/>
    <w:basedOn w:val="11"/>
    <w:semiHidden/>
    <w:unhideWhenUsed/>
    <w:qFormat/>
    <w:uiPriority w:val="99"/>
    <w:rPr>
      <w:sz w:val="21"/>
      <w:szCs w:val="21"/>
    </w:rPr>
  </w:style>
  <w:style w:type="paragraph" w:customStyle="1" w:styleId="14">
    <w:name w:val="列出段落1"/>
    <w:basedOn w:val="1"/>
    <w:qFormat/>
    <w:uiPriority w:val="34"/>
    <w:pPr>
      <w:ind w:firstLine="420" w:firstLineChars="200"/>
    </w:pPr>
    <w:rPr>
      <w:rFonts w:ascii="Calibri" w:hAnsi="Calibri"/>
      <w:szCs w:val="22"/>
    </w:rPr>
  </w:style>
  <w:style w:type="character" w:customStyle="1" w:styleId="15">
    <w:name w:val="页脚 Char"/>
    <w:basedOn w:val="11"/>
    <w:link w:val="5"/>
    <w:qFormat/>
    <w:uiPriority w:val="99"/>
    <w:rPr>
      <w:kern w:val="2"/>
      <w:sz w:val="18"/>
      <w:szCs w:val="18"/>
    </w:rPr>
  </w:style>
  <w:style w:type="character" w:customStyle="1" w:styleId="16">
    <w:name w:val="页眉 Char"/>
    <w:basedOn w:val="11"/>
    <w:link w:val="6"/>
    <w:semiHidden/>
    <w:qFormat/>
    <w:uiPriority w:val="99"/>
    <w:rPr>
      <w:kern w:val="2"/>
      <w:sz w:val="18"/>
      <w:szCs w:val="18"/>
    </w:rPr>
  </w:style>
  <w:style w:type="character" w:customStyle="1" w:styleId="17">
    <w:name w:val="批注框文本 Char"/>
    <w:basedOn w:val="11"/>
    <w:link w:val="4"/>
    <w:semiHidden/>
    <w:qFormat/>
    <w:uiPriority w:val="99"/>
    <w:rPr>
      <w:kern w:val="2"/>
      <w:sz w:val="18"/>
      <w:szCs w:val="18"/>
    </w:rPr>
  </w:style>
  <w:style w:type="paragraph" w:styleId="18">
    <w:name w:val="List Paragraph"/>
    <w:basedOn w:val="1"/>
    <w:qFormat/>
    <w:uiPriority w:val="99"/>
    <w:pPr>
      <w:ind w:firstLine="420" w:firstLineChars="200"/>
    </w:pPr>
  </w:style>
  <w:style w:type="character" w:customStyle="1" w:styleId="19">
    <w:name w:val="批注文字 Char"/>
    <w:basedOn w:val="11"/>
    <w:link w:val="2"/>
    <w:semiHidden/>
    <w:qFormat/>
    <w:uiPriority w:val="99"/>
    <w:rPr>
      <w:kern w:val="2"/>
      <w:sz w:val="21"/>
      <w:szCs w:val="24"/>
    </w:rPr>
  </w:style>
  <w:style w:type="character" w:customStyle="1" w:styleId="20">
    <w:name w:val="批注主题 Char"/>
    <w:basedOn w:val="19"/>
    <w:link w:val="7"/>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791</Words>
  <Characters>1105</Characters>
  <Lines>15</Lines>
  <Paragraphs>4</Paragraphs>
  <TotalTime>0</TotalTime>
  <ScaleCrop>false</ScaleCrop>
  <LinksUpToDate>false</LinksUpToDate>
  <CharactersWithSpaces>1142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2023-03-13T23:34:00Z</dcterms:created>
  <dc:creator>Legend User</dc:creator>
  <cp:lastModifiedBy>uos</cp:lastModifiedBy>
  <cp:lastPrinted>2019-12-06T23:53:00Z</cp:lastPrinted>
  <dcterms:modified xsi:type="dcterms:W3CDTF">2025-10-21T16:50:00Z</dcterms:modified>
  <dc:title>××产品质量监督抽查实施细则</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FDE2B684C579412EA78035DB64204529_13</vt:lpwstr>
  </property>
  <property fmtid="{D5CDD505-2E9C-101B-9397-08002B2CF9AE}" pid="4" name="KSOTemplateDocerSaveRecord">
    <vt:lpwstr>eyJoZGlkIjoiNDNkMzdkZjQ5ZDNiYzk5N2MzNTMzOWRkMDFhYTliMDkiLCJ1c2VySWQiOiIzMDQ5NTEyMTEifQ==</vt:lpwstr>
  </property>
</Properties>
</file>