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b/>
          <w:sz w:val="36"/>
          <w:szCs w:val="36"/>
        </w:rPr>
      </w:pPr>
      <w:r>
        <w:rPr>
          <w:rFonts w:hint="eastAsia"/>
          <w:b/>
          <w:sz w:val="36"/>
          <w:szCs w:val="36"/>
        </w:rPr>
        <w:t>国家煤化工中心（淮南市质检所）</w:t>
      </w:r>
      <w:r>
        <w:rPr>
          <w:rFonts w:hint="eastAsia"/>
          <w:b/>
          <w:sz w:val="36"/>
          <w:szCs w:val="36"/>
          <w:lang w:eastAsia="zh-CN"/>
        </w:rPr>
        <w:t>重点工业产品</w:t>
      </w:r>
      <w:r>
        <w:rPr>
          <w:rFonts w:hint="eastAsia"/>
          <w:b/>
          <w:sz w:val="36"/>
          <w:szCs w:val="36"/>
        </w:rPr>
        <w:t>检验检测设备更新项目</w:t>
      </w:r>
    </w:p>
    <w:p>
      <w:pPr>
        <w:pStyle w:val="2"/>
        <w:jc w:val="center"/>
        <w:rPr>
          <w:b/>
          <w:sz w:val="36"/>
          <w:szCs w:val="36"/>
        </w:rPr>
      </w:pPr>
      <w:r>
        <w:rPr>
          <w:rFonts w:hint="eastAsia"/>
          <w:b/>
          <w:sz w:val="36"/>
          <w:szCs w:val="36"/>
        </w:rPr>
        <w:t>采购设备清单</w:t>
      </w:r>
    </w:p>
    <w:p/>
    <w:tbl>
      <w:tblPr>
        <w:tblStyle w:val="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438"/>
        <w:gridCol w:w="794"/>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5" w:type="dxa"/>
            <w:vAlign w:val="center"/>
          </w:tcPr>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序号</w:t>
            </w:r>
          </w:p>
        </w:tc>
        <w:tc>
          <w:tcPr>
            <w:tcW w:w="1438" w:type="dxa"/>
            <w:vAlign w:val="center"/>
          </w:tcPr>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设备名称</w:t>
            </w:r>
          </w:p>
        </w:tc>
        <w:tc>
          <w:tcPr>
            <w:tcW w:w="794" w:type="dxa"/>
            <w:vAlign w:val="center"/>
          </w:tcPr>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数量</w:t>
            </w:r>
          </w:p>
        </w:tc>
        <w:tc>
          <w:tcPr>
            <w:tcW w:w="6799" w:type="dxa"/>
            <w:vAlign w:val="center"/>
          </w:tcPr>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主要功能需求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高效液相色谱仪</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1.四元混合梯度泵，最大压力≥65Mpa 2.配备二极管阵列(DAD)检测器，波长范围：190～800nm;3.配备荧光检测器，激发波长：200 to 890 nm，发射波长：210 to 900 nm;3.流量范围:≤5mL/min;4.梯度准确度±0.5%，梯度精密度&lt;0.15%;5.可控温自动进样器位数≥90位;6.可控温柱温箱。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color w:val="000000"/>
                <w:sz w:val="24"/>
                <w:szCs w:val="24"/>
                <w:u w:val="none"/>
                <w:lang w:val="en-US" w:eastAsia="zh-CN"/>
              </w:rPr>
            </w:pPr>
            <w:r>
              <w:rPr>
                <w:rFonts w:hint="eastAsia" w:asciiTheme="minorEastAsia" w:hAnsiTheme="minorEastAsia" w:eastAsiaTheme="minorEastAsia" w:cstheme="minorEastAsia"/>
                <w:i w:val="0"/>
                <w:strike w:val="0"/>
                <w:color w:val="000000"/>
                <w:sz w:val="24"/>
                <w:szCs w:val="24"/>
                <w:u w:val="none"/>
                <w:lang w:val="en-US" w:eastAsia="zh-CN"/>
              </w:rPr>
              <w:t>1.满足标准GB/T 33649-2017技术要求，配置不得低于该标准；</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2.配备FID检测器2套（FID最低检出限&lt;1.3pg碳/秒(十三烷)）；3.温度控制范围：室温到400℃；4.控温精度：±0.1℃；5.程序升温阶数:≥20阶,标准升温速率:≥120℃/min；；6.分流/不分流进样口；7.配自动进样器（样品位数：≥16个样品位）；8.配中心切割附件一套；9.电子流量压力控制/CFT 气路切换的 PSD 模块一套；10.配CP-Lowox（0.53 mm×10 mm）或满足GB/T 33649-2017分析要求的其它色谱柱；11.配DB-1毛细管色谱柱（30m×0.32mm×1.00 um）或其它等效色谱柱等。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1362075" cy="571500"/>
                  <wp:effectExtent l="0" t="0" r="0" b="0"/>
                  <wp:wrapNone/>
                  <wp:docPr id="2" name="ComboBox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oBox2" hidden="1"/>
                          <pic:cNvPicPr>
                            <a:picLocks noChangeAspect="1"/>
                          </pic:cNvPicPr>
                        </pic:nvPicPr>
                        <pic:blipFill>
                          <a:blip r:embed="rId4"/>
                          <a:stretch>
                            <a:fillRect/>
                          </a:stretch>
                        </pic:blipFill>
                        <pic:spPr>
                          <a:xfrm>
                            <a:off x="0" y="0"/>
                            <a:ext cx="1362075" cy="571500"/>
                          </a:xfrm>
                          <a:prstGeom prst="rect">
                            <a:avLst/>
                          </a:prstGeom>
                          <a:noFill/>
                          <a:ln>
                            <a:noFill/>
                          </a:ln>
                        </pic:spPr>
                      </pic:pic>
                    </a:graphicData>
                  </a:graphic>
                </wp:anchor>
              </w:drawing>
            </w: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1.满足GB/T 28124-2025技术要求，配置不得低于该标准；2</w:t>
            </w:r>
            <w:r>
              <w:rPr>
                <w:rFonts w:hint="eastAsia" w:asciiTheme="minorEastAsia" w:hAnsiTheme="minorEastAsia" w:eastAsiaTheme="minorEastAsia" w:cstheme="minorEastAsia"/>
                <w:i w:val="0"/>
                <w:strike w:val="0"/>
                <w:color w:val="000000"/>
                <w:sz w:val="24"/>
                <w:szCs w:val="24"/>
                <w:u w:val="none"/>
              </w:rPr>
              <w:t>.配备氧化锆检测器</w:t>
            </w:r>
            <w:r>
              <w:rPr>
                <w:rFonts w:hint="eastAsia" w:asciiTheme="minorEastAsia" w:hAnsiTheme="minorEastAsia" w:eastAsiaTheme="minorEastAsia" w:cstheme="minorEastAsia"/>
                <w:i w:val="0"/>
                <w:strike w:val="0"/>
                <w:color w:val="000000"/>
                <w:sz w:val="24"/>
                <w:szCs w:val="24"/>
                <w:u w:val="none"/>
                <w:lang w:val="en-US" w:eastAsia="zh-CN"/>
              </w:rPr>
              <w:t>一套</w:t>
            </w:r>
            <w:r>
              <w:rPr>
                <w:rFonts w:hint="eastAsia" w:asciiTheme="minorEastAsia" w:hAnsiTheme="minorEastAsia" w:eastAsiaTheme="minorEastAsia" w:cstheme="minorEastAsia"/>
                <w:i w:val="0"/>
                <w:strike w:val="0"/>
                <w:color w:val="000000"/>
                <w:sz w:val="24"/>
                <w:szCs w:val="24"/>
                <w:u w:val="none"/>
              </w:rPr>
              <w:t>；</w:t>
            </w:r>
            <w:r>
              <w:rPr>
                <w:rFonts w:hint="eastAsia" w:asciiTheme="minorEastAsia" w:hAnsiTheme="minorEastAsia" w:eastAsiaTheme="minorEastAsia" w:cstheme="minorEastAsia"/>
                <w:i w:val="0"/>
                <w:strike w:val="0"/>
                <w:color w:val="000000"/>
                <w:sz w:val="24"/>
                <w:szCs w:val="24"/>
                <w:u w:val="none"/>
                <w:lang w:val="en-US" w:eastAsia="zh-CN"/>
              </w:rPr>
              <w:t>3</w:t>
            </w:r>
            <w:r>
              <w:rPr>
                <w:rFonts w:hint="eastAsia" w:asciiTheme="minorEastAsia" w:hAnsiTheme="minorEastAsia" w:eastAsiaTheme="minorEastAsia" w:cstheme="minorEastAsia"/>
                <w:i w:val="0"/>
                <w:strike w:val="0"/>
                <w:color w:val="000000"/>
                <w:sz w:val="24"/>
                <w:szCs w:val="24"/>
                <w:u w:val="none"/>
              </w:rPr>
              <w:t>.温度控制范围：室温到400℃；</w:t>
            </w:r>
            <w:r>
              <w:rPr>
                <w:rFonts w:hint="eastAsia" w:asciiTheme="minorEastAsia" w:hAnsiTheme="minorEastAsia" w:eastAsiaTheme="minorEastAsia" w:cstheme="minorEastAsia"/>
                <w:i w:val="0"/>
                <w:strike w:val="0"/>
                <w:color w:val="000000"/>
                <w:sz w:val="24"/>
                <w:szCs w:val="24"/>
                <w:u w:val="none"/>
                <w:lang w:val="en-US" w:eastAsia="zh-CN"/>
              </w:rPr>
              <w:t>4</w:t>
            </w:r>
            <w:r>
              <w:rPr>
                <w:rFonts w:hint="eastAsia" w:asciiTheme="minorEastAsia" w:hAnsiTheme="minorEastAsia" w:eastAsiaTheme="minorEastAsia" w:cstheme="minorEastAsia"/>
                <w:i w:val="0"/>
                <w:strike w:val="0"/>
                <w:color w:val="000000"/>
                <w:sz w:val="24"/>
                <w:szCs w:val="24"/>
                <w:u w:val="none"/>
              </w:rPr>
              <w:t>.控温精度：±0.1℃；</w:t>
            </w:r>
            <w:r>
              <w:rPr>
                <w:rFonts w:hint="eastAsia" w:asciiTheme="minorEastAsia" w:hAnsiTheme="minorEastAsia" w:eastAsiaTheme="minorEastAsia" w:cstheme="minorEastAsia"/>
                <w:i w:val="0"/>
                <w:strike w:val="0"/>
                <w:color w:val="000000"/>
                <w:sz w:val="24"/>
                <w:szCs w:val="24"/>
                <w:u w:val="none"/>
                <w:lang w:val="en-US" w:eastAsia="zh-CN"/>
              </w:rPr>
              <w:t>5</w:t>
            </w:r>
            <w:r>
              <w:rPr>
                <w:rFonts w:hint="eastAsia" w:asciiTheme="minorEastAsia" w:hAnsiTheme="minorEastAsia" w:eastAsiaTheme="minorEastAsia" w:cstheme="minorEastAsia"/>
                <w:i w:val="0"/>
                <w:strike w:val="0"/>
                <w:color w:val="000000"/>
                <w:sz w:val="24"/>
                <w:szCs w:val="24"/>
                <w:u w:val="none"/>
              </w:rPr>
              <w:t>.程序升温阶数:≥</w:t>
            </w:r>
            <w:r>
              <w:rPr>
                <w:rFonts w:hint="eastAsia" w:asciiTheme="minorEastAsia" w:hAnsiTheme="minorEastAsia" w:eastAsiaTheme="minorEastAsia" w:cstheme="minorEastAsia"/>
                <w:i w:val="0"/>
                <w:strike w:val="0"/>
                <w:color w:val="000000"/>
                <w:sz w:val="24"/>
                <w:szCs w:val="24"/>
                <w:u w:val="none"/>
                <w:lang w:val="en-US" w:eastAsia="zh-CN"/>
              </w:rPr>
              <w:t>8</w:t>
            </w:r>
            <w:r>
              <w:rPr>
                <w:rFonts w:hint="eastAsia" w:asciiTheme="minorEastAsia" w:hAnsiTheme="minorEastAsia" w:eastAsiaTheme="minorEastAsia" w:cstheme="minorEastAsia"/>
                <w:i w:val="0"/>
                <w:strike w:val="0"/>
                <w:color w:val="000000"/>
                <w:sz w:val="24"/>
                <w:szCs w:val="24"/>
                <w:u w:val="none"/>
              </w:rPr>
              <w:t>阶,标准升温速率:≥</w:t>
            </w:r>
            <w:r>
              <w:rPr>
                <w:rFonts w:hint="eastAsia" w:asciiTheme="minorEastAsia" w:hAnsiTheme="minorEastAsia" w:eastAsiaTheme="minorEastAsia" w:cstheme="minorEastAsia"/>
                <w:i w:val="0"/>
                <w:strike w:val="0"/>
                <w:color w:val="000000"/>
                <w:sz w:val="24"/>
                <w:szCs w:val="24"/>
                <w:u w:val="none"/>
                <w:lang w:val="en-US" w:eastAsia="zh-CN"/>
              </w:rPr>
              <w:t>6</w:t>
            </w:r>
            <w:r>
              <w:rPr>
                <w:rFonts w:hint="eastAsia" w:asciiTheme="minorEastAsia" w:hAnsiTheme="minorEastAsia" w:eastAsiaTheme="minorEastAsia" w:cstheme="minorEastAsia"/>
                <w:i w:val="0"/>
                <w:strike w:val="0"/>
                <w:color w:val="000000"/>
                <w:sz w:val="24"/>
                <w:szCs w:val="24"/>
                <w:u w:val="none"/>
              </w:rPr>
              <w:t>0℃/min；</w:t>
            </w:r>
            <w:r>
              <w:rPr>
                <w:rFonts w:hint="eastAsia" w:asciiTheme="minorEastAsia" w:hAnsiTheme="minorEastAsia" w:eastAsiaTheme="minorEastAsia" w:cstheme="minorEastAsia"/>
                <w:i w:val="0"/>
                <w:strike w:val="0"/>
                <w:color w:val="000000"/>
                <w:sz w:val="24"/>
                <w:szCs w:val="24"/>
                <w:u w:val="none"/>
                <w:lang w:val="en-US" w:eastAsia="zh-CN"/>
              </w:rPr>
              <w:t>6</w:t>
            </w:r>
            <w:r>
              <w:rPr>
                <w:rFonts w:hint="eastAsia" w:asciiTheme="minorEastAsia" w:hAnsiTheme="minorEastAsia" w:eastAsiaTheme="minorEastAsia" w:cstheme="minorEastAsia"/>
                <w:i w:val="0"/>
                <w:strike w:val="0"/>
                <w:color w:val="000000"/>
                <w:sz w:val="24"/>
                <w:szCs w:val="24"/>
                <w:u w:val="none"/>
              </w:rPr>
              <w:t>.</w:t>
            </w:r>
            <w:r>
              <w:rPr>
                <w:rFonts w:hint="eastAsia" w:asciiTheme="minorEastAsia" w:hAnsiTheme="minorEastAsia" w:eastAsiaTheme="minorEastAsia" w:cstheme="minorEastAsia"/>
                <w:i w:val="0"/>
                <w:strike w:val="0"/>
                <w:color w:val="000000"/>
                <w:sz w:val="24"/>
                <w:szCs w:val="24"/>
                <w:u w:val="none"/>
                <w:lang w:val="en-US" w:eastAsia="zh-CN"/>
              </w:rPr>
              <w:t>气体进样口配10通</w:t>
            </w:r>
            <w:r>
              <w:rPr>
                <w:rFonts w:hint="eastAsia" w:asciiTheme="minorEastAsia" w:hAnsiTheme="minorEastAsia" w:eastAsiaTheme="minorEastAsia" w:cstheme="minorEastAsia"/>
                <w:i w:val="0"/>
                <w:strike w:val="0"/>
                <w:color w:val="000000"/>
                <w:sz w:val="24"/>
                <w:szCs w:val="24"/>
                <w:u w:val="none"/>
              </w:rPr>
              <w:t>进样</w:t>
            </w:r>
            <w:r>
              <w:rPr>
                <w:rFonts w:hint="eastAsia" w:asciiTheme="minorEastAsia" w:hAnsiTheme="minorEastAsia" w:eastAsiaTheme="minorEastAsia" w:cstheme="minorEastAsia"/>
                <w:i w:val="0"/>
                <w:strike w:val="0"/>
                <w:color w:val="000000"/>
                <w:sz w:val="24"/>
                <w:szCs w:val="24"/>
                <w:u w:val="none"/>
                <w:lang w:val="en-US" w:eastAsia="zh-CN"/>
              </w:rPr>
              <w:t>阀</w:t>
            </w:r>
            <w:r>
              <w:rPr>
                <w:rFonts w:hint="eastAsia" w:asciiTheme="minorEastAsia" w:hAnsiTheme="minorEastAsia" w:eastAsiaTheme="minorEastAsia" w:cstheme="minorEastAsia"/>
                <w:i w:val="0"/>
                <w:strike w:val="0"/>
                <w:color w:val="000000"/>
                <w:sz w:val="24"/>
                <w:szCs w:val="24"/>
                <w:u w:val="none"/>
              </w:rPr>
              <w:t>；</w:t>
            </w:r>
            <w:r>
              <w:rPr>
                <w:rFonts w:hint="eastAsia" w:asciiTheme="minorEastAsia" w:hAnsiTheme="minorEastAsia" w:eastAsiaTheme="minorEastAsia" w:cstheme="minorEastAsia"/>
                <w:i w:val="0"/>
                <w:strike w:val="0"/>
                <w:color w:val="000000"/>
                <w:sz w:val="24"/>
                <w:szCs w:val="24"/>
                <w:u w:val="none"/>
                <w:lang w:val="en-US" w:eastAsia="zh-CN"/>
              </w:rPr>
              <w:t>7.</w:t>
            </w:r>
            <w:r>
              <w:rPr>
                <w:rFonts w:hint="eastAsia" w:asciiTheme="minorEastAsia" w:hAnsiTheme="minorEastAsia" w:eastAsiaTheme="minorEastAsia" w:cstheme="minorEastAsia"/>
                <w:i w:val="0"/>
                <w:strike w:val="0"/>
                <w:color w:val="000000"/>
                <w:sz w:val="24"/>
                <w:szCs w:val="24"/>
                <w:u w:val="none"/>
              </w:rPr>
              <w:t>氧化锆检测器</w:t>
            </w:r>
            <w:r>
              <w:rPr>
                <w:rFonts w:hint="eastAsia" w:asciiTheme="minorEastAsia" w:hAnsiTheme="minorEastAsia" w:eastAsiaTheme="minorEastAsia" w:cstheme="minorEastAsia"/>
                <w:i w:val="0"/>
                <w:strike w:val="0"/>
                <w:color w:val="000000"/>
                <w:sz w:val="24"/>
                <w:szCs w:val="24"/>
                <w:u w:val="none"/>
                <w:lang w:eastAsia="zh-CN"/>
              </w:rPr>
              <w:t>检测限≤5×10-12g/s</w:t>
            </w:r>
            <w:r>
              <w:rPr>
                <w:rFonts w:hint="eastAsia" w:asciiTheme="minorEastAsia" w:hAnsiTheme="minorEastAsia" w:eastAsiaTheme="minorEastAsia" w:cstheme="minorEastAsia"/>
                <w:i w:val="0"/>
                <w:strike w:val="0"/>
                <w:color w:val="000000"/>
                <w:sz w:val="24"/>
                <w:szCs w:val="24"/>
                <w:u w:val="none"/>
                <w:lang w:val="en-US" w:eastAsia="zh-CN"/>
              </w:rPr>
              <w:t xml:space="preserve">  7</w:t>
            </w:r>
            <w:r>
              <w:rPr>
                <w:rFonts w:hint="eastAsia" w:asciiTheme="minorEastAsia" w:hAnsiTheme="minorEastAsia" w:eastAsiaTheme="minorEastAsia" w:cstheme="minorEastAsia"/>
                <w:i w:val="0"/>
                <w:strike w:val="0"/>
                <w:color w:val="000000"/>
                <w:sz w:val="24"/>
                <w:szCs w:val="24"/>
                <w:u w:val="none"/>
              </w:rPr>
              <w:t>.载气：高纯度氮气或氦气。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1.依据GB/T 11060.10-2021附录D的技术要求，配置不得低于该标准，可满足检测气体、液化气或液体中各硫化物定性定量分析；2.配备FPD检测器1套(最低检测限&lt;2.5pg S/sec，&lt;45 fg P/sec (甲基对硫磷)）；3.温度控制范围：室温到400℃；4.控温精度：±0.1℃；5.程序升温阶数:≥20阶,标准升温速率:≥120℃/min；6.惰性毛细管进样口1套；7加热的自动化阀箱，8.可抗硫钝化或者惰性处理的进样系统及气体进样阀；9.气体进样阀为含定量环的6 通进样阀；10.色谱柱含：Select 低硫柱（60 m × 0.32 mm）或其它等效色谱、DB-Sulfur气相色谱柱（60m×0.32mm）或其它等效色谱柱等；11.满足分析要求的其它切换阀。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color w:val="000000"/>
                <w:sz w:val="24"/>
                <w:szCs w:val="24"/>
                <w:u w:val="none"/>
                <w:lang w:val="en-US" w:eastAsia="zh-CN"/>
              </w:rPr>
            </w:pPr>
            <w:r>
              <w:rPr>
                <w:rFonts w:hint="eastAsia" w:asciiTheme="minorEastAsia" w:hAnsiTheme="minorEastAsia" w:eastAsiaTheme="minorEastAsia" w:cstheme="minorEastAsia"/>
                <w:i w:val="0"/>
                <w:strike w:val="0"/>
                <w:color w:val="000000"/>
                <w:sz w:val="24"/>
                <w:szCs w:val="24"/>
                <w:u w:val="none"/>
                <w:lang w:val="en-US" w:eastAsia="zh-CN"/>
              </w:rPr>
              <w:t>1.配备FID检测器2套(FID最低检出限&lt;1.3pg碳/秒(十三烷)），氦离子化检测器1套(最低检出限 LOD≤10ppb （以CH4计））；2.温度控制范围：室温到400℃；3.控温精度：±0.1℃；4.程序升温阶数:≥20阶,标准升温速率:≥120℃/min；5.分流不分流进样口；6.配辅助 EPC系统；7.配气体3 通道；8.配0–100 psi/加热的自动化阀箱；9.配4 个阀10 通阀—气体进样/6 通阀 — 色谱柱隔离/6 通阀；</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color w:val="000000"/>
                <w:sz w:val="24"/>
                <w:szCs w:val="24"/>
                <w:u w:val="none"/>
                <w:lang w:val="en-US" w:eastAsia="zh-CN"/>
              </w:rPr>
            </w:pPr>
            <w:r>
              <w:rPr>
                <w:rFonts w:hint="eastAsia" w:asciiTheme="minorEastAsia" w:hAnsiTheme="minorEastAsia" w:eastAsiaTheme="minorEastAsia" w:cstheme="minorEastAsia"/>
                <w:i w:val="0"/>
                <w:strike w:val="0"/>
                <w:color w:val="000000"/>
                <w:sz w:val="24"/>
                <w:szCs w:val="24"/>
                <w:u w:val="none"/>
                <w:lang w:val="en-US" w:eastAsia="zh-CN"/>
              </w:rPr>
              <w:t>10.配HP-PLOT Al2O3 S PT柱（30 m×0.53mm×15 um）、色谱柱,GS-CARBONPLOT 柱 （30 m×0.32 mm×3.0）或其它等效色谱柱等。</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1.配备NPD检测器(最低检出限&lt; 0.08 pg N/s，采用偶氮苯/马拉硫磷/十八烷混合物时 &lt; 0.01 pg P/s）1套/ECD检测器1套(最低检出限4.0fg/mL (林丹)）/TCD检测器1套(最低检出限：400 pg 丙烷/mL（氦作载气））；2.温度控制范围：室温到400℃；3.控温精度：±0.1℃；4.程序升温阶数:≥20阶,标准升温速率:≥120℃/min；5.液体自动进样器位数≥16位6.配毛细管进样口1套/填充柱进样口一套。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配备FID检测器（FID最低检出限&lt;1.3pg碳/秒(十三烷)）2套；2.温度控制范围：室温到400℃；3.控温精度：±0.1℃；4.程序升温阶数:≥20阶,标准升温速率:≥120℃/min；5.配毛细管分流/不分流进样口；6.液体自动进样器位数≥16位；7.配路控制模块 (PCM)/加热的自动化阀箱/6 通阀—反吹预柱/微量定量环等；8.色谱柱,气相填充，UltiMetal，2.6英尺，1/8英寸，2mm，60/80或其它等效色谱柱；9.色谱柱,气相填充，UltiMetal，15英尺，1/8英寸，2mm，80/100其它等效色谱柱；11.非极性WCOT分析柱或其它等效色谱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气相色谱仪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color w:val="000000"/>
                <w:sz w:val="24"/>
                <w:szCs w:val="24"/>
                <w:u w:val="none"/>
                <w:lang w:val="en-US" w:eastAsia="zh-CN"/>
              </w:rPr>
            </w:pPr>
            <w:r>
              <w:rPr>
                <w:rFonts w:hint="eastAsia" w:asciiTheme="minorEastAsia" w:hAnsiTheme="minorEastAsia" w:eastAsiaTheme="minorEastAsia" w:cstheme="minorEastAsia"/>
                <w:i w:val="0"/>
                <w:strike w:val="0"/>
                <w:color w:val="000000"/>
                <w:sz w:val="24"/>
                <w:szCs w:val="24"/>
                <w:u w:val="none"/>
                <w:lang w:val="en-US" w:eastAsia="zh-CN"/>
              </w:rPr>
              <w:t>1.配置需满足天然气、瓦斯气、煤层气组分分析要求；</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2.配备TCD检测器(最低检测限：400 pg 丙烷/mL（氦作载气）)一套/FID检测器(最低检测限：&lt;1.3pg碳/秒(十三烷))1套；3.温度控制范围：室温到400℃；4.控温精度：±0.1℃；5.程序升温阶数:≥20阶,标准升温速率:≥120℃/min；6.气路控制模块 (PCM)2套；7.气体进样阀—镍基合金一套；8.色谱柱隔离阀—镍基合金一套；9.序列反向阀，带色谱柱 1 反吹—镍基合金一套；10.加热的自动化阀箱，5 个阀一套；11.气体进样阀/反吹预柱到放空口—镍基合金2套；12.电子气路控制(EPC)。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原子吸收光谱仪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满足石油、煤化工产品中多种微量金属元素的定量分析。1.仪器主机：火焰/石墨炉全自动一体化设计，火焰、石墨炉原子化器无需机械切换，无需调整石墨炉自动进样器。2.背景校正：火焰使用氘灯背景校正，石墨炉使用塞曼背景校正。3.六灯座或以上，配备独立电源，可同时点亮6灯预热。4.带不低于60位自动进样器。5.配备静音无油空气压缩机。6.带冰箱制冷式循环水系统。7.符合GB/T 8020-2015、NB/SH/T 0711-2019、SH/T 0712-2002、GB/T 19225-2003、GB 15892-2020、GB/T 23349-2020等标准对检验设备的要求。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电感耦合等离子体发射光谱仪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满足石油、煤化工产品的多种元素分析。1.检测器：带高效半导体制冷的固体检测器。2.带精密恒温光室。3.等离子体观察方式：炬管垂直放置，双向观测，在一次分析中同时给出水平和垂直观测的结果。4.配置等离子体可视系统，可以实时通过电脑显示器监控等离子体和中心管的状态。5.仪器需配备废液安全在线自动监控。6.全谱直读，分析速度：≥每分钟70个元素或谱线，而且每条测量谱线的积分时间≥5秒。7.电感耦合等离子体发射光谱仪，带加氧装置，带温控雾化室，带与主机同品牌自动进样器。8.冷却水循环系统。9.符合GB/T 17476-2023、GB/T 33647-2017、NB/SH/T 0824-2010、GB 29518-2013、GB/T 37667-2019、GB 38400-2019等标准对检验设备的要求。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元素分析仪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1.测试范围：碳(0.005%～100%)、氢(0.01%～50%)、氮（0.01%～100%）</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2.重复性：碳(Cad≤0.5%)、氢(Had ≤0.15%)、氮（Nad≤0.08%）</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3.采用红外光谱吸收法测定碳、氢元素含量，热导法测定氮元素含量。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i w:val="0"/>
                <w:strike w:val="0"/>
                <w:spacing w:val="0"/>
                <w:sz w:val="24"/>
                <w:szCs w:val="24"/>
                <w:u w:val="none"/>
              </w:rPr>
            </w:pPr>
            <w:r>
              <w:rPr>
                <w:rFonts w:hint="eastAsia" w:asciiTheme="minorEastAsia" w:hAnsiTheme="minorEastAsia" w:eastAsiaTheme="minorEastAsia" w:cstheme="minorEastAsia"/>
                <w:i w:val="0"/>
                <w:strike w:val="0"/>
                <w:spacing w:val="0"/>
                <w:sz w:val="24"/>
                <w:szCs w:val="24"/>
                <w:u w:val="none"/>
              </w:rPr>
              <w:t>4.配备自动进样装置。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5.能准确测定煤炭中碳、氢、氮元素含量，以及工业尿素和车用尿素中的氮元素含量。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自动电位滴定仪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1.电势测量电极接口测量范围：-2000mV～+2000mV/-26～40pH，分辨率：0.1mV/0.001pH。</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2.具备等当点和终点设定滴定，恒pH/电位滴定等模式。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3.至少具备2个智能识别mV/pH测量电极接口，可同时接2个智能识别pH/mV电极。</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4.滴定管驱动器步进精度不低于20000步，采用活塞上推式滴定管。</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5.10mL可交换智能识别滴定管2套（含1L棕色试剂瓶）；</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6.水相酸碱滴定用复合玻璃智能电极1支；</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7.非水相酸碱滴定用复合玻璃智能电极1支</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spacing w:val="0"/>
                <w:sz w:val="24"/>
                <w:szCs w:val="24"/>
                <w:u w:val="none"/>
              </w:rPr>
            </w:pPr>
            <w:r>
              <w:rPr>
                <w:rFonts w:hint="eastAsia" w:asciiTheme="minorEastAsia" w:hAnsiTheme="minorEastAsia" w:eastAsiaTheme="minorEastAsia" w:cstheme="minorEastAsia"/>
                <w:i w:val="0"/>
                <w:strike w:val="0"/>
                <w:spacing w:val="0"/>
                <w:sz w:val="24"/>
                <w:szCs w:val="24"/>
                <w:u w:val="none"/>
              </w:rPr>
              <w:t>8.氧化还原滴定用复合铂金环智能电极1支；</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i w:val="0"/>
                <w:strike w:val="0"/>
                <w:spacing w:val="0"/>
                <w:sz w:val="24"/>
                <w:szCs w:val="24"/>
                <w:u w:val="none"/>
              </w:rPr>
            </w:pPr>
            <w:r>
              <w:rPr>
                <w:rFonts w:hint="eastAsia" w:asciiTheme="minorEastAsia" w:hAnsiTheme="minorEastAsia" w:eastAsiaTheme="minorEastAsia" w:cstheme="minorEastAsia"/>
                <w:i w:val="0"/>
                <w:strike w:val="0"/>
                <w:spacing w:val="0"/>
                <w:sz w:val="24"/>
                <w:szCs w:val="24"/>
                <w:u w:val="none"/>
              </w:rPr>
              <w:t>9.银量法滴定用带AgCl镀层复合银环电极1支；</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银量法滴定用带AgS镀层复合银环电极1支。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紫外-可见光谱仪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1.光学系统：双光束，1200条/毫米全息光栅</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2.光谱带宽：0.5，1，2，4nm</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3.波长范围：190—1100nm</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4.波长准确度：±0.3nm</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5.波长重复性：0.1nm</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6.光度准确度：±0.004Abs（0~0.5Abs）；±0.004（0.5-1.0Abs）；±05%T</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7.光度重复性：±0.001Abs（0~0.5Abs）；±0.002（0.5-1.0Abs）；±0.2%T</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8.波长显示：0.1 nm</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9.杂</w:t>
            </w:r>
            <w:r>
              <w:rPr>
                <w:rFonts w:hint="eastAsia" w:asciiTheme="minorEastAsia" w:hAnsiTheme="minorEastAsia" w:eastAsiaTheme="minorEastAsia" w:cstheme="minorEastAsia"/>
                <w:i w:val="0"/>
                <w:strike w:val="0"/>
                <w:color w:val="666666"/>
                <w:sz w:val="24"/>
                <w:szCs w:val="24"/>
                <w:u w:val="none"/>
              </w:rPr>
              <w:t> </w:t>
            </w:r>
            <w:r>
              <w:rPr>
                <w:rFonts w:hint="eastAsia" w:asciiTheme="minorEastAsia" w:hAnsiTheme="minorEastAsia" w:eastAsiaTheme="minorEastAsia" w:cstheme="minorEastAsia"/>
                <w:i w:val="0"/>
                <w:strike w:val="0"/>
                <w:color w:val="000000"/>
                <w:sz w:val="24"/>
                <w:szCs w:val="24"/>
                <w:u w:val="none"/>
              </w:rPr>
              <w:t>散</w:t>
            </w:r>
            <w:r>
              <w:rPr>
                <w:rFonts w:hint="eastAsia" w:asciiTheme="minorEastAsia" w:hAnsiTheme="minorEastAsia" w:eastAsiaTheme="minorEastAsia" w:cstheme="minorEastAsia"/>
                <w:i w:val="0"/>
                <w:strike w:val="0"/>
                <w:color w:val="666666"/>
                <w:sz w:val="24"/>
                <w:szCs w:val="24"/>
                <w:u w:val="none"/>
              </w:rPr>
              <w:t> </w:t>
            </w:r>
            <w:r>
              <w:rPr>
                <w:rFonts w:hint="eastAsia" w:asciiTheme="minorEastAsia" w:hAnsiTheme="minorEastAsia" w:eastAsiaTheme="minorEastAsia" w:cstheme="minorEastAsia"/>
                <w:i w:val="0"/>
                <w:strike w:val="0"/>
                <w:color w:val="000000"/>
                <w:sz w:val="24"/>
                <w:szCs w:val="24"/>
                <w:u w:val="none"/>
              </w:rPr>
              <w:t>光：≤0.1%T</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10.光度范围：0-200℅T，-0.3-3.0A,0-9999C(0-9999F)</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11.稳</w:t>
            </w:r>
            <w:r>
              <w:rPr>
                <w:rFonts w:hint="eastAsia" w:asciiTheme="minorEastAsia" w:hAnsiTheme="minorEastAsia" w:eastAsiaTheme="minorEastAsia" w:cstheme="minorEastAsia"/>
                <w:i w:val="0"/>
                <w:strike w:val="0"/>
                <w:color w:val="666666"/>
                <w:sz w:val="24"/>
                <w:szCs w:val="24"/>
                <w:u w:val="none"/>
              </w:rPr>
              <w:t> </w:t>
            </w:r>
            <w:r>
              <w:rPr>
                <w:rFonts w:hint="eastAsia" w:asciiTheme="minorEastAsia" w:hAnsiTheme="minorEastAsia" w:eastAsiaTheme="minorEastAsia" w:cstheme="minorEastAsia"/>
                <w:i w:val="0"/>
                <w:strike w:val="0"/>
                <w:color w:val="000000"/>
                <w:sz w:val="24"/>
                <w:szCs w:val="24"/>
                <w:u w:val="none"/>
              </w:rPr>
              <w:t>定</w:t>
            </w:r>
            <w:r>
              <w:rPr>
                <w:rFonts w:hint="eastAsia" w:asciiTheme="minorEastAsia" w:hAnsiTheme="minorEastAsia" w:eastAsiaTheme="minorEastAsia" w:cstheme="minorEastAsia"/>
                <w:i w:val="0"/>
                <w:strike w:val="0"/>
                <w:color w:val="666666"/>
                <w:sz w:val="24"/>
                <w:szCs w:val="24"/>
                <w:u w:val="none"/>
              </w:rPr>
              <w:t> </w:t>
            </w:r>
            <w:r>
              <w:rPr>
                <w:rFonts w:hint="eastAsia" w:asciiTheme="minorEastAsia" w:hAnsiTheme="minorEastAsia" w:eastAsiaTheme="minorEastAsia" w:cstheme="minorEastAsia"/>
                <w:i w:val="0"/>
                <w:strike w:val="0"/>
                <w:color w:val="000000"/>
                <w:sz w:val="24"/>
                <w:szCs w:val="24"/>
                <w:u w:val="none"/>
              </w:rPr>
              <w:t>性：±0.002A/h(500nm,预热后)</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240" w:lineRule="atLeast"/>
              <w:ind w:left="336" w:leftChars="0" w:hanging="336"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基线直线性：±0.001A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微波消解仪</w:t>
            </w:r>
          </w:p>
        </w:tc>
        <w:tc>
          <w:tcPr>
            <w:tcW w:w="794"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1.超高压微波消解仪，微波输出功率：≥1200W。</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2.测温方式：采用非接触式底部投射红外全罐测温技术。</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智能全罐控压技术。</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336" w:leftChars="0" w:hanging="336"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消解罐：批次处理量≥10位。罐体容积 ≥100mL。内罐材质：由TFM（改性聚四氟乙烯）制作，且带字母+数字编码，无需手写。最高耐受压力：≥ 1500psi。最高工作压力：≥ 4MPa。最高耐受温度：≥ 300℃。最高工作温度：≥ 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全自动汽油辛烷值测定机</w:t>
            </w:r>
          </w:p>
        </w:tc>
        <w:tc>
          <w:tcPr>
            <w:tcW w:w="79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1台</w:t>
            </w:r>
          </w:p>
        </w:tc>
        <w:tc>
          <w:tcPr>
            <w:tcW w:w="67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1.整体式CFR试验发动机：主体核心是一台符合最新标准的单缸、四冲程、可变压缩比、汽油发动机，带飞轮箱式曲轴箱通过V型带与恒速运转的功率吸收电机连接.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2.整体式CFR发动机曲轴箱及润滑系统.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3.发动机转速：马达法（900±6）r/min   研究法（600±6）r/min。压缩比调节范围4：1～18：1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测试范围：40～120。铸铁型气缸直径：82.55mm（3.250in）；铸铁型活塞冲程：114.3mm（4.50in）；火花塞间隙0.51±0.13mm；润滑油压力：172～207kPa；润滑油温度：57±8℃；气缸夹套冷却液温度：100±1.5℃；马达法混合气温度：149±1℃；马达法进气温度：38±2.8℃；研究法进气温度：52±1℃（标准大气压下）随大气压修正，保持在±1℃范围内；点火提前角（实时显示）：研究法上死点前13度不变，马达法24度，可调节（ε=5.5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5.气缸容量：0.61L。</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需配套大功率冷水循环机和制冷水塔。</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7.符合</w:t>
            </w:r>
            <w:r>
              <w:rPr>
                <w:rFonts w:hint="eastAsia" w:asciiTheme="minorEastAsia" w:hAnsiTheme="minorEastAsia" w:eastAsiaTheme="minorEastAsia" w:cstheme="minorEastAsia"/>
                <w:i w:val="0"/>
                <w:strike w:val="0"/>
                <w:spacing w:val="0"/>
                <w:sz w:val="24"/>
                <w:szCs w:val="24"/>
                <w:u w:val="none"/>
              </w:rPr>
              <w:t>GB/T 503-2016、GB/T 5487-2015</w:t>
            </w:r>
            <w:r>
              <w:rPr>
                <w:rFonts w:hint="eastAsia" w:asciiTheme="minorEastAsia" w:hAnsiTheme="minorEastAsia" w:eastAsiaTheme="minorEastAsia" w:cstheme="minorEastAsia"/>
                <w:color w:val="auto"/>
                <w:sz w:val="24"/>
                <w:szCs w:val="24"/>
                <w:lang w:val="en-US" w:eastAsia="zh-CN"/>
              </w:rPr>
              <w:t>标准对检验设备的要求。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碳氢氧氮硫元素分析仪</w:t>
            </w:r>
          </w:p>
        </w:tc>
        <w:tc>
          <w:tcPr>
            <w:tcW w:w="794" w:type="dxa"/>
            <w:vAlign w:val="center"/>
          </w:tcPr>
          <w:p>
            <w:pPr>
              <w:numPr>
                <w:ilvl w:val="0"/>
                <w:numId w:val="0"/>
              </w:numPr>
              <w:pBdr>
                <w:bottom w:val="none" w:color="auto" w:sz="0" w:space="0"/>
              </w:pBdr>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1台</w:t>
            </w:r>
          </w:p>
        </w:tc>
        <w:tc>
          <w:tcPr>
            <w:tcW w:w="6799" w:type="dxa"/>
            <w:vAlign w:val="center"/>
          </w:tcPr>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1.采用紫外荧光检测器和库伦检测器能测定液体和气体样品中硫和氯含量</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2.温度：自动控温，最高炉温≥1000°C</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3.自动液体进样器：进样量通过软件调节；气体进样器：可进常压以及带压气体</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4.测量范围：硫:0.01mg/L―10000 mg/L，最低检出限0.01mg/L；氯:0.01mg/L―10000mg/L，最低检出限0.01mg/L</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5.高氮低硫模块：解决高氮低硫样品中，氮对紫外荧光检测的干扰</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6.符合SH/T 0689－2000、 GB/T 34100-2017、SH/T 0917-2017、GB/T 11060.8-2020 、SH/T 6056-2022标准对检验设备的要求。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水分测定仪</w:t>
            </w:r>
          </w:p>
        </w:tc>
        <w:tc>
          <w:tcPr>
            <w:tcW w:w="79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1.测量范围：1ppm-5%</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2.测量精度（RSD）：每份样品100ug水时，RSD＜5%，每份样品1000ug水时，RSD＜1%</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3.可设置测量控制重点为速度或精度，极化电压可调，终点电流可调</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4.漂移值可自动扣除，可自动测量在线漂移值，或使用同一测量值，也可输入固定漂移值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5.双铂针电极为数字电极</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6.方法结束后，可自动进行预滴定，保持滴定杯处于待机状态</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tLeast"/>
              <w:ind w:left="336" w:leftChars="0" w:hanging="336"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电解电极电流档位可选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水分测定仪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i w:val="0"/>
                <w:strike w:val="0"/>
                <w:spacing w:val="0"/>
                <w:sz w:val="24"/>
                <w:szCs w:val="24"/>
                <w:u w:val="none"/>
              </w:rPr>
            </w:pPr>
            <w:r>
              <w:rPr>
                <w:rFonts w:hint="eastAsia" w:asciiTheme="minorEastAsia" w:hAnsiTheme="minorEastAsia" w:eastAsiaTheme="minorEastAsia" w:cstheme="minorEastAsia"/>
                <w:i w:val="0"/>
                <w:strike w:val="0"/>
                <w:spacing w:val="0"/>
                <w:sz w:val="24"/>
                <w:szCs w:val="24"/>
                <w:u w:val="none"/>
              </w:rPr>
              <w:t>1.测量范围：10ppm-100%</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i w:val="0"/>
                <w:strike w:val="0"/>
                <w:spacing w:val="0"/>
                <w:sz w:val="24"/>
                <w:szCs w:val="24"/>
                <w:u w:val="none"/>
              </w:rPr>
            </w:pPr>
            <w:r>
              <w:rPr>
                <w:rFonts w:hint="eastAsia" w:asciiTheme="minorEastAsia" w:hAnsiTheme="minorEastAsia" w:eastAsiaTheme="minorEastAsia" w:cstheme="minorEastAsia"/>
                <w:i w:val="0"/>
                <w:strike w:val="0"/>
                <w:spacing w:val="0"/>
                <w:sz w:val="24"/>
                <w:szCs w:val="24"/>
                <w:u w:val="none"/>
              </w:rPr>
              <w:t>2.检测限：每份样品0.2mg水时，RSD&lt;1%</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3.可设置测量控制重点为速度或精度，极化电压可调，终点电流可调</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4.漂移值可自动扣除，可自动测量在线漂移值，或使用同一测量值，也可输入固定漂移值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5.双铂针电极为数字电极</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6.方法结束后，可自动进行预滴定，保持滴定杯处于待机状态</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tLeast"/>
              <w:ind w:left="336" w:leftChars="0" w:hanging="336"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spacing w:val="0"/>
                <w:sz w:val="24"/>
                <w:szCs w:val="24"/>
                <w:u w:val="none"/>
              </w:rPr>
              <w:t>电解电极电流档位可选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高频往复试验机</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1、震荡频率:50±1Hz，并可在10至500Hz可设置;</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2、振动行程:1+0.02mm,并可在20um到2.0mm之间设置</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3、试验油温:60+1°C，并在室温到150°C可设置;</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4、试验负荷:200+1g，并可在0.1至1Kg之间设置;</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5、油样体积:2.0±0.2mL;</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 xml:space="preserve">6、油盒表面积:600±100mm2； </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7、试验时间:75±0.05min,到时间试验自动停止;</w:t>
            </w:r>
          </w:p>
          <w:p>
            <w:pPr>
              <w:keepNext w:val="0"/>
              <w:keepLines w:val="0"/>
              <w:pageBreakBefore w:val="0"/>
              <w:widowControl w:val="0"/>
              <w:kinsoku/>
              <w:wordWrap/>
              <w:overflowPunct/>
              <w:topLinePunct w:val="0"/>
              <w:autoSpaceDE/>
              <w:autoSpaceDN/>
              <w:bidi w:val="0"/>
              <w:adjustRightInd/>
              <w:snapToGrid/>
              <w:spacing w:before="0" w:after="0" w:line="240" w:lineRule="atLeast"/>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8、金相显微镜：放大100倍；配备读数微分头两支，x、y轴两个方向读数，精确度≤1微米。配有拍照相机及独立彩色屏幕，相机拍照像素不低于500万。</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rPr>
              <w:t>9、恒温恒湿控制系统：箱内温度23±1°C，相对湿度53±3%RH，10、符合</w:t>
            </w:r>
            <w:r>
              <w:rPr>
                <w:rFonts w:hint="eastAsia" w:asciiTheme="minorEastAsia" w:hAnsiTheme="minorEastAsia" w:eastAsiaTheme="minorEastAsia" w:cstheme="minorEastAsia"/>
                <w:i w:val="0"/>
                <w:strike w:val="0"/>
                <w:spacing w:val="0"/>
                <w:sz w:val="24"/>
                <w:szCs w:val="24"/>
                <w:u w:val="none"/>
              </w:rPr>
              <w:t>SH/T 0765-2005对检验设备的要求。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全自动运动粘度仪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1.控温范围：20℃-100℃或更宽，配有制冷装置</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2.适用产品：柴油、机油等牛顿液体的运动粘度</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3.检测单元：双缸独立控温，或更优</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4.测量范围：3-2000mm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/s或更宽</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5.自动程序：自动测量、清洗、干燥</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6.控温精度：±0.01℃或更优；</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7.计时精度：±0.01s或更优</w:t>
            </w:r>
          </w:p>
          <w:p>
            <w:pPr>
              <w:keepNext w:val="0"/>
              <w:keepLines w:val="0"/>
              <w:pageBreakBefore w:val="0"/>
              <w:widowControl w:val="0"/>
              <w:kinsoku/>
              <w:wordWrap/>
              <w:overflowPunct/>
              <w:topLinePunct w:val="0"/>
              <w:autoSpaceDE/>
              <w:autoSpaceDN/>
              <w:bidi w:val="0"/>
              <w:adjustRightInd/>
              <w:snapToGrid/>
              <w:spacing w:line="240" w:lineRule="atLeast"/>
              <w:ind w:lef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8.配备装置：制冷装置一台、粘度计不少于1套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自动馏程分析仪</w:t>
            </w:r>
          </w:p>
        </w:tc>
        <w:tc>
          <w:tcPr>
            <w:tcW w:w="79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1台</w:t>
            </w:r>
          </w:p>
        </w:tc>
        <w:tc>
          <w:tcPr>
            <w:tcW w:w="67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1.冷浴控温范围：(0～60)℃。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2.冷浴控温精度：±0.5℃。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3.接收室控温范围：(0～60)℃。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4.接收室控温精度：±1℃。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5.馏出液体积检测范围：（0～100)mL，分辨率0.1mL。</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6.馏出液体积跟踪系统精度： ≤±0.1mL。</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7.蒸发温度范围：0℃～400℃，精度：≤±0.1℃。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8.蒸馏速率（初馏点到回收95%的流速）：2～10 mL /min（可调）。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9.开始加热到初馏点时间：2～15分钟。</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strike w:val="0"/>
                <w:color w:val="000000"/>
                <w:sz w:val="24"/>
                <w:szCs w:val="24"/>
                <w:u w:val="none"/>
              </w:rPr>
              <w:t>烧瓶中残留量为5ml到终点的时间：不大于5分钟。</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strike w:val="0"/>
                <w:color w:val="000000"/>
                <w:sz w:val="24"/>
                <w:szCs w:val="24"/>
                <w:u w:val="none"/>
                <w:lang w:val="en-US" w:eastAsia="zh-CN"/>
              </w:rPr>
              <w:t>11.</w:t>
            </w:r>
            <w:r>
              <w:rPr>
                <w:rFonts w:hint="eastAsia" w:asciiTheme="minorEastAsia" w:hAnsiTheme="minorEastAsia" w:eastAsiaTheme="minorEastAsia" w:cstheme="minorEastAsia"/>
                <w:sz w:val="24"/>
                <w:szCs w:val="24"/>
              </w:rPr>
              <w:t>符合GB/T 6536-2010对检验设备的要求。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闪点仪</w:t>
            </w:r>
          </w:p>
        </w:tc>
        <w:tc>
          <w:tcPr>
            <w:tcW w:w="79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1台</w:t>
            </w:r>
          </w:p>
        </w:tc>
        <w:tc>
          <w:tcPr>
            <w:tcW w:w="6799"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1、温度测量：量程：室温～400℃；分辨率 0.1℃；</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2、升温速度：⑴加热初期（14～17）℃/min；</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⑵达预设闪点前 20℃后为（5～6）℃/min；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3、点火方式：⑴有源燃气电子点燃，明火；</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⑵引火器孔径：（0.7～0.8）mm；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4、灭火装置：⑴燃点出现后，自动灭火、归位；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⑵也可以手动按键灭火；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tLeas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w:t>
            </w:r>
            <w:r>
              <w:rPr>
                <w:rFonts w:hint="eastAsia" w:asciiTheme="minorEastAsia" w:hAnsiTheme="minorEastAsia" w:eastAsiaTheme="minorEastAsia" w:cstheme="minorEastAsia"/>
                <w:i w:val="0"/>
                <w:strike w:val="0"/>
                <w:spacing w:val="0"/>
                <w:sz w:val="24"/>
                <w:szCs w:val="24"/>
                <w:u w:val="none"/>
              </w:rPr>
              <w:t>GB/T 3536-2008</w:t>
            </w:r>
            <w:r>
              <w:rPr>
                <w:rFonts w:hint="eastAsia" w:asciiTheme="minorEastAsia" w:hAnsiTheme="minorEastAsia" w:eastAsiaTheme="minorEastAsia" w:cstheme="minorEastAsia"/>
                <w:sz w:val="24"/>
                <w:szCs w:val="24"/>
              </w:rPr>
              <w:t>对检验设备的要求。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环境老化试验箱</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1、温湿：光照 RT+10~80℃，冷凝 40~60℃/≥95% RH，波动≤±0.5℃； </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2、光源类型：8支UVA-340灯管、功率：40W；</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3、辐照强度：0.35～1.0W/m2，可调；</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4、光照系统：配备1个光照传感器，自动闭环控制反馈系统，可连续监测紫外线光强度，并通过调节灯管的功率输出，来补偿因灯管老化或任何其他因素造成的辐照强度变化；</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5、功能模式</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(1)辐照模式：模拟阳光中最重要的短波紫外光, 从而加速材料老化；</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(2)冷凝模式：模拟户外的潮湿侵蚀，通过加热试验机底部水槽来产生水蒸汽。热的水蒸汽在箱内较高温度下保持100%的相对湿度；</w:t>
            </w:r>
          </w:p>
          <w:p>
            <w:pPr>
              <w:pStyle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(3)喷淋模式：模拟阳光下聚集的热量由于突降的阵雨而迅速消散时，材料的温度就会发生急剧变化，产生热冲击和应力腐蚀。三种模式可交替循环运行；</w:t>
            </w:r>
          </w:p>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kern w:val="2"/>
                <w:sz w:val="24"/>
                <w:szCs w:val="24"/>
              </w:rPr>
              <w:t>6、符合GB/T 16422.1-2019标准要求。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895350" cy="381000"/>
                  <wp:effectExtent l="0" t="0" r="0" b="0"/>
                  <wp:wrapNone/>
                  <wp:docPr id="5" name="ComboBox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boBox1" hidden="1"/>
                          <pic:cNvPicPr>
                            <a:picLocks noChangeAspect="1"/>
                          </pic:cNvPicPr>
                        </pic:nvPicPr>
                        <pic:blipFill>
                          <a:blip r:embed="rId5"/>
                          <a:stretch>
                            <a:fillRect/>
                          </a:stretch>
                        </pic:blipFill>
                        <pic:spPr>
                          <a:xfrm>
                            <a:off x="0" y="0"/>
                            <a:ext cx="895350" cy="381000"/>
                          </a:xfrm>
                          <a:prstGeom prst="rect">
                            <a:avLst/>
                          </a:prstGeom>
                          <a:noFill/>
                          <a:ln>
                            <a:noFill/>
                          </a:ln>
                        </pic:spPr>
                      </pic:pic>
                    </a:graphicData>
                  </a:graphic>
                </wp:anchor>
              </w:drawing>
            </w:r>
            <w:r>
              <w:rPr>
                <w:rFonts w:hint="eastAsia" w:asciiTheme="minorEastAsia" w:hAnsiTheme="minorEastAsia" w:eastAsiaTheme="minorEastAsia" w:cstheme="minorEastAsia"/>
                <w:kern w:val="0"/>
                <w:sz w:val="24"/>
                <w:szCs w:val="24"/>
              </w:rPr>
              <w:t>万能试验机</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widowControl/>
              <w:numPr>
                <w:ilvl w:val="0"/>
                <w:numId w:val="8"/>
              </w:numPr>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895350" cy="381000"/>
                  <wp:effectExtent l="0" t="0" r="0" b="0"/>
                  <wp:wrapNone/>
                  <wp:docPr id="6" name="ComboBox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oBox2" hidden="1"/>
                          <pic:cNvPicPr>
                            <a:picLocks noChangeAspect="1"/>
                          </pic:cNvPicPr>
                        </pic:nvPicPr>
                        <pic:blipFill>
                          <a:blip r:embed="rId6"/>
                          <a:stretch>
                            <a:fillRect/>
                          </a:stretch>
                        </pic:blipFill>
                        <pic:spPr>
                          <a:xfrm>
                            <a:off x="0" y="0"/>
                            <a:ext cx="895350" cy="381000"/>
                          </a:xfrm>
                          <a:prstGeom prst="rect">
                            <a:avLst/>
                          </a:prstGeom>
                          <a:noFill/>
                          <a:ln>
                            <a:noFill/>
                          </a:ln>
                        </pic:spPr>
                      </pic:pic>
                    </a:graphicData>
                  </a:graphic>
                </wp:anchor>
              </w:drawing>
            </w:r>
            <w:r>
              <w:rPr>
                <w:rFonts w:hint="eastAsia" w:asciiTheme="minorEastAsia" w:hAnsiTheme="minorEastAsia" w:eastAsiaTheme="minorEastAsia" w:cstheme="minorEastAsia"/>
                <w:bCs/>
                <w:sz w:val="24"/>
                <w:szCs w:val="24"/>
              </w:rPr>
              <w:t>最大试验力：2000kN；</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2、精度0.5级；</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3、轴向试验力测量范围：1%～100%F，全程测量，无换挡误差；</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4、试验力示值相对误差：≤±0.5%；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5、数据采集频率（获取从试验机到PC的最终原始数据）：最快采集速率不低于每秒钟50Hz（不限于速度控制、载荷控制、应力控制、位移控制等试验模式，且至少4通道同步采集）；</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6、主机带液晶显示手操控盒；具有载荷、位移显示、微调横梁功能，双模式通讯；全面满足高精度测试场景需求；自带操作系统，可通过手控盒完成试验操作；</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7、位移测量分辨力：0.01mm；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8、位移示值相对误差：±0.5%；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9、变形示值相对误差：±0.5%；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10、加荷速率范围：0.02%~2%FS/s；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11、拉伸夹头间最大距离：700mm；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12、两立柱有效距离：620mm；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13、圆试样夹持可选范围：Φ20-Φ60mm；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14、板试样夹持可选范围：0-40mm；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15、上下压板尺寸：Φ200mm；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16、活塞最大行程：250mm；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17、活塞移动最大速度：100mm/min；</w:t>
            </w:r>
          </w:p>
          <w:p>
            <w:pPr>
              <w:pStyle w:val="2"/>
              <w:spacing w:after="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18、油泵电机采用伺服电机；</w:t>
            </w:r>
          </w:p>
          <w:p>
            <w:pPr>
              <w:tabs>
                <w:tab w:val="left" w:pos="420"/>
                <w:tab w:val="left" w:pos="720"/>
              </w:tabs>
              <w:spacing w:line="4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设备配置：2000KN高刚性双空间主机框1台；2000KN高精度轮辐式负荷传感器1只；高精度位移传感器一只；6.25L/min油源1台：含伺服电机，径向柱塞泵，液压阀组等；全数字闭环控制系统1套；微机控制电液伺服万能试验机专用试验软件1套；电脑及显示器1套；圆试样夹块Φ20-Φ40mm, Φ40-Φ60mm；板试样夹块：0-40mm；压缩夹具1套（盘径：Φ200mm）等；</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20、符合GB/T 228.1-2021、GB/T 28900-2022、GB/T 50081-2019标准要求。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万能试验机</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1、最大试验力：2000N；</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2、精度0.5级；</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3、轴向试验力测量范围：0.4%～100%F，全程测量，无换挡误差；</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4、加荷速率范围：0.005%～5%FS/s；</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5、试验力示值相对误差：≤±0.5%；</w:t>
            </w:r>
          </w:p>
          <w:p>
            <w:pPr>
              <w:pStyle w:val="3"/>
              <w:rPr>
                <w:rFonts w:hint="eastAsia" w:asciiTheme="minorEastAsia" w:hAnsiTheme="minorEastAsia" w:eastAsiaTheme="minorEastAsia" w:cstheme="minorEastAsia"/>
                <w:bCs/>
                <w:color w:val="auto"/>
                <w:kern w:val="2"/>
                <w:sz w:val="24"/>
                <w:szCs w:val="24"/>
              </w:rPr>
            </w:pPr>
            <w:r>
              <w:rPr>
                <w:rFonts w:hint="eastAsia" w:asciiTheme="minorEastAsia" w:hAnsiTheme="minorEastAsia" w:eastAsiaTheme="minorEastAsia" w:cstheme="minorEastAsia"/>
                <w:bCs/>
                <w:color w:val="auto"/>
                <w:kern w:val="2"/>
                <w:sz w:val="24"/>
                <w:szCs w:val="24"/>
              </w:rPr>
              <w:t>6、试验力分辨力：1/500000FS；</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7、力控速率调节范围：0.005～5%FS/s；</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8、力控速率相对误差：设定值的±1%以内；</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9、变形分辨力：1/500000FS；</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10、变形测量范围：0.2%～100%FS；</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11、变形示值相对误差：设定值的±0.5%以内；</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12、变形速率调节范围：0.02～100%FS；</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13、横梁位移示值相对误差：±0.5%以内；</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14、横梁移动速度相对误差：设定速度＞0.01mm/min,设定值的±0.5%以内 ；设定速度＜0.01mm/min,设定值的±1.0%以内；</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15、位移分辨力：0.0375μm；</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16、横梁速度调节范围：0.005～500mm/min；</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17、有效试验宽度：约420mm；</w:t>
            </w:r>
          </w:p>
          <w:p>
            <w:pPr>
              <w:pStyle w:val="3"/>
              <w:rPr>
                <w:rFonts w:hint="eastAsia" w:asciiTheme="minorEastAsia" w:hAnsiTheme="minorEastAsia" w:eastAsiaTheme="minorEastAsia" w:cstheme="minorEastAsia"/>
                <w:bCs/>
                <w:color w:val="auto"/>
                <w:kern w:val="2"/>
                <w:sz w:val="24"/>
                <w:szCs w:val="24"/>
              </w:rPr>
            </w:pPr>
            <w:r>
              <w:rPr>
                <w:rFonts w:hint="eastAsia" w:asciiTheme="minorEastAsia" w:hAnsiTheme="minorEastAsia" w:eastAsiaTheme="minorEastAsia" w:cstheme="minorEastAsia"/>
                <w:bCs/>
                <w:color w:val="auto"/>
                <w:kern w:val="2"/>
                <w:sz w:val="24"/>
                <w:szCs w:val="24"/>
              </w:rPr>
              <w:t>18.最大有效拉伸空间：1000mm；</w:t>
            </w:r>
            <w:r>
              <w:rPr>
                <w:rFonts w:hint="eastAsia" w:asciiTheme="minorEastAsia" w:hAnsiTheme="minorEastAsia" w:eastAsiaTheme="minorEastAsia" w:cstheme="minorEastAsia"/>
                <w:bCs/>
                <w:color w:val="auto"/>
                <w:kern w:val="2"/>
                <w:sz w:val="24"/>
                <w:szCs w:val="24"/>
              </w:rPr>
              <w:br w:type="textWrapping"/>
            </w:r>
            <w:r>
              <w:rPr>
                <w:rFonts w:hint="eastAsia" w:asciiTheme="minorEastAsia" w:hAnsiTheme="minorEastAsia" w:eastAsiaTheme="minorEastAsia" w:cstheme="minorEastAsia"/>
                <w:bCs/>
                <w:color w:val="auto"/>
                <w:kern w:val="2"/>
                <w:sz w:val="24"/>
                <w:szCs w:val="24"/>
              </w:rPr>
              <w:t>19、数据采集频率（获取从试验机到PC的最终原始数据）：最快采集速率不低于每秒钟采集1000组数据（不限于速度控制、载荷控制、应力控制、位移控制等试验模式，且至少4通道同步采集）；</w:t>
            </w:r>
          </w:p>
          <w:p>
            <w:pPr>
              <w:pStyle w:val="3"/>
              <w:rPr>
                <w:rFonts w:hint="eastAsia" w:asciiTheme="minorEastAsia" w:hAnsiTheme="minorEastAsia" w:eastAsiaTheme="minorEastAsia" w:cstheme="minorEastAsia"/>
                <w:bCs/>
                <w:color w:val="auto"/>
                <w:kern w:val="2"/>
                <w:sz w:val="24"/>
                <w:szCs w:val="24"/>
              </w:rPr>
            </w:pPr>
            <w:r>
              <w:rPr>
                <w:rFonts w:hint="eastAsia" w:asciiTheme="minorEastAsia" w:hAnsiTheme="minorEastAsia" w:eastAsiaTheme="minorEastAsia" w:cstheme="minorEastAsia"/>
                <w:bCs/>
                <w:color w:val="auto"/>
                <w:kern w:val="2"/>
                <w:sz w:val="24"/>
                <w:szCs w:val="24"/>
              </w:rPr>
              <w:t xml:space="preserve">20、主机带液晶显示手操控盒；具有载荷、位移显示、微调横梁功能，双模式通讯；全面满足高精度测试场景需求；自带操作系统，可通过手控盒完成试验操作； </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21、设备配置：2KN台式主机1套；数字交流伺服电机 1套；全数字闭环电气系统 1套；压缩夹具 1套；拉伸夹具 1套；弯曲夹具 1套；大变形引伸计 1套；铝合金防护罩 1套；电脑及显示器1套；试验软件1套；产品资料 1套；</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22、符合GB/T 1040.1-2025、GB/T 2951.11-2008标准要求。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万能试验机</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1、最大试验力：300kN；</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2、精度0.5级；</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3、轴向试验力测量范围：0.4%～100%F，全程测量，无换挡误差；</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4、加载速率范围：0.02%～2%FS/s；</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5、试验力示值相对误差：≤±0.5%；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6、试验力分辨力：1/500000FS；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7、力控速率调节范围：0.005～5%FS/s；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8、力控速率相对误差：设定值的±1%以内；</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9、变形分辨力：1/500000FS；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10、变形测量范围：0.2%～100%FS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11、变形示值相对误差：设定值的±0.5%以内；</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12、变形速率调节范围：0.02～100%FS；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13、横梁位移示值相对误差：±0.5%以内；；</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14、横梁移动速度相对误差：设定速度＞0.01mm/min,设定值的±0.5%以内； 设定速度＜0.01mm/min,设定值的±1.0%以内；</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15、位移分辨力：0.0336μm；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16、横梁速度调节范围：0.005～500mm/min；</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17、有效试验宽度：650mm；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18、最大有效拉伸空间：1150mm；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19、数据采集频率（获取从试验机到PC的最终原始数据）：最快采集速率不低于每秒钟采集1000组数据（不限于速度控制、载荷控制、应力控制、位移控制等试验模式，且至少4通道同步采集）；</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20、主机带液晶显示手操控盒；具有载荷、位移显示、微调横梁功能，双模式通讯；全面满足高精度测试场景需求；自带操作系统，可通过手控盒完成试验操作；</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21、试验曲线可进行全局或单坐标轴的定位、缩放、平移操作支持添加辅助线等功能，满足用户在曲线分析与结果比对方面的需求；</w:t>
            </w:r>
          </w:p>
          <w:p>
            <w:pPr>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22、设备配置：300KN台式主机 1套；数字交流伺服电机 1套；全数字闭环电气系统 1套；压缩夹具 1套；楔形拉伸夹具（含夹块） 1套；</w:t>
            </w:r>
          </w:p>
          <w:p>
            <w:pPr>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电子形引伸计 1套；电脑及显示器1套；试验软件1套；产品资料 1套；</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23、符合GB/T 228.1-2021、GB/T 28900-2022标准要求。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万能试验机</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1、最大试验力：1000kN；</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2、精度0.5级；</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3、轴向试验力测量范围：1%～100%F，全程测量，无换挡误差；</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4、加载速率范围：0.02%～2%FS/s；</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5、试验力示值相对误差：≤±0.5%。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6、试验数据采集频率最大可达：5000Hz可根据试验需求调整；</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 xml:space="preserve">7、试验力分辨力：100万码，全程不分档，且全程分辨率不变； </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8、位移测量分辨力：0.007mm；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9、位移示值相对误差：±0.5%；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10、变形示值相对误差：±0.5%；</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11、加荷速率范围：200N/s～20kN/s；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12、拉伸夹头间最大距离：850mm；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13、两立柱有效距离：550mm；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14、圆试样夹持可选范围：Φ15-Φ30mm, Φ30-Φ45mm, Φ45-Φ60mm；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15、板试样夹持可选范围：2-20mm，20-40mm；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16、上下压板尺寸：Φ200mm；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17、活塞最大行程：250mm；活塞移动最大速度：150mm/min；</w:t>
            </w:r>
          </w:p>
          <w:p>
            <w:pPr>
              <w:tabs>
                <w:tab w:val="left" w:pos="420"/>
                <w:tab w:val="left" w:pos="720"/>
              </w:tabs>
              <w:spacing w:line="4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18、设备配置：1000KN高刚性双空间主机框1台；1000KN高精度轮辐式负荷传感器1只；高精度位移传感器1只；5L/min油源1台；全数字闭环控制系统1套；微机控制电液伺服万能试验机专用试验软件 1套；</w:t>
            </w:r>
          </w:p>
          <w:p>
            <w:pPr>
              <w:tabs>
                <w:tab w:val="left" w:pos="420"/>
                <w:tab w:val="left" w:pos="720"/>
              </w:tabs>
              <w:spacing w:line="4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电脑及显示器1套；圆试样夹块：Φ15-Φ30mm, Φ30-Φ45mm, Φ45-Φ60mm；板试样夹块：2-20mm,20-40mm；10、压缩夹具1套（盘径：Φ200mm）；电子引伸计1套（标距100mm，变形量25mm）</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19、符合GB/T 228.1-2021、GB/T 28900-2022、GB/T 1040.1-2025、GB/T 2951.11-2008标准要求。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电液伺服压力试验机</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pStyle w:val="13"/>
              <w:widowControl/>
              <w:numPr>
                <w:ilvl w:val="0"/>
                <w:numId w:val="9"/>
              </w:numPr>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最大试验力：3000kN；</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2、精度0.5级；</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3、轴向试验力测量范围：1%～100%F，全程测量，无换挡误差；</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4、加载速率范围：0.02%～2%FS/s；</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5、试验力示值误差±0.5%以内；</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6、承压板尺寸：¢300mm；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7、上下压板最大距离：320mm；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8、左右空间间距：440mm；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9、加荷速率范围：200N/s～20kN/s；</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10、活塞行程：120mm；</w:t>
            </w:r>
            <w:r>
              <w:rPr>
                <w:rFonts w:hint="eastAsia" w:asciiTheme="minorEastAsia" w:hAnsiTheme="minorEastAsia" w:eastAsiaTheme="minorEastAsia" w:cstheme="minorEastAsia"/>
                <w:bCs/>
                <w:sz w:val="24"/>
                <w:szCs w:val="24"/>
              </w:rPr>
              <w:br w:type="textWrapping"/>
            </w:r>
            <w:r>
              <w:rPr>
                <w:rFonts w:hint="eastAsia" w:asciiTheme="minorEastAsia" w:hAnsiTheme="minorEastAsia" w:eastAsiaTheme="minorEastAsia" w:cstheme="minorEastAsia"/>
                <w:bCs/>
                <w:sz w:val="24"/>
                <w:szCs w:val="24"/>
              </w:rPr>
              <w:t>11、油泵电机采用伺服电机；</w:t>
            </w:r>
          </w:p>
          <w:p>
            <w:pPr>
              <w:tabs>
                <w:tab w:val="left" w:pos="420"/>
                <w:tab w:val="left" w:pos="720"/>
              </w:tabs>
              <w:spacing w:line="40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12、设备配置：3000KN高刚性双空间主机框1台；3000KN高精度轮辐式负荷传感器1只；4.25L/min油源1台：含伺服电机，径向柱塞泵，液压阀组等；全数字闭环控制系统1套；微机控制电液伺服压力试验机专用试验软件 1套；电脑及显示器1套；上下压板：¢300mm；垫块：1套</w:t>
            </w:r>
          </w:p>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kern w:val="2"/>
                <w:sz w:val="24"/>
                <w:szCs w:val="24"/>
              </w:rPr>
              <w:t>13、符合GB/T 28635-2012、GB/T 28900-2022、GB/T 228.1-2021标准要求。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全自动影像仪</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pStyle w:val="13"/>
              <w:widowControl/>
              <w:numPr>
                <w:ilvl w:val="0"/>
                <w:numId w:val="10"/>
              </w:numPr>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测量行程：X 轴 300mm、Y 轴 200mm、Z 轴 200mm；</w:t>
            </w:r>
          </w:p>
          <w:p>
            <w:pPr>
              <w:widowControl/>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2、三轴采用全闭环伺服控制，精密线性导轨与研磨级滚珠螺杆，光学尺分辨率 0.5μm；</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3、线性精度EX,EY ≤（2.3+L/200）μm，EZ≤（4.6+L/50）μm；</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4、测量精度EXY ≤（2.3+L/200）μm；</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5、影像系统:CCD相机：彩色千兆网高清数字相机,CCD像素：230万</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6、光学系统：光学镜头：同轴光手动变倍镜头,</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物镜倍率：0.6～5X,</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变倍比：8.3X :1,</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视频总倍率：25X∽250X,</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物方视场：1-10mm ,</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工作距离：90mm,</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自动对焦：AF影像自动调整焦距和清晰度；</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7、光源系统：表面光：智能程控五环八区光源轮廓光：智能程控LED平行光源；同轴光：智能程控LED点光源。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pPr>
              <w:pStyle w:val="13"/>
              <w:numPr>
                <w:ilvl w:val="0"/>
                <w:numId w:val="1"/>
              </w:numPr>
              <w:spacing w:line="360" w:lineRule="auto"/>
              <w:ind w:firstLineChars="0"/>
              <w:jc w:val="center"/>
              <w:rPr>
                <w:rFonts w:hint="eastAsia" w:asciiTheme="minorEastAsia" w:hAnsiTheme="minorEastAsia" w:eastAsiaTheme="minorEastAsia" w:cstheme="minorEastAsia"/>
                <w:sz w:val="24"/>
                <w:szCs w:val="24"/>
              </w:rPr>
            </w:pPr>
          </w:p>
        </w:tc>
        <w:tc>
          <w:tcPr>
            <w:tcW w:w="1438" w:type="dxa"/>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建材放射性检测仪</w:t>
            </w:r>
          </w:p>
        </w:tc>
        <w:tc>
          <w:tcPr>
            <w:tcW w:w="79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799" w:type="dxa"/>
            <w:vAlign w:val="center"/>
          </w:tcPr>
          <w:p>
            <w:pPr>
              <w:spacing w:line="28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1、可测能量范围：20KeV～10MeV</w:t>
            </w:r>
            <w:r>
              <w:rPr>
                <w:rFonts w:hint="eastAsia" w:asciiTheme="minorEastAsia" w:hAnsiTheme="minorEastAsia" w:eastAsiaTheme="minorEastAsia" w:cstheme="minorEastAsia"/>
                <w:kern w:val="0"/>
                <w:sz w:val="24"/>
                <w:szCs w:val="24"/>
              </w:rPr>
              <w:t>；</w:t>
            </w:r>
          </w:p>
          <w:p>
            <w:pPr>
              <w:spacing w:line="28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2、能量分辨率：≤6.8%；高精度伽马探测器恒温系统，高效软硬件PID控温，保证仪器稳定性；</w:t>
            </w:r>
          </w:p>
          <w:p>
            <w:pPr>
              <w:spacing w:line="3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3、铅室测量本底≤180cpm，稳定性：24h峰位漂移</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1%,能量线性: ≤±1%；</w:t>
            </w:r>
          </w:p>
          <w:p>
            <w:pPr>
              <w:spacing w:line="30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4、具有峰位监测功能,保证数据采集质量。自动寻峰，断点续采，掉电谱线自动保存，多文档操作：支持探测器测量的同时进行多文档谱线分析</w:t>
            </w:r>
            <w:r>
              <w:rPr>
                <w:rFonts w:hint="eastAsia" w:asciiTheme="minorEastAsia" w:hAnsiTheme="minorEastAsia" w:eastAsiaTheme="minorEastAsia" w:cstheme="minorEastAsia"/>
                <w:kern w:val="0"/>
                <w:sz w:val="24"/>
                <w:szCs w:val="24"/>
              </w:rPr>
              <w:t>；</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5、根据GB 6566-2010要求，可自动计算放射性核素含量及内外照射指数。</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7"/>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1">
    <w:nsid w:val="BF205925"/>
    <w:multiLevelType w:val="multilevel"/>
    <w:tmpl w:val="BF205925"/>
    <w:lvl w:ilvl="0" w:tentative="0">
      <w:start w:val="7"/>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2">
    <w:nsid w:val="CF092B84"/>
    <w:multiLevelType w:val="multilevel"/>
    <w:tmpl w:val="CF092B84"/>
    <w:lvl w:ilvl="0" w:tentative="0">
      <w:start w:val="3"/>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3">
    <w:nsid w:val="0053208E"/>
    <w:multiLevelType w:val="multilevel"/>
    <w:tmpl w:val="0053208E"/>
    <w:lvl w:ilvl="0" w:tentative="0">
      <w:start w:val="12"/>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4">
    <w:nsid w:val="03D62ECE"/>
    <w:multiLevelType w:val="multilevel"/>
    <w:tmpl w:val="03D62ECE"/>
    <w:lvl w:ilvl="0" w:tentative="0">
      <w:start w:val="10"/>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5">
    <w:nsid w:val="2B6E5078"/>
    <w:multiLevelType w:val="multilevel"/>
    <w:tmpl w:val="2B6E5078"/>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702A5F"/>
    <w:multiLevelType w:val="multilevel"/>
    <w:tmpl w:val="3A702A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3530F91"/>
    <w:multiLevelType w:val="multilevel"/>
    <w:tmpl w:val="43530F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ADCABA"/>
    <w:multiLevelType w:val="multilevel"/>
    <w:tmpl w:val="59ADCABA"/>
    <w:lvl w:ilvl="0" w:tentative="0">
      <w:start w:val="6"/>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9">
    <w:nsid w:val="5D467F9B"/>
    <w:multiLevelType w:val="multilevel"/>
    <w:tmpl w:val="5D467F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8"/>
  </w:num>
  <w:num w:numId="5">
    <w:abstractNumId w:val="1"/>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xMDZmMTBiNmJiMWI4NzcxNTVjNzY2YzM0NjNiOGMifQ=="/>
  </w:docVars>
  <w:rsids>
    <w:rsidRoot w:val="00D30AEF"/>
    <w:rsid w:val="00033784"/>
    <w:rsid w:val="000D7CCD"/>
    <w:rsid w:val="00195775"/>
    <w:rsid w:val="001A21FE"/>
    <w:rsid w:val="002174A2"/>
    <w:rsid w:val="00222EB4"/>
    <w:rsid w:val="002916FA"/>
    <w:rsid w:val="00345B5D"/>
    <w:rsid w:val="00382DF0"/>
    <w:rsid w:val="003D1BAF"/>
    <w:rsid w:val="00415619"/>
    <w:rsid w:val="0044301F"/>
    <w:rsid w:val="004A54BA"/>
    <w:rsid w:val="004D5F09"/>
    <w:rsid w:val="004E12FB"/>
    <w:rsid w:val="006F3652"/>
    <w:rsid w:val="00730433"/>
    <w:rsid w:val="00741572"/>
    <w:rsid w:val="00756689"/>
    <w:rsid w:val="007D36CE"/>
    <w:rsid w:val="0081367A"/>
    <w:rsid w:val="00816151"/>
    <w:rsid w:val="00832142"/>
    <w:rsid w:val="00854BCB"/>
    <w:rsid w:val="00876BF0"/>
    <w:rsid w:val="008F1F2A"/>
    <w:rsid w:val="008F332F"/>
    <w:rsid w:val="00937B7C"/>
    <w:rsid w:val="00A04BB8"/>
    <w:rsid w:val="00AA6D66"/>
    <w:rsid w:val="00B013DF"/>
    <w:rsid w:val="00B33FDA"/>
    <w:rsid w:val="00BA020A"/>
    <w:rsid w:val="00C26494"/>
    <w:rsid w:val="00C363D9"/>
    <w:rsid w:val="00CD7A85"/>
    <w:rsid w:val="00CE6EA7"/>
    <w:rsid w:val="00D30AEF"/>
    <w:rsid w:val="00D41433"/>
    <w:rsid w:val="00D579EF"/>
    <w:rsid w:val="00D80746"/>
    <w:rsid w:val="00E03183"/>
    <w:rsid w:val="00E3007D"/>
    <w:rsid w:val="00E56977"/>
    <w:rsid w:val="00F661D7"/>
    <w:rsid w:val="00F6716E"/>
    <w:rsid w:val="046A2A12"/>
    <w:rsid w:val="0CEC43C5"/>
    <w:rsid w:val="14A02A9E"/>
    <w:rsid w:val="242E1194"/>
    <w:rsid w:val="26F03861"/>
    <w:rsid w:val="2DF31F7F"/>
    <w:rsid w:val="3AD558D6"/>
    <w:rsid w:val="3E737914"/>
    <w:rsid w:val="3EE160E1"/>
    <w:rsid w:val="5BA419CA"/>
    <w:rsid w:val="62912A57"/>
    <w:rsid w:val="64FE6A0D"/>
    <w:rsid w:val="6AD40B29"/>
    <w:rsid w:val="79727426"/>
    <w:rsid w:val="7BF44236"/>
    <w:rsid w:val="FF2F7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99"/>
    <w:rPr>
      <w:rFonts w:ascii="Times New Roman" w:hAnsi="Times New Roman" w:eastAsia="宋体" w:cs="Times New Roman"/>
      <w:szCs w:val="20"/>
    </w:rPr>
  </w:style>
  <w:style w:type="character" w:customStyle="1" w:styleId="11">
    <w:name w:val="font11"/>
    <w:basedOn w:val="7"/>
    <w:qFormat/>
    <w:uiPriority w:val="0"/>
    <w:rPr>
      <w:rFonts w:hint="eastAsia" w:ascii="黑体" w:hAnsi="宋体" w:eastAsia="黑体" w:cs="黑体"/>
      <w:color w:val="000000"/>
      <w:sz w:val="28"/>
      <w:szCs w:val="28"/>
      <w:u w:val="none"/>
    </w:rPr>
  </w:style>
  <w:style w:type="character" w:customStyle="1" w:styleId="12">
    <w:name w:val="font31"/>
    <w:basedOn w:val="7"/>
    <w:qFormat/>
    <w:uiPriority w:val="0"/>
    <w:rPr>
      <w:rFonts w:hint="eastAsia" w:ascii="宋体" w:hAnsi="宋体" w:eastAsia="宋体" w:cs="宋体"/>
      <w:color w:val="000000"/>
      <w:sz w:val="24"/>
      <w:szCs w:val="24"/>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1753</Words>
  <Characters>1834</Characters>
  <Lines>13</Lines>
  <Paragraphs>3</Paragraphs>
  <TotalTime>2</TotalTime>
  <ScaleCrop>false</ScaleCrop>
  <LinksUpToDate>false</LinksUpToDate>
  <CharactersWithSpaces>1836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2021-10-27T09:44:00Z</dcterms:created>
  <dc:creator>初审-袁童</dc:creator>
  <cp:lastModifiedBy>赮</cp:lastModifiedBy>
  <dcterms:modified xsi:type="dcterms:W3CDTF">2026-06-03T16:52:02Z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AD51FC7036CE4639BF14D004BFDCB43F_13</vt:lpwstr>
  </property>
</Properties>
</file>