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hint="default" w:ascii="宋体" w:eastAsia="宋体"/>
          <w:b/>
          <w:sz w:val="44"/>
          <w:szCs w:val="44"/>
          <w:u w:val="single"/>
          <w:lang w:val="en-US" w:eastAsia="zh-CN"/>
        </w:rPr>
      </w:pPr>
      <w:r>
        <w:rPr>
          <w:rFonts w:hint="eastAsia" w:ascii="宋体"/>
          <w:b/>
          <w:sz w:val="44"/>
          <w:szCs w:val="44"/>
          <w:u w:val="single"/>
          <w:lang w:val="en-US" w:eastAsia="zh-CN"/>
        </w:rPr>
        <w:t xml:space="preserve">                                                                                                                                                                                                                                                                                                                                                                                                                                                                                                                                                                                                                                                                                                                                                                                                                                                                                                                                                                                                                                                                                                                                                                                                                                                                                                                                                                                                                                                                                                                                                                                                                                                                                                                                                                                                                                                                                                                                                                                                                                                                                                                                                                                                                                                                                                                                                                                                                                                                                                                                                                                                                                                                                                                                                                                                                                                                                                                                                                                                                                                                                                                                                                                                                                                                                                                                                                                                                                                                                                                                                                                                                                                                                                                                                                                                                                                                                                                                                                                                                                                                                                                                                                                                                </w:t>
      </w:r>
      <w:r>
        <w:rPr>
          <w:rFonts w:hint="eastAsia" w:ascii="宋体"/>
          <w:b/>
          <w:sz w:val="44"/>
          <w:szCs w:val="44"/>
          <w:u w:val="single"/>
          <w:lang w:val="en-US" w:eastAsia="zh-CN"/>
        </w:rPr>
        <w:t xml:space="preserve">                                                                                                                                                                                                                                                 </w:t>
      </w:r>
    </w:p>
    <w:p>
      <w:pPr>
        <w:adjustRightInd w:val="0"/>
        <w:snapToGrid w:val="0"/>
        <w:spacing w:line="360" w:lineRule="auto"/>
        <w:jc w:val="center"/>
        <w:rPr>
          <w:rFonts w:ascii="宋体"/>
          <w:b/>
          <w:sz w:val="44"/>
          <w:szCs w:val="44"/>
          <w:u w:val="single"/>
        </w:rPr>
      </w:pPr>
    </w:p>
    <w:p>
      <w:pPr>
        <w:adjustRightInd w:val="0"/>
        <w:snapToGrid w:val="0"/>
        <w:spacing w:line="360" w:lineRule="auto"/>
        <w:jc w:val="center"/>
        <w:rPr>
          <w:rFonts w:ascii="宋体"/>
          <w:b/>
          <w:sz w:val="44"/>
          <w:szCs w:val="44"/>
          <w:u w:val="single"/>
        </w:rPr>
      </w:pPr>
    </w:p>
    <w:p>
      <w:pPr>
        <w:pStyle w:val="4"/>
        <w:adjustRightInd w:val="0"/>
        <w:snapToGrid w:val="0"/>
        <w:spacing w:before="0" w:beforeAutospacing="0" w:after="0" w:afterAutospacing="0" w:line="360" w:lineRule="auto"/>
        <w:jc w:val="center"/>
        <w:outlineLvl w:val="0"/>
        <w:rPr>
          <w:rFonts w:hint="eastAsia" w:ascii="华文中宋" w:hAnsi="华文中宋" w:eastAsia="华文中宋" w:cs="华文中宋"/>
          <w:b/>
          <w:sz w:val="44"/>
          <w:szCs w:val="44"/>
          <w:lang w:eastAsia="zh-CN"/>
        </w:rPr>
      </w:pPr>
      <w:r>
        <w:rPr>
          <w:rFonts w:hint="eastAsia" w:ascii="华文中宋" w:hAnsi="华文中宋" w:eastAsia="华文中宋" w:cs="华文中宋"/>
          <w:b/>
          <w:sz w:val="44"/>
          <w:szCs w:val="44"/>
          <w:lang w:eastAsia="zh-CN"/>
        </w:rPr>
        <w:t>淮南市食品药品检验中心</w:t>
      </w:r>
    </w:p>
    <w:p>
      <w:pPr>
        <w:pStyle w:val="4"/>
        <w:adjustRightInd w:val="0"/>
        <w:snapToGrid w:val="0"/>
        <w:spacing w:before="0" w:beforeAutospacing="0" w:after="0" w:afterAutospacing="0" w:line="360" w:lineRule="auto"/>
        <w:jc w:val="center"/>
        <w:outlineLvl w:val="0"/>
        <w:rPr>
          <w:rFonts w:ascii="黑体" w:hAnsi="黑体" w:eastAsia="黑体"/>
          <w:bCs/>
          <w:sz w:val="36"/>
          <w:szCs w:val="36"/>
        </w:rPr>
      </w:pPr>
      <w:r>
        <w:rPr>
          <w:rFonts w:hint="eastAsia" w:ascii="华文中宋" w:hAnsi="华文中宋" w:eastAsia="华文中宋" w:cs="华文中宋"/>
          <w:b/>
          <w:sz w:val="44"/>
          <w:szCs w:val="44"/>
          <w:lang w:eastAsia="zh-CN"/>
        </w:rPr>
        <w:t>2024</w:t>
      </w:r>
      <w:r>
        <w:rPr>
          <w:rFonts w:hint="eastAsia" w:ascii="华文中宋" w:hAnsi="华文中宋" w:eastAsia="华文中宋" w:cs="华文中宋"/>
          <w:b/>
          <w:sz w:val="44"/>
          <w:szCs w:val="44"/>
        </w:rPr>
        <w:t>年</w:t>
      </w:r>
      <w:r>
        <w:rPr>
          <w:rFonts w:hint="eastAsia" w:ascii="华文中宋" w:hAnsi="华文中宋" w:eastAsia="华文中宋" w:cs="华文中宋"/>
          <w:b/>
          <w:sz w:val="44"/>
          <w:szCs w:val="44"/>
          <w:u w:val="none"/>
        </w:rPr>
        <w:t>单位</w:t>
      </w:r>
      <w:r>
        <w:rPr>
          <w:rFonts w:hint="eastAsia" w:ascii="华文中宋" w:hAnsi="华文中宋" w:eastAsia="华文中宋" w:cs="华文中宋"/>
          <w:b/>
          <w:sz w:val="44"/>
          <w:szCs w:val="44"/>
        </w:rPr>
        <w:t>预算</w:t>
      </w:r>
    </w:p>
    <w:p>
      <w:pPr>
        <w:pStyle w:val="4"/>
        <w:adjustRightInd w:val="0"/>
        <w:snapToGrid w:val="0"/>
        <w:spacing w:before="0" w:beforeAutospacing="0" w:after="0" w:afterAutospacing="0" w:line="360" w:lineRule="auto"/>
        <w:jc w:val="center"/>
        <w:rPr>
          <w:rFonts w:ascii="黑体" w:hAnsi="黑体" w:eastAsia="黑体"/>
          <w:bCs/>
          <w:sz w:val="36"/>
          <w:szCs w:val="36"/>
        </w:rPr>
      </w:pPr>
    </w:p>
    <w:p>
      <w:pPr>
        <w:pStyle w:val="4"/>
        <w:adjustRightInd w:val="0"/>
        <w:snapToGrid w:val="0"/>
        <w:spacing w:before="0" w:beforeAutospacing="0" w:after="0" w:afterAutospacing="0" w:line="360" w:lineRule="auto"/>
        <w:jc w:val="center"/>
        <w:rPr>
          <w:rFonts w:ascii="黑体" w:hAnsi="黑体" w:eastAsia="黑体"/>
          <w:bCs/>
          <w:sz w:val="36"/>
          <w:szCs w:val="36"/>
        </w:rPr>
      </w:pPr>
    </w:p>
    <w:p>
      <w:pPr>
        <w:pStyle w:val="4"/>
        <w:adjustRightInd w:val="0"/>
        <w:snapToGrid w:val="0"/>
        <w:spacing w:before="0" w:beforeAutospacing="0" w:after="0" w:afterAutospacing="0" w:line="360" w:lineRule="auto"/>
        <w:jc w:val="center"/>
        <w:rPr>
          <w:rFonts w:ascii="黑体" w:hAnsi="黑体" w:eastAsia="黑体"/>
          <w:bCs/>
          <w:sz w:val="36"/>
          <w:szCs w:val="36"/>
        </w:rPr>
      </w:pPr>
    </w:p>
    <w:p>
      <w:pPr>
        <w:pStyle w:val="4"/>
        <w:adjustRightInd w:val="0"/>
        <w:snapToGrid w:val="0"/>
        <w:spacing w:before="0" w:beforeAutospacing="0" w:after="0" w:afterAutospacing="0" w:line="360" w:lineRule="auto"/>
        <w:jc w:val="center"/>
        <w:rPr>
          <w:rFonts w:ascii="黑体" w:hAnsi="黑体" w:eastAsia="黑体"/>
          <w:bCs/>
          <w:sz w:val="36"/>
          <w:szCs w:val="36"/>
        </w:rPr>
      </w:pPr>
    </w:p>
    <w:p>
      <w:pPr>
        <w:pStyle w:val="4"/>
        <w:adjustRightInd w:val="0"/>
        <w:snapToGrid w:val="0"/>
        <w:spacing w:before="0" w:beforeAutospacing="0" w:after="0" w:afterAutospacing="0" w:line="360" w:lineRule="auto"/>
        <w:jc w:val="center"/>
        <w:rPr>
          <w:rFonts w:ascii="黑体" w:hAnsi="黑体" w:eastAsia="黑体"/>
          <w:bCs/>
          <w:sz w:val="36"/>
          <w:szCs w:val="36"/>
        </w:rPr>
      </w:pPr>
    </w:p>
    <w:p>
      <w:pPr>
        <w:pStyle w:val="4"/>
        <w:adjustRightInd w:val="0"/>
        <w:snapToGrid w:val="0"/>
        <w:spacing w:before="0" w:beforeAutospacing="0" w:after="0" w:afterAutospacing="0" w:line="360" w:lineRule="auto"/>
        <w:jc w:val="center"/>
        <w:rPr>
          <w:rFonts w:ascii="黑体" w:hAnsi="黑体" w:eastAsia="黑体"/>
          <w:bCs/>
          <w:sz w:val="36"/>
          <w:szCs w:val="36"/>
        </w:rPr>
      </w:pPr>
    </w:p>
    <w:p>
      <w:pPr>
        <w:pStyle w:val="4"/>
        <w:adjustRightInd w:val="0"/>
        <w:snapToGrid w:val="0"/>
        <w:spacing w:before="0" w:beforeAutospacing="0" w:after="0" w:afterAutospacing="0" w:line="360" w:lineRule="auto"/>
        <w:jc w:val="center"/>
        <w:rPr>
          <w:rFonts w:ascii="黑体" w:hAnsi="黑体" w:eastAsia="黑体"/>
          <w:bCs/>
          <w:sz w:val="36"/>
          <w:szCs w:val="36"/>
        </w:rPr>
      </w:pPr>
    </w:p>
    <w:p>
      <w:pPr>
        <w:pStyle w:val="4"/>
        <w:adjustRightInd w:val="0"/>
        <w:snapToGrid w:val="0"/>
        <w:spacing w:before="0" w:beforeAutospacing="0" w:after="0" w:afterAutospacing="0" w:line="360" w:lineRule="auto"/>
        <w:jc w:val="center"/>
        <w:rPr>
          <w:rFonts w:ascii="黑体" w:hAnsi="黑体" w:eastAsia="黑体"/>
          <w:bCs/>
          <w:sz w:val="36"/>
          <w:szCs w:val="36"/>
        </w:rPr>
      </w:pPr>
    </w:p>
    <w:p>
      <w:pPr>
        <w:pStyle w:val="4"/>
        <w:adjustRightInd w:val="0"/>
        <w:snapToGrid w:val="0"/>
        <w:spacing w:before="0" w:beforeAutospacing="0" w:after="0" w:afterAutospacing="0" w:line="360" w:lineRule="auto"/>
        <w:jc w:val="center"/>
        <w:rPr>
          <w:rFonts w:ascii="黑体" w:hAnsi="黑体" w:eastAsia="黑体"/>
          <w:bCs/>
          <w:sz w:val="44"/>
          <w:szCs w:val="44"/>
        </w:rPr>
      </w:pPr>
      <w:r>
        <w:rPr>
          <w:rFonts w:hint="eastAsia" w:ascii="黑体" w:hAnsi="黑体" w:eastAsia="黑体"/>
          <w:bCs/>
          <w:sz w:val="44"/>
          <w:szCs w:val="44"/>
          <w:lang w:eastAsia="zh-CN"/>
        </w:rPr>
        <w:t>2024</w:t>
      </w:r>
      <w:r>
        <w:rPr>
          <w:rFonts w:hint="eastAsia" w:ascii="黑体" w:hAnsi="黑体" w:eastAsia="黑体"/>
          <w:bCs/>
          <w:sz w:val="44"/>
          <w:szCs w:val="44"/>
        </w:rPr>
        <w:t>年</w:t>
      </w:r>
      <w:r>
        <w:rPr>
          <w:rFonts w:hint="eastAsia" w:ascii="黑体" w:hAnsi="黑体" w:eastAsia="黑体"/>
          <w:bCs/>
          <w:sz w:val="44"/>
          <w:szCs w:val="44"/>
          <w:lang w:val="en-US" w:eastAsia="zh-CN"/>
        </w:rPr>
        <w:t>2</w:t>
      </w:r>
      <w:r>
        <w:rPr>
          <w:rFonts w:hint="eastAsia" w:ascii="黑体" w:hAnsi="黑体" w:eastAsia="黑体"/>
          <w:bCs/>
          <w:sz w:val="44"/>
          <w:szCs w:val="44"/>
        </w:rPr>
        <w:t>月</w:t>
      </w:r>
    </w:p>
    <w:p>
      <w:pPr>
        <w:pStyle w:val="4"/>
        <w:adjustRightInd w:val="0"/>
        <w:snapToGrid w:val="0"/>
        <w:spacing w:before="0" w:beforeAutospacing="0" w:after="0" w:afterAutospacing="0" w:line="360" w:lineRule="auto"/>
        <w:jc w:val="both"/>
        <w:rPr>
          <w:rFonts w:ascii="黑体" w:hAnsi="黑体" w:eastAsia="黑体"/>
          <w:bCs/>
          <w:sz w:val="36"/>
          <w:szCs w:val="36"/>
        </w:rPr>
      </w:pPr>
    </w:p>
    <w:p>
      <w:pPr>
        <w:pStyle w:val="4"/>
        <w:adjustRightInd w:val="0"/>
        <w:snapToGrid w:val="0"/>
        <w:spacing w:before="0" w:beforeAutospacing="0" w:after="0" w:afterAutospacing="0" w:line="500" w:lineRule="exact"/>
        <w:jc w:val="center"/>
        <w:rPr>
          <w:rFonts w:ascii="黑体" w:hAnsi="黑体" w:eastAsia="黑体"/>
          <w:bCs/>
          <w:sz w:val="44"/>
          <w:szCs w:val="44"/>
        </w:rPr>
      </w:pPr>
    </w:p>
    <w:p>
      <w:pPr>
        <w:pStyle w:val="4"/>
        <w:adjustRightInd w:val="0"/>
        <w:snapToGrid w:val="0"/>
        <w:spacing w:before="0" w:beforeAutospacing="0" w:after="0" w:afterAutospacing="0" w:line="500" w:lineRule="exact"/>
        <w:jc w:val="center"/>
        <w:rPr>
          <w:rFonts w:hint="eastAsia" w:ascii="黑体" w:hAnsi="黑体" w:eastAsia="黑体"/>
          <w:bCs/>
          <w:sz w:val="44"/>
          <w:szCs w:val="44"/>
        </w:rPr>
      </w:pPr>
    </w:p>
    <w:p>
      <w:pPr>
        <w:pStyle w:val="4"/>
        <w:adjustRightInd w:val="0"/>
        <w:snapToGrid w:val="0"/>
        <w:spacing w:before="0" w:beforeAutospacing="0" w:after="0" w:afterAutospacing="0" w:line="500" w:lineRule="exact"/>
        <w:jc w:val="center"/>
        <w:rPr>
          <w:rFonts w:hint="eastAsia" w:ascii="黑体" w:hAnsi="黑体" w:eastAsia="黑体"/>
          <w:bCs/>
          <w:sz w:val="44"/>
          <w:szCs w:val="44"/>
        </w:rPr>
      </w:pPr>
    </w:p>
    <w:p>
      <w:pPr>
        <w:pStyle w:val="4"/>
        <w:adjustRightInd w:val="0"/>
        <w:snapToGrid w:val="0"/>
        <w:spacing w:before="0" w:beforeAutospacing="0" w:after="0" w:afterAutospacing="0" w:line="500" w:lineRule="exact"/>
        <w:jc w:val="center"/>
        <w:rPr>
          <w:rFonts w:hint="eastAsia" w:ascii="黑体" w:hAnsi="黑体" w:eastAsia="黑体"/>
          <w:bCs/>
          <w:sz w:val="44"/>
          <w:szCs w:val="44"/>
        </w:rPr>
      </w:pPr>
    </w:p>
    <w:p>
      <w:pPr>
        <w:pStyle w:val="4"/>
        <w:adjustRightInd w:val="0"/>
        <w:snapToGrid w:val="0"/>
        <w:spacing w:before="0" w:beforeAutospacing="0" w:after="0" w:afterAutospacing="0" w:line="500" w:lineRule="exact"/>
        <w:jc w:val="center"/>
        <w:rPr>
          <w:rFonts w:hint="eastAsia" w:ascii="黑体" w:hAnsi="黑体" w:eastAsia="黑体"/>
          <w:bCs/>
          <w:sz w:val="44"/>
          <w:szCs w:val="44"/>
        </w:rPr>
      </w:pPr>
    </w:p>
    <w:p>
      <w:pPr>
        <w:pStyle w:val="4"/>
        <w:adjustRightInd w:val="0"/>
        <w:snapToGrid w:val="0"/>
        <w:spacing w:before="0" w:beforeAutospacing="0" w:after="0" w:afterAutospacing="0" w:line="500" w:lineRule="exact"/>
        <w:jc w:val="center"/>
        <w:rPr>
          <w:rFonts w:ascii="黑体" w:hAnsi="黑体" w:eastAsia="黑体"/>
          <w:bCs/>
          <w:sz w:val="44"/>
          <w:szCs w:val="44"/>
        </w:rPr>
      </w:pPr>
      <w:r>
        <w:rPr>
          <w:rFonts w:hint="eastAsia" w:ascii="黑体" w:hAnsi="黑体" w:eastAsia="黑体"/>
          <w:bCs/>
          <w:sz w:val="44"/>
          <w:szCs w:val="44"/>
        </w:rPr>
        <w:t>目</w:t>
      </w:r>
      <w:r>
        <w:rPr>
          <w:rFonts w:ascii="黑体" w:hAnsi="黑体" w:eastAsia="黑体"/>
          <w:bCs/>
          <w:sz w:val="44"/>
          <w:szCs w:val="44"/>
        </w:rPr>
        <w:t xml:space="preserve"> </w:t>
      </w:r>
      <w:r>
        <w:rPr>
          <w:rFonts w:hint="eastAsia" w:ascii="黑体" w:hAnsi="黑体" w:eastAsia="黑体"/>
          <w:bCs/>
          <w:sz w:val="44"/>
          <w:szCs w:val="44"/>
        </w:rPr>
        <w:t>录</w:t>
      </w:r>
    </w:p>
    <w:p>
      <w:pPr>
        <w:pStyle w:val="4"/>
        <w:adjustRightInd w:val="0"/>
        <w:snapToGrid w:val="0"/>
        <w:spacing w:before="0" w:beforeAutospacing="0" w:after="0" w:afterAutospacing="0" w:line="500" w:lineRule="exact"/>
        <w:ind w:firstLine="643" w:firstLineChars="200"/>
        <w:jc w:val="both"/>
        <w:rPr>
          <w:rFonts w:ascii="仿宋_GB2312" w:hAnsi="仿宋" w:eastAsia="仿宋_GB2312" w:cs="仿宋"/>
          <w:b/>
          <w:sz w:val="32"/>
          <w:szCs w:val="32"/>
        </w:rPr>
      </w:pPr>
    </w:p>
    <w:p>
      <w:pPr>
        <w:pStyle w:val="4"/>
        <w:adjustRightInd w:val="0"/>
        <w:snapToGrid w:val="0"/>
        <w:spacing w:before="0" w:beforeAutospacing="0" w:after="0" w:afterAutospacing="0" w:line="500" w:lineRule="exact"/>
        <w:ind w:firstLine="643" w:firstLineChars="200"/>
        <w:jc w:val="both"/>
        <w:rPr>
          <w:rFonts w:ascii="仿宋_GB2312" w:hAnsi="仿宋" w:eastAsia="仿宋_GB2312" w:cs="仿宋"/>
          <w:b/>
          <w:sz w:val="32"/>
          <w:szCs w:val="32"/>
        </w:rPr>
      </w:pPr>
      <w:r>
        <w:rPr>
          <w:rFonts w:hint="eastAsia" w:ascii="仿宋_GB2312" w:hAnsi="仿宋" w:eastAsia="仿宋_GB2312" w:cs="仿宋"/>
          <w:b/>
          <w:sz w:val="32"/>
          <w:szCs w:val="32"/>
        </w:rPr>
        <w:t>第一部分</w:t>
      </w:r>
      <w:r>
        <w:rPr>
          <w:rFonts w:ascii="仿宋_GB2312" w:hAnsi="仿宋" w:eastAsia="仿宋_GB2312" w:cs="仿宋"/>
          <w:b/>
          <w:sz w:val="32"/>
          <w:szCs w:val="32"/>
        </w:rPr>
        <w:t xml:space="preserve"> </w:t>
      </w:r>
      <w:r>
        <w:rPr>
          <w:rFonts w:hint="eastAsia" w:ascii="仿宋_GB2312" w:hAnsi="仿宋" w:eastAsia="仿宋_GB2312" w:cs="仿宋"/>
          <w:b/>
          <w:sz w:val="32"/>
          <w:szCs w:val="32"/>
        </w:rPr>
        <w:t>单位概况</w:t>
      </w:r>
    </w:p>
    <w:p>
      <w:pPr>
        <w:pStyle w:val="4"/>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1.</w:t>
      </w:r>
      <w:r>
        <w:rPr>
          <w:rFonts w:hint="eastAsia" w:ascii="仿宋_GB2312" w:hAnsi="仿宋" w:eastAsia="仿宋_GB2312" w:cs="仿宋"/>
          <w:bCs/>
          <w:sz w:val="32"/>
          <w:szCs w:val="32"/>
        </w:rPr>
        <w:t>主要职责</w:t>
      </w:r>
    </w:p>
    <w:p>
      <w:pPr>
        <w:pStyle w:val="4"/>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2.</w:t>
      </w:r>
      <w:r>
        <w:rPr>
          <w:rFonts w:hint="eastAsia" w:ascii="仿宋_GB2312" w:hAnsi="仿宋" w:eastAsia="仿宋_GB2312" w:cs="仿宋"/>
          <w:bCs/>
          <w:sz w:val="32"/>
          <w:szCs w:val="32"/>
          <w:u w:val="none"/>
        </w:rPr>
        <w:t>单位</w:t>
      </w:r>
      <w:r>
        <w:rPr>
          <w:rFonts w:hint="eastAsia" w:ascii="仿宋_GB2312" w:hAnsi="仿宋" w:eastAsia="仿宋_GB2312" w:cs="仿宋"/>
          <w:bCs/>
          <w:sz w:val="32"/>
          <w:szCs w:val="32"/>
        </w:rPr>
        <w:t>预算构成</w:t>
      </w:r>
    </w:p>
    <w:p>
      <w:pPr>
        <w:pStyle w:val="4"/>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3.</w:t>
      </w:r>
      <w:r>
        <w:rPr>
          <w:rFonts w:hint="eastAsia" w:ascii="仿宋_GB2312" w:hAnsi="仿宋" w:eastAsia="仿宋_GB2312" w:cs="仿宋"/>
          <w:bCs/>
          <w:sz w:val="32"/>
          <w:szCs w:val="32"/>
          <w:lang w:eastAsia="zh-CN"/>
        </w:rPr>
        <w:t>2024</w:t>
      </w:r>
      <w:r>
        <w:rPr>
          <w:rFonts w:hint="eastAsia" w:ascii="仿宋_GB2312" w:hAnsi="仿宋" w:eastAsia="仿宋_GB2312" w:cs="仿宋"/>
          <w:bCs/>
          <w:sz w:val="32"/>
          <w:szCs w:val="32"/>
        </w:rPr>
        <w:t>年度主要工作任务</w:t>
      </w:r>
    </w:p>
    <w:p>
      <w:pPr>
        <w:pStyle w:val="4"/>
        <w:adjustRightInd w:val="0"/>
        <w:snapToGrid w:val="0"/>
        <w:spacing w:before="0" w:beforeAutospacing="0" w:after="0" w:afterAutospacing="0" w:line="500" w:lineRule="exact"/>
        <w:ind w:firstLine="643" w:firstLineChars="200"/>
        <w:rPr>
          <w:rFonts w:ascii="仿宋_GB2312" w:hAnsi="仿宋" w:eastAsia="仿宋_GB2312" w:cs="仿宋"/>
          <w:b/>
          <w:sz w:val="32"/>
          <w:szCs w:val="32"/>
        </w:rPr>
      </w:pPr>
      <w:r>
        <w:rPr>
          <w:rFonts w:hint="eastAsia" w:ascii="仿宋_GB2312" w:hAnsi="仿宋" w:eastAsia="仿宋_GB2312" w:cs="仿宋"/>
          <w:b/>
          <w:sz w:val="32"/>
          <w:szCs w:val="32"/>
        </w:rPr>
        <w:t>第二部分</w:t>
      </w:r>
      <w:r>
        <w:rPr>
          <w:rFonts w:ascii="仿宋_GB2312" w:hAnsi="仿宋" w:eastAsia="仿宋_GB2312" w:cs="仿宋"/>
          <w:b/>
          <w:sz w:val="32"/>
          <w:szCs w:val="32"/>
        </w:rPr>
        <w:t xml:space="preserve"> </w:t>
      </w:r>
      <w:r>
        <w:rPr>
          <w:rFonts w:hint="eastAsia" w:ascii="仿宋_GB2312" w:hAnsi="仿宋" w:eastAsia="仿宋_GB2312" w:cs="仿宋"/>
          <w:b/>
          <w:sz w:val="32"/>
          <w:szCs w:val="32"/>
          <w:lang w:eastAsia="zh-CN"/>
        </w:rPr>
        <w:t>2024</w:t>
      </w:r>
      <w:r>
        <w:rPr>
          <w:rFonts w:hint="eastAsia" w:ascii="仿宋_GB2312" w:hAnsi="仿宋" w:eastAsia="仿宋_GB2312" w:cs="仿宋"/>
          <w:b/>
          <w:sz w:val="32"/>
          <w:szCs w:val="32"/>
        </w:rPr>
        <w:t>年</w:t>
      </w:r>
      <w:r>
        <w:rPr>
          <w:rFonts w:hint="eastAsia" w:ascii="仿宋_GB2312" w:hAnsi="仿宋" w:eastAsia="仿宋_GB2312" w:cs="仿宋"/>
          <w:b/>
          <w:sz w:val="32"/>
          <w:szCs w:val="32"/>
          <w:u w:val="none"/>
        </w:rPr>
        <w:t>单位</w:t>
      </w:r>
      <w:r>
        <w:rPr>
          <w:rFonts w:hint="eastAsia" w:ascii="仿宋_GB2312" w:hAnsi="仿宋" w:eastAsia="仿宋_GB2312" w:cs="仿宋"/>
          <w:b/>
          <w:sz w:val="32"/>
          <w:szCs w:val="32"/>
        </w:rPr>
        <w:t>预算表</w:t>
      </w:r>
    </w:p>
    <w:p>
      <w:pPr>
        <w:pStyle w:val="4"/>
        <w:adjustRightInd w:val="0"/>
        <w:snapToGrid w:val="0"/>
        <w:spacing w:before="0" w:beforeAutospacing="0" w:after="0" w:afterAutospacing="0" w:line="500" w:lineRule="exact"/>
        <w:ind w:firstLine="640" w:firstLineChars="200"/>
        <w:outlineLvl w:val="0"/>
        <w:rPr>
          <w:rFonts w:ascii="仿宋_GB2312" w:hAnsi="仿宋" w:eastAsia="仿宋_GB2312" w:cs="仿宋"/>
          <w:bCs/>
          <w:sz w:val="32"/>
          <w:szCs w:val="32"/>
        </w:rPr>
      </w:pPr>
      <w:r>
        <w:rPr>
          <w:rFonts w:ascii="仿宋_GB2312" w:hAnsi="仿宋" w:eastAsia="仿宋_GB2312" w:cs="仿宋"/>
          <w:bCs/>
          <w:sz w:val="32"/>
          <w:szCs w:val="32"/>
        </w:rPr>
        <w:t>1.</w:t>
      </w:r>
      <w:r>
        <w:rPr>
          <w:rFonts w:hint="eastAsia" w:ascii="仿宋_GB2312" w:hAnsi="仿宋" w:eastAsia="仿宋_GB2312" w:cs="仿宋"/>
          <w:bCs/>
          <w:sz w:val="32"/>
          <w:szCs w:val="32"/>
          <w:lang w:eastAsia="zh-CN"/>
        </w:rPr>
        <w:t>淮南市食品药品检验中心2024</w:t>
      </w:r>
      <w:r>
        <w:rPr>
          <w:rFonts w:hint="eastAsia" w:ascii="仿宋_GB2312" w:hAnsi="仿宋" w:eastAsia="仿宋_GB2312" w:cs="仿宋"/>
          <w:bCs/>
          <w:sz w:val="32"/>
          <w:szCs w:val="32"/>
        </w:rPr>
        <w:t>年收支总表</w:t>
      </w:r>
    </w:p>
    <w:p>
      <w:pPr>
        <w:pStyle w:val="4"/>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2.</w:t>
      </w:r>
      <w:r>
        <w:rPr>
          <w:rFonts w:hint="eastAsia" w:ascii="仿宋_GB2312" w:hAnsi="仿宋" w:eastAsia="仿宋_GB2312" w:cs="仿宋"/>
          <w:bCs/>
          <w:sz w:val="32"/>
          <w:szCs w:val="32"/>
          <w:lang w:eastAsia="zh-CN"/>
        </w:rPr>
        <w:t>淮南市食品药品检验中心2024</w:t>
      </w:r>
      <w:r>
        <w:rPr>
          <w:rFonts w:hint="eastAsia" w:ascii="仿宋_GB2312" w:hAnsi="仿宋" w:eastAsia="仿宋_GB2312" w:cs="仿宋"/>
          <w:bCs/>
          <w:sz w:val="32"/>
          <w:szCs w:val="32"/>
        </w:rPr>
        <w:t>年收入总表</w:t>
      </w:r>
    </w:p>
    <w:p>
      <w:pPr>
        <w:pStyle w:val="4"/>
        <w:adjustRightInd w:val="0"/>
        <w:snapToGrid w:val="0"/>
        <w:spacing w:before="0" w:beforeAutospacing="0" w:after="0" w:afterAutospacing="0" w:line="500" w:lineRule="exact"/>
        <w:ind w:firstLine="640" w:firstLineChars="200"/>
        <w:outlineLvl w:val="0"/>
        <w:rPr>
          <w:rFonts w:ascii="仿宋_GB2312" w:hAnsi="仿宋" w:eastAsia="仿宋_GB2312" w:cs="仿宋"/>
          <w:bCs/>
          <w:sz w:val="32"/>
          <w:szCs w:val="32"/>
        </w:rPr>
      </w:pPr>
      <w:r>
        <w:rPr>
          <w:rFonts w:ascii="仿宋_GB2312" w:hAnsi="仿宋" w:eastAsia="仿宋_GB2312" w:cs="仿宋"/>
          <w:bCs/>
          <w:sz w:val="32"/>
          <w:szCs w:val="32"/>
        </w:rPr>
        <w:t>3.</w:t>
      </w:r>
      <w:r>
        <w:rPr>
          <w:rFonts w:hint="eastAsia" w:ascii="仿宋_GB2312" w:hAnsi="仿宋" w:eastAsia="仿宋_GB2312" w:cs="仿宋"/>
          <w:bCs/>
          <w:sz w:val="32"/>
          <w:szCs w:val="32"/>
          <w:lang w:eastAsia="zh-CN"/>
        </w:rPr>
        <w:t>淮南市食品药品检验中心2024</w:t>
      </w:r>
      <w:r>
        <w:rPr>
          <w:rFonts w:hint="eastAsia" w:ascii="仿宋_GB2312" w:hAnsi="仿宋" w:eastAsia="仿宋_GB2312" w:cs="仿宋"/>
          <w:bCs/>
          <w:sz w:val="32"/>
          <w:szCs w:val="32"/>
        </w:rPr>
        <w:t>年支出总表</w:t>
      </w:r>
    </w:p>
    <w:p>
      <w:pPr>
        <w:pStyle w:val="4"/>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4.</w:t>
      </w:r>
      <w:r>
        <w:rPr>
          <w:rFonts w:hint="eastAsia" w:ascii="仿宋_GB2312" w:hAnsi="仿宋" w:eastAsia="仿宋_GB2312" w:cs="仿宋"/>
          <w:bCs/>
          <w:sz w:val="32"/>
          <w:szCs w:val="32"/>
          <w:lang w:eastAsia="zh-CN"/>
        </w:rPr>
        <w:t>淮南市食品药品检验中心2024</w:t>
      </w:r>
      <w:r>
        <w:rPr>
          <w:rFonts w:hint="eastAsia" w:ascii="仿宋_GB2312" w:hAnsi="仿宋" w:eastAsia="仿宋_GB2312" w:cs="仿宋"/>
          <w:bCs/>
          <w:sz w:val="32"/>
          <w:szCs w:val="32"/>
        </w:rPr>
        <w:t>年财政拨款收支总表</w:t>
      </w:r>
    </w:p>
    <w:p>
      <w:pPr>
        <w:pStyle w:val="4"/>
        <w:adjustRightInd w:val="0"/>
        <w:snapToGrid w:val="0"/>
        <w:spacing w:before="0" w:beforeAutospacing="0" w:after="0" w:afterAutospacing="0" w:line="500" w:lineRule="exact"/>
        <w:ind w:firstLine="640" w:firstLineChars="200"/>
        <w:outlineLvl w:val="0"/>
        <w:rPr>
          <w:rFonts w:ascii="仿宋_GB2312" w:hAnsi="仿宋" w:eastAsia="仿宋_GB2312" w:cs="仿宋"/>
          <w:bCs/>
          <w:sz w:val="32"/>
          <w:szCs w:val="32"/>
        </w:rPr>
      </w:pPr>
      <w:r>
        <w:rPr>
          <w:rFonts w:ascii="仿宋_GB2312" w:hAnsi="仿宋" w:eastAsia="仿宋_GB2312" w:cs="仿宋"/>
          <w:bCs/>
          <w:sz w:val="32"/>
          <w:szCs w:val="32"/>
        </w:rPr>
        <w:t>5.</w:t>
      </w:r>
      <w:r>
        <w:rPr>
          <w:rFonts w:hint="eastAsia" w:ascii="仿宋_GB2312" w:hAnsi="仿宋" w:eastAsia="仿宋_GB2312" w:cs="仿宋"/>
          <w:bCs/>
          <w:sz w:val="32"/>
          <w:szCs w:val="32"/>
          <w:lang w:eastAsia="zh-CN"/>
        </w:rPr>
        <w:t>淮南市食品药品检验中心2024</w:t>
      </w:r>
      <w:r>
        <w:rPr>
          <w:rFonts w:hint="eastAsia" w:ascii="仿宋_GB2312" w:hAnsi="仿宋" w:eastAsia="仿宋_GB2312" w:cs="仿宋"/>
          <w:bCs/>
          <w:sz w:val="32"/>
          <w:szCs w:val="32"/>
        </w:rPr>
        <w:t>年一般公共预算支出表</w:t>
      </w:r>
    </w:p>
    <w:p>
      <w:pPr>
        <w:pStyle w:val="4"/>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6.</w:t>
      </w:r>
      <w:r>
        <w:rPr>
          <w:rFonts w:hint="eastAsia" w:ascii="仿宋_GB2312" w:hAnsi="仿宋" w:eastAsia="仿宋_GB2312" w:cs="仿宋"/>
          <w:bCs/>
          <w:sz w:val="32"/>
          <w:szCs w:val="32"/>
          <w:lang w:eastAsia="zh-CN"/>
        </w:rPr>
        <w:t>淮南市食品药品检验中心2024</w:t>
      </w:r>
      <w:r>
        <w:rPr>
          <w:rFonts w:hint="eastAsia" w:ascii="仿宋_GB2312" w:hAnsi="仿宋" w:eastAsia="仿宋_GB2312" w:cs="仿宋"/>
          <w:bCs/>
          <w:sz w:val="32"/>
          <w:szCs w:val="32"/>
        </w:rPr>
        <w:t>年一般公共预算基本支出表</w:t>
      </w:r>
    </w:p>
    <w:p>
      <w:pPr>
        <w:pStyle w:val="4"/>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7.</w:t>
      </w:r>
      <w:r>
        <w:rPr>
          <w:rFonts w:hint="eastAsia" w:ascii="仿宋_GB2312" w:hAnsi="仿宋" w:eastAsia="仿宋_GB2312" w:cs="仿宋"/>
          <w:bCs/>
          <w:sz w:val="32"/>
          <w:szCs w:val="32"/>
          <w:lang w:eastAsia="zh-CN"/>
        </w:rPr>
        <w:t>淮南市食品药品检验中心2024</w:t>
      </w:r>
      <w:r>
        <w:rPr>
          <w:rFonts w:hint="eastAsia" w:ascii="仿宋_GB2312" w:hAnsi="仿宋" w:eastAsia="仿宋_GB2312" w:cs="仿宋"/>
          <w:bCs/>
          <w:sz w:val="32"/>
          <w:szCs w:val="32"/>
        </w:rPr>
        <w:t>年政府性基金预算支出表</w:t>
      </w:r>
    </w:p>
    <w:p>
      <w:pPr>
        <w:pStyle w:val="4"/>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8.</w:t>
      </w:r>
      <w:r>
        <w:rPr>
          <w:rFonts w:hint="eastAsia" w:ascii="仿宋_GB2312" w:hAnsi="仿宋" w:eastAsia="仿宋_GB2312" w:cs="仿宋"/>
          <w:bCs/>
          <w:sz w:val="32"/>
          <w:szCs w:val="32"/>
          <w:lang w:eastAsia="zh-CN"/>
        </w:rPr>
        <w:t>淮南市食品药品检验中心2024</w:t>
      </w:r>
      <w:r>
        <w:rPr>
          <w:rFonts w:hint="eastAsia" w:ascii="仿宋_GB2312" w:hAnsi="仿宋" w:eastAsia="仿宋_GB2312" w:cs="仿宋"/>
          <w:bCs/>
          <w:sz w:val="32"/>
          <w:szCs w:val="32"/>
        </w:rPr>
        <w:t>年国有资本经营预算支出表</w:t>
      </w:r>
    </w:p>
    <w:p>
      <w:pPr>
        <w:pStyle w:val="4"/>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9.</w:t>
      </w:r>
      <w:r>
        <w:rPr>
          <w:rFonts w:hint="eastAsia" w:ascii="仿宋_GB2312" w:hAnsi="仿宋" w:eastAsia="仿宋_GB2312" w:cs="仿宋"/>
          <w:bCs/>
          <w:sz w:val="32"/>
          <w:szCs w:val="32"/>
          <w:lang w:eastAsia="zh-CN"/>
        </w:rPr>
        <w:t>淮南市食品药品检验中心2024</w:t>
      </w:r>
      <w:r>
        <w:rPr>
          <w:rFonts w:hint="eastAsia" w:ascii="仿宋_GB2312" w:hAnsi="仿宋" w:eastAsia="仿宋_GB2312" w:cs="仿宋"/>
          <w:bCs/>
          <w:sz w:val="32"/>
          <w:szCs w:val="32"/>
        </w:rPr>
        <w:t>年项目支出表</w:t>
      </w:r>
    </w:p>
    <w:p>
      <w:pPr>
        <w:pStyle w:val="4"/>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10.</w:t>
      </w:r>
      <w:r>
        <w:rPr>
          <w:rFonts w:hint="eastAsia" w:ascii="仿宋_GB2312" w:hAnsi="仿宋" w:eastAsia="仿宋_GB2312" w:cs="仿宋"/>
          <w:bCs/>
          <w:sz w:val="32"/>
          <w:szCs w:val="32"/>
          <w:lang w:eastAsia="zh-CN"/>
        </w:rPr>
        <w:t>淮南市食品药品检验中心2024</w:t>
      </w:r>
      <w:r>
        <w:rPr>
          <w:rFonts w:hint="eastAsia" w:ascii="仿宋_GB2312" w:hAnsi="仿宋" w:eastAsia="仿宋_GB2312" w:cs="仿宋"/>
          <w:bCs/>
          <w:sz w:val="32"/>
          <w:szCs w:val="32"/>
        </w:rPr>
        <w:t>年政府采购支出表</w:t>
      </w:r>
    </w:p>
    <w:p>
      <w:pPr>
        <w:pStyle w:val="4"/>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11.</w:t>
      </w:r>
      <w:r>
        <w:rPr>
          <w:rFonts w:hint="eastAsia" w:ascii="仿宋_GB2312" w:hAnsi="仿宋" w:eastAsia="仿宋_GB2312" w:cs="仿宋"/>
          <w:bCs/>
          <w:sz w:val="32"/>
          <w:szCs w:val="32"/>
          <w:lang w:eastAsia="zh-CN"/>
        </w:rPr>
        <w:t>淮南市食品药品检验中心2024</w:t>
      </w:r>
      <w:r>
        <w:rPr>
          <w:rFonts w:hint="eastAsia" w:ascii="仿宋_GB2312" w:hAnsi="仿宋" w:eastAsia="仿宋_GB2312" w:cs="仿宋"/>
          <w:bCs/>
          <w:sz w:val="32"/>
          <w:szCs w:val="32"/>
        </w:rPr>
        <w:t>年政府购买服务支出表</w:t>
      </w:r>
    </w:p>
    <w:p>
      <w:pPr>
        <w:pStyle w:val="4"/>
        <w:adjustRightInd w:val="0"/>
        <w:snapToGrid w:val="0"/>
        <w:spacing w:before="0" w:beforeAutospacing="0" w:after="0" w:afterAutospacing="0" w:line="500" w:lineRule="exact"/>
        <w:ind w:firstLine="643" w:firstLineChars="200"/>
        <w:rPr>
          <w:rFonts w:ascii="仿宋_GB2312" w:hAnsi="仿宋" w:eastAsia="仿宋_GB2312" w:cs="仿宋"/>
          <w:b/>
          <w:sz w:val="32"/>
          <w:szCs w:val="32"/>
        </w:rPr>
      </w:pPr>
      <w:r>
        <w:rPr>
          <w:rFonts w:hint="eastAsia" w:ascii="仿宋_GB2312" w:hAnsi="仿宋" w:eastAsia="仿宋_GB2312" w:cs="仿宋"/>
          <w:b/>
          <w:sz w:val="32"/>
          <w:szCs w:val="32"/>
        </w:rPr>
        <w:t>第三部分</w:t>
      </w:r>
      <w:r>
        <w:rPr>
          <w:rFonts w:ascii="仿宋_GB2312" w:hAnsi="仿宋" w:eastAsia="仿宋_GB2312" w:cs="仿宋"/>
          <w:b/>
          <w:sz w:val="32"/>
          <w:szCs w:val="32"/>
        </w:rPr>
        <w:t xml:space="preserve"> </w:t>
      </w:r>
      <w:r>
        <w:rPr>
          <w:rFonts w:hint="eastAsia" w:ascii="仿宋_GB2312" w:hAnsi="仿宋" w:eastAsia="仿宋_GB2312" w:cs="仿宋"/>
          <w:b/>
          <w:sz w:val="32"/>
          <w:szCs w:val="32"/>
          <w:lang w:eastAsia="zh-CN"/>
        </w:rPr>
        <w:t>2024</w:t>
      </w:r>
      <w:r>
        <w:rPr>
          <w:rFonts w:hint="eastAsia" w:ascii="仿宋_GB2312" w:hAnsi="仿宋" w:eastAsia="仿宋_GB2312" w:cs="仿宋"/>
          <w:b/>
          <w:sz w:val="32"/>
          <w:szCs w:val="32"/>
        </w:rPr>
        <w:t>年</w:t>
      </w:r>
      <w:r>
        <w:rPr>
          <w:rFonts w:hint="eastAsia" w:ascii="仿宋_GB2312" w:hAnsi="仿宋" w:eastAsia="仿宋_GB2312" w:cs="仿宋"/>
          <w:b/>
          <w:sz w:val="32"/>
          <w:szCs w:val="32"/>
          <w:u w:val="none"/>
        </w:rPr>
        <w:t>单位</w:t>
      </w:r>
      <w:r>
        <w:rPr>
          <w:rFonts w:hint="eastAsia" w:ascii="仿宋_GB2312" w:hAnsi="仿宋" w:eastAsia="仿宋_GB2312" w:cs="仿宋"/>
          <w:b/>
          <w:sz w:val="32"/>
          <w:szCs w:val="32"/>
        </w:rPr>
        <w:t>预算情况说明</w:t>
      </w:r>
    </w:p>
    <w:p>
      <w:pPr>
        <w:pStyle w:val="4"/>
        <w:adjustRightInd w:val="0"/>
        <w:snapToGrid w:val="0"/>
        <w:spacing w:before="0" w:beforeAutospacing="0" w:after="0" w:afterAutospacing="0" w:line="500" w:lineRule="exact"/>
        <w:ind w:firstLine="640" w:firstLineChars="200"/>
        <w:outlineLvl w:val="0"/>
        <w:rPr>
          <w:rFonts w:ascii="仿宋_GB2312" w:hAnsi="仿宋" w:eastAsia="仿宋_GB2312" w:cs="仿宋"/>
          <w:bCs/>
          <w:sz w:val="32"/>
          <w:szCs w:val="32"/>
        </w:rPr>
      </w:pPr>
      <w:r>
        <w:rPr>
          <w:rFonts w:ascii="仿宋_GB2312" w:hAnsi="仿宋" w:eastAsia="仿宋_GB2312" w:cs="仿宋"/>
          <w:bCs/>
          <w:sz w:val="32"/>
          <w:szCs w:val="32"/>
        </w:rPr>
        <w:t>1.</w:t>
      </w:r>
      <w:r>
        <w:rPr>
          <w:rFonts w:hint="eastAsia" w:ascii="仿宋_GB2312" w:hAnsi="仿宋" w:eastAsia="仿宋_GB2312" w:cs="仿宋"/>
          <w:bCs/>
          <w:sz w:val="32"/>
          <w:szCs w:val="32"/>
        </w:rPr>
        <w:t>关于</w:t>
      </w:r>
      <w:r>
        <w:rPr>
          <w:rFonts w:hint="eastAsia" w:ascii="仿宋_GB2312" w:hAnsi="仿宋" w:eastAsia="仿宋_GB2312" w:cs="仿宋"/>
          <w:bCs/>
          <w:sz w:val="32"/>
          <w:szCs w:val="32"/>
          <w:lang w:eastAsia="zh-CN"/>
        </w:rPr>
        <w:t>2024</w:t>
      </w:r>
      <w:r>
        <w:rPr>
          <w:rFonts w:hint="eastAsia" w:ascii="仿宋_GB2312" w:hAnsi="仿宋" w:eastAsia="仿宋_GB2312" w:cs="仿宋"/>
          <w:bCs/>
          <w:sz w:val="32"/>
          <w:szCs w:val="32"/>
        </w:rPr>
        <w:t>年收支总表的说明</w:t>
      </w:r>
    </w:p>
    <w:p>
      <w:pPr>
        <w:pStyle w:val="4"/>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2.</w:t>
      </w:r>
      <w:r>
        <w:rPr>
          <w:rFonts w:hint="eastAsia" w:ascii="仿宋_GB2312" w:hAnsi="仿宋" w:eastAsia="仿宋_GB2312" w:cs="仿宋"/>
          <w:bCs/>
          <w:sz w:val="32"/>
          <w:szCs w:val="32"/>
        </w:rPr>
        <w:t>关于</w:t>
      </w:r>
      <w:r>
        <w:rPr>
          <w:rFonts w:hint="eastAsia" w:ascii="仿宋_GB2312" w:hAnsi="仿宋" w:eastAsia="仿宋_GB2312" w:cs="仿宋"/>
          <w:bCs/>
          <w:sz w:val="32"/>
          <w:szCs w:val="32"/>
          <w:lang w:eastAsia="zh-CN"/>
        </w:rPr>
        <w:t>2024</w:t>
      </w:r>
      <w:r>
        <w:rPr>
          <w:rFonts w:hint="eastAsia" w:ascii="仿宋_GB2312" w:hAnsi="仿宋" w:eastAsia="仿宋_GB2312" w:cs="仿宋"/>
          <w:bCs/>
          <w:sz w:val="32"/>
          <w:szCs w:val="32"/>
        </w:rPr>
        <w:t>年收入总表的说明</w:t>
      </w:r>
    </w:p>
    <w:p>
      <w:pPr>
        <w:adjustRightInd w:val="0"/>
        <w:snapToGrid w:val="0"/>
        <w:spacing w:line="600" w:lineRule="exact"/>
        <w:ind w:firstLine="640" w:firstLineChars="200"/>
        <w:rPr>
          <w:rFonts w:ascii="仿宋_GB2312" w:hAnsi="仿宋" w:eastAsia="仿宋_GB2312" w:cs="仿宋"/>
          <w:bCs/>
          <w:kern w:val="0"/>
          <w:sz w:val="32"/>
          <w:szCs w:val="32"/>
        </w:rPr>
      </w:pPr>
      <w:r>
        <w:rPr>
          <w:rFonts w:ascii="仿宋_GB2312" w:hAnsi="仿宋" w:eastAsia="仿宋_GB2312" w:cs="仿宋"/>
          <w:bCs/>
          <w:kern w:val="0"/>
          <w:sz w:val="32"/>
          <w:szCs w:val="32"/>
        </w:rPr>
        <w:t>3.</w:t>
      </w:r>
      <w:r>
        <w:rPr>
          <w:rFonts w:hint="eastAsia" w:ascii="仿宋_GB2312" w:hAnsi="仿宋" w:eastAsia="仿宋_GB2312" w:cs="仿宋"/>
          <w:bCs/>
          <w:kern w:val="0"/>
          <w:sz w:val="32"/>
          <w:szCs w:val="32"/>
        </w:rPr>
        <w:t>关于</w:t>
      </w:r>
      <w:r>
        <w:rPr>
          <w:rFonts w:hint="eastAsia" w:ascii="仿宋_GB2312" w:hAnsi="仿宋" w:eastAsia="仿宋_GB2312" w:cs="仿宋"/>
          <w:bCs/>
          <w:kern w:val="0"/>
          <w:sz w:val="32"/>
          <w:szCs w:val="32"/>
          <w:lang w:eastAsia="zh-CN"/>
        </w:rPr>
        <w:t>2024</w:t>
      </w:r>
      <w:r>
        <w:rPr>
          <w:rFonts w:hint="eastAsia" w:ascii="仿宋_GB2312" w:hAnsi="仿宋" w:eastAsia="仿宋_GB2312" w:cs="仿宋"/>
          <w:bCs/>
          <w:kern w:val="0"/>
          <w:sz w:val="32"/>
          <w:szCs w:val="32"/>
        </w:rPr>
        <w:t>年支出总表的说明</w:t>
      </w:r>
    </w:p>
    <w:p>
      <w:pPr>
        <w:pStyle w:val="4"/>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4.</w:t>
      </w:r>
      <w:r>
        <w:rPr>
          <w:rFonts w:hint="eastAsia" w:ascii="仿宋_GB2312" w:hAnsi="仿宋" w:eastAsia="仿宋_GB2312" w:cs="仿宋"/>
          <w:bCs/>
          <w:sz w:val="32"/>
          <w:szCs w:val="32"/>
        </w:rPr>
        <w:t>关于</w:t>
      </w:r>
      <w:r>
        <w:rPr>
          <w:rFonts w:hint="eastAsia" w:ascii="仿宋_GB2312" w:hAnsi="仿宋" w:eastAsia="仿宋_GB2312" w:cs="仿宋"/>
          <w:bCs/>
          <w:sz w:val="32"/>
          <w:szCs w:val="32"/>
          <w:lang w:eastAsia="zh-CN"/>
        </w:rPr>
        <w:t>2024</w:t>
      </w:r>
      <w:r>
        <w:rPr>
          <w:rFonts w:hint="eastAsia" w:ascii="仿宋_GB2312" w:hAnsi="仿宋" w:eastAsia="仿宋_GB2312" w:cs="仿宋"/>
          <w:bCs/>
          <w:sz w:val="32"/>
          <w:szCs w:val="32"/>
        </w:rPr>
        <w:t>年财政拨款收支总表的说明</w:t>
      </w:r>
    </w:p>
    <w:p>
      <w:pPr>
        <w:pStyle w:val="4"/>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5.</w:t>
      </w:r>
      <w:r>
        <w:rPr>
          <w:rFonts w:hint="eastAsia" w:ascii="仿宋_GB2312" w:hAnsi="仿宋" w:eastAsia="仿宋_GB2312" w:cs="仿宋"/>
          <w:bCs/>
          <w:sz w:val="32"/>
          <w:szCs w:val="32"/>
        </w:rPr>
        <w:t>关于</w:t>
      </w:r>
      <w:r>
        <w:rPr>
          <w:rFonts w:hint="eastAsia" w:ascii="仿宋_GB2312" w:hAnsi="仿宋" w:eastAsia="仿宋_GB2312" w:cs="仿宋"/>
          <w:bCs/>
          <w:sz w:val="32"/>
          <w:szCs w:val="32"/>
          <w:lang w:eastAsia="zh-CN"/>
        </w:rPr>
        <w:t>2024</w:t>
      </w:r>
      <w:r>
        <w:rPr>
          <w:rFonts w:hint="eastAsia" w:ascii="仿宋_GB2312" w:hAnsi="仿宋" w:eastAsia="仿宋_GB2312" w:cs="仿宋"/>
          <w:bCs/>
          <w:sz w:val="32"/>
          <w:szCs w:val="32"/>
        </w:rPr>
        <w:t>年一般公共预算支出表的说明</w:t>
      </w:r>
    </w:p>
    <w:p>
      <w:pPr>
        <w:pStyle w:val="4"/>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6.</w:t>
      </w:r>
      <w:r>
        <w:rPr>
          <w:rFonts w:hint="eastAsia" w:ascii="仿宋_GB2312" w:hAnsi="仿宋" w:eastAsia="仿宋_GB2312" w:cs="仿宋"/>
          <w:bCs/>
          <w:sz w:val="32"/>
          <w:szCs w:val="32"/>
        </w:rPr>
        <w:t>关于</w:t>
      </w:r>
      <w:r>
        <w:rPr>
          <w:rFonts w:hint="eastAsia" w:ascii="仿宋_GB2312" w:hAnsi="仿宋" w:eastAsia="仿宋_GB2312" w:cs="仿宋"/>
          <w:bCs/>
          <w:sz w:val="32"/>
          <w:szCs w:val="32"/>
          <w:lang w:eastAsia="zh-CN"/>
        </w:rPr>
        <w:t>2024</w:t>
      </w:r>
      <w:r>
        <w:rPr>
          <w:rFonts w:hint="eastAsia" w:ascii="仿宋_GB2312" w:hAnsi="仿宋" w:eastAsia="仿宋_GB2312" w:cs="仿宋"/>
          <w:bCs/>
          <w:sz w:val="32"/>
          <w:szCs w:val="32"/>
        </w:rPr>
        <w:t>年一般公共预算基本支出表的说明</w:t>
      </w:r>
    </w:p>
    <w:p>
      <w:pPr>
        <w:pStyle w:val="4"/>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7.</w:t>
      </w:r>
      <w:r>
        <w:rPr>
          <w:rFonts w:hint="eastAsia" w:ascii="仿宋_GB2312" w:hAnsi="仿宋" w:eastAsia="仿宋_GB2312" w:cs="仿宋"/>
          <w:bCs/>
          <w:sz w:val="32"/>
          <w:szCs w:val="32"/>
        </w:rPr>
        <w:t>关于</w:t>
      </w:r>
      <w:r>
        <w:rPr>
          <w:rFonts w:hint="eastAsia" w:ascii="仿宋_GB2312" w:hAnsi="仿宋" w:eastAsia="仿宋_GB2312" w:cs="仿宋"/>
          <w:bCs/>
          <w:sz w:val="32"/>
          <w:szCs w:val="32"/>
          <w:lang w:eastAsia="zh-CN"/>
        </w:rPr>
        <w:t>2024</w:t>
      </w:r>
      <w:r>
        <w:rPr>
          <w:rFonts w:hint="eastAsia" w:ascii="仿宋_GB2312" w:hAnsi="仿宋" w:eastAsia="仿宋_GB2312" w:cs="仿宋"/>
          <w:bCs/>
          <w:sz w:val="32"/>
          <w:szCs w:val="32"/>
        </w:rPr>
        <w:t>年政府性基金预算支出表的说明</w:t>
      </w:r>
    </w:p>
    <w:p>
      <w:pPr>
        <w:pStyle w:val="4"/>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8.</w:t>
      </w:r>
      <w:r>
        <w:rPr>
          <w:rFonts w:hint="eastAsia" w:ascii="仿宋_GB2312" w:hAnsi="仿宋" w:eastAsia="仿宋_GB2312" w:cs="仿宋"/>
          <w:bCs/>
          <w:sz w:val="32"/>
          <w:szCs w:val="32"/>
        </w:rPr>
        <w:t>关于</w:t>
      </w:r>
      <w:r>
        <w:rPr>
          <w:rFonts w:hint="eastAsia" w:ascii="仿宋_GB2312" w:hAnsi="仿宋" w:eastAsia="仿宋_GB2312" w:cs="仿宋"/>
          <w:bCs/>
          <w:sz w:val="32"/>
          <w:szCs w:val="32"/>
          <w:lang w:eastAsia="zh-CN"/>
        </w:rPr>
        <w:t>2024</w:t>
      </w:r>
      <w:r>
        <w:rPr>
          <w:rFonts w:hint="eastAsia" w:ascii="仿宋_GB2312" w:hAnsi="仿宋" w:eastAsia="仿宋_GB2312" w:cs="仿宋"/>
          <w:bCs/>
          <w:sz w:val="32"/>
          <w:szCs w:val="32"/>
        </w:rPr>
        <w:t>年国有资本经营预算支出表的说明</w:t>
      </w:r>
    </w:p>
    <w:p>
      <w:pPr>
        <w:pStyle w:val="4"/>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9.</w:t>
      </w:r>
      <w:r>
        <w:rPr>
          <w:rFonts w:hint="eastAsia" w:ascii="仿宋_GB2312" w:hAnsi="仿宋" w:eastAsia="仿宋_GB2312" w:cs="仿宋"/>
          <w:bCs/>
          <w:sz w:val="32"/>
          <w:szCs w:val="32"/>
        </w:rPr>
        <w:t>关于</w:t>
      </w:r>
      <w:r>
        <w:rPr>
          <w:rFonts w:hint="eastAsia" w:ascii="仿宋_GB2312" w:hAnsi="仿宋" w:eastAsia="仿宋_GB2312" w:cs="仿宋"/>
          <w:bCs/>
          <w:sz w:val="32"/>
          <w:szCs w:val="32"/>
          <w:lang w:eastAsia="zh-CN"/>
        </w:rPr>
        <w:t>2024</w:t>
      </w:r>
      <w:r>
        <w:rPr>
          <w:rFonts w:hint="eastAsia" w:ascii="仿宋_GB2312" w:hAnsi="仿宋" w:eastAsia="仿宋_GB2312" w:cs="仿宋"/>
          <w:bCs/>
          <w:sz w:val="32"/>
          <w:szCs w:val="32"/>
        </w:rPr>
        <w:t>年项目支出表的说明</w:t>
      </w:r>
    </w:p>
    <w:p>
      <w:pPr>
        <w:pStyle w:val="4"/>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10.</w:t>
      </w:r>
      <w:r>
        <w:rPr>
          <w:rFonts w:hint="eastAsia" w:ascii="仿宋_GB2312" w:hAnsi="仿宋" w:eastAsia="仿宋_GB2312" w:cs="仿宋"/>
          <w:bCs/>
          <w:sz w:val="32"/>
          <w:szCs w:val="32"/>
        </w:rPr>
        <w:t>关于</w:t>
      </w:r>
      <w:r>
        <w:rPr>
          <w:rFonts w:hint="eastAsia" w:ascii="仿宋_GB2312" w:hAnsi="仿宋" w:eastAsia="仿宋_GB2312" w:cs="仿宋"/>
          <w:bCs/>
          <w:sz w:val="32"/>
          <w:szCs w:val="32"/>
          <w:lang w:eastAsia="zh-CN"/>
        </w:rPr>
        <w:t>2024</w:t>
      </w:r>
      <w:r>
        <w:rPr>
          <w:rFonts w:hint="eastAsia" w:ascii="仿宋_GB2312" w:hAnsi="仿宋" w:eastAsia="仿宋_GB2312" w:cs="仿宋"/>
          <w:bCs/>
          <w:sz w:val="32"/>
          <w:szCs w:val="32"/>
        </w:rPr>
        <w:t>年政府采购支出表的说明</w:t>
      </w:r>
    </w:p>
    <w:p>
      <w:pPr>
        <w:pStyle w:val="4"/>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11.</w:t>
      </w:r>
      <w:r>
        <w:rPr>
          <w:rFonts w:hint="eastAsia" w:ascii="仿宋_GB2312" w:hAnsi="仿宋" w:eastAsia="仿宋_GB2312" w:cs="仿宋"/>
          <w:bCs/>
          <w:sz w:val="32"/>
          <w:szCs w:val="32"/>
        </w:rPr>
        <w:t>关于</w:t>
      </w:r>
      <w:r>
        <w:rPr>
          <w:rFonts w:hint="eastAsia" w:ascii="仿宋_GB2312" w:hAnsi="仿宋" w:eastAsia="仿宋_GB2312" w:cs="仿宋"/>
          <w:bCs/>
          <w:sz w:val="32"/>
          <w:szCs w:val="32"/>
          <w:lang w:eastAsia="zh-CN"/>
        </w:rPr>
        <w:t>2024</w:t>
      </w:r>
      <w:r>
        <w:rPr>
          <w:rFonts w:hint="eastAsia" w:ascii="仿宋_GB2312" w:hAnsi="仿宋" w:eastAsia="仿宋_GB2312" w:cs="仿宋"/>
          <w:bCs/>
          <w:sz w:val="32"/>
          <w:szCs w:val="32"/>
        </w:rPr>
        <w:t>年政府购买服务支出表的说明</w:t>
      </w:r>
    </w:p>
    <w:p>
      <w:pPr>
        <w:pStyle w:val="4"/>
        <w:adjustRightInd w:val="0"/>
        <w:snapToGrid w:val="0"/>
        <w:spacing w:before="0" w:beforeAutospacing="0" w:after="0" w:afterAutospacing="0" w:line="500" w:lineRule="exact"/>
        <w:ind w:firstLine="640" w:firstLineChars="200"/>
        <w:rPr>
          <w:rFonts w:ascii="仿宋_GB2312" w:hAnsi="仿宋" w:eastAsia="仿宋_GB2312" w:cs="仿宋"/>
          <w:bCs/>
          <w:sz w:val="32"/>
          <w:szCs w:val="32"/>
        </w:rPr>
      </w:pPr>
      <w:r>
        <w:rPr>
          <w:rFonts w:ascii="仿宋_GB2312" w:hAnsi="仿宋" w:eastAsia="仿宋_GB2312" w:cs="仿宋"/>
          <w:bCs/>
          <w:sz w:val="32"/>
          <w:szCs w:val="32"/>
        </w:rPr>
        <w:t>12.</w:t>
      </w:r>
      <w:r>
        <w:rPr>
          <w:rFonts w:hint="eastAsia" w:ascii="仿宋_GB2312" w:hAnsi="仿宋" w:eastAsia="仿宋_GB2312" w:cs="仿宋"/>
          <w:bCs/>
          <w:sz w:val="32"/>
          <w:szCs w:val="32"/>
        </w:rPr>
        <w:t>其他重要事项情况说明</w:t>
      </w:r>
    </w:p>
    <w:p>
      <w:pPr>
        <w:pStyle w:val="4"/>
        <w:adjustRightInd w:val="0"/>
        <w:snapToGrid w:val="0"/>
        <w:spacing w:before="0" w:beforeAutospacing="0" w:after="0" w:afterAutospacing="0" w:line="500" w:lineRule="exact"/>
        <w:ind w:firstLine="643" w:firstLineChars="200"/>
        <w:rPr>
          <w:rFonts w:ascii="仿宋_GB2312" w:hAnsi="仿宋" w:eastAsia="仿宋_GB2312" w:cs="仿宋"/>
          <w:b/>
          <w:sz w:val="32"/>
          <w:szCs w:val="32"/>
        </w:rPr>
      </w:pPr>
      <w:r>
        <w:rPr>
          <w:rFonts w:hint="eastAsia" w:ascii="仿宋_GB2312" w:hAnsi="仿宋" w:eastAsia="仿宋_GB2312" w:cs="仿宋"/>
          <w:b/>
          <w:sz w:val="32"/>
          <w:szCs w:val="32"/>
        </w:rPr>
        <w:t>第四部分</w:t>
      </w:r>
      <w:r>
        <w:rPr>
          <w:rFonts w:ascii="仿宋_GB2312" w:hAnsi="仿宋" w:eastAsia="仿宋_GB2312" w:cs="仿宋"/>
          <w:b/>
          <w:sz w:val="32"/>
          <w:szCs w:val="32"/>
        </w:rPr>
        <w:t xml:space="preserve"> </w:t>
      </w:r>
      <w:r>
        <w:rPr>
          <w:rFonts w:hint="eastAsia" w:ascii="仿宋_GB2312" w:hAnsi="仿宋" w:eastAsia="仿宋_GB2312" w:cs="仿宋"/>
          <w:b/>
          <w:sz w:val="32"/>
          <w:szCs w:val="32"/>
        </w:rPr>
        <w:t>名词解释</w:t>
      </w:r>
    </w:p>
    <w:p>
      <w:pPr>
        <w:pStyle w:val="4"/>
        <w:adjustRightInd w:val="0"/>
        <w:snapToGrid w:val="0"/>
        <w:spacing w:before="0" w:beforeAutospacing="0" w:after="0" w:afterAutospacing="0" w:line="500" w:lineRule="exact"/>
        <w:rPr>
          <w:rFonts w:ascii="仿宋_GB2312" w:hAnsi="仿宋" w:eastAsia="仿宋_GB2312" w:cs="仿宋"/>
          <w:b/>
          <w:sz w:val="32"/>
          <w:szCs w:val="32"/>
        </w:rPr>
      </w:pPr>
    </w:p>
    <w:p>
      <w:pPr>
        <w:pStyle w:val="4"/>
        <w:adjustRightInd w:val="0"/>
        <w:snapToGrid w:val="0"/>
        <w:spacing w:before="0" w:beforeAutospacing="0" w:after="0" w:afterAutospacing="0" w:line="360" w:lineRule="auto"/>
        <w:jc w:val="center"/>
        <w:rPr>
          <w:rFonts w:ascii="黑体" w:hAnsi="黑体" w:eastAsia="黑体"/>
          <w:bCs/>
          <w:sz w:val="36"/>
          <w:szCs w:val="36"/>
        </w:rPr>
      </w:pPr>
      <w:r>
        <w:rPr>
          <w:rFonts w:hint="eastAsia" w:ascii="黑体" w:hAnsi="黑体" w:eastAsia="黑体"/>
          <w:bCs/>
          <w:sz w:val="36"/>
          <w:szCs w:val="36"/>
        </w:rPr>
        <w:t>第一部分</w:t>
      </w:r>
      <w:r>
        <w:rPr>
          <w:rFonts w:ascii="黑体" w:hAnsi="黑体" w:eastAsia="黑体"/>
          <w:bCs/>
          <w:sz w:val="36"/>
          <w:szCs w:val="36"/>
        </w:rPr>
        <w:t xml:space="preserve"> </w:t>
      </w:r>
      <w:r>
        <w:rPr>
          <w:rFonts w:hint="eastAsia" w:ascii="黑体" w:hAnsi="黑体" w:eastAsia="黑体"/>
          <w:bCs/>
          <w:sz w:val="36"/>
          <w:szCs w:val="36"/>
          <w:u w:val="none"/>
        </w:rPr>
        <w:t>单位</w:t>
      </w:r>
      <w:r>
        <w:rPr>
          <w:rFonts w:hint="eastAsia" w:ascii="黑体" w:hAnsi="黑体" w:eastAsia="黑体"/>
          <w:bCs/>
          <w:sz w:val="36"/>
          <w:szCs w:val="36"/>
        </w:rPr>
        <w:t>概况</w:t>
      </w:r>
    </w:p>
    <w:p>
      <w:pPr>
        <w:pStyle w:val="4"/>
        <w:adjustRightInd w:val="0"/>
        <w:snapToGrid w:val="0"/>
        <w:spacing w:before="0" w:beforeAutospacing="0" w:after="0" w:afterAutospacing="0" w:line="360" w:lineRule="auto"/>
        <w:ind w:firstLine="627" w:firstLineChars="196"/>
        <w:jc w:val="both"/>
      </w:pPr>
      <w:r>
        <w:rPr>
          <w:rFonts w:hint="eastAsia" w:ascii="黑体" w:hAnsi="黑体" w:eastAsia="黑体"/>
          <w:bCs/>
          <w:sz w:val="32"/>
          <w:szCs w:val="32"/>
        </w:rPr>
        <w:t>一、主要职责</w:t>
      </w:r>
    </w:p>
    <w:p>
      <w:pPr>
        <w:pStyle w:val="4"/>
        <w:adjustRightInd w:val="0"/>
        <w:snapToGrid w:val="0"/>
        <w:spacing w:before="0" w:beforeAutospacing="0" w:after="0" w:afterAutospacing="0" w:line="600" w:lineRule="exact"/>
        <w:ind w:firstLine="480" w:firstLineChars="150"/>
        <w:outlineLvl w:val="0"/>
        <w:rPr>
          <w:rFonts w:hint="eastAsia" w:ascii="仿宋" w:hAnsi="仿宋" w:eastAsia="仿宋" w:cs="宋体"/>
          <w:kern w:val="0"/>
          <w:sz w:val="32"/>
          <w:szCs w:val="32"/>
          <w:lang w:val="en-US" w:eastAsia="zh-CN" w:bidi="ar-SA"/>
        </w:rPr>
      </w:pPr>
      <w:r>
        <w:rPr>
          <w:rFonts w:hint="eastAsia" w:ascii="仿宋" w:hAnsi="仿宋" w:eastAsia="仿宋" w:cs="宋体"/>
          <w:kern w:val="0"/>
          <w:sz w:val="32"/>
          <w:szCs w:val="32"/>
          <w:lang w:val="en-US" w:eastAsia="zh-CN" w:bidi="ar-SA"/>
        </w:rPr>
        <w:t>负责对全市食品（含保健食品）、药品、化妆品、药包材和医疗器械的生产、经营和使用实施技术监督，承担相关产品的监督抽验、委托检验任务以及全市药品、化妆品不良反应、医疗器械不良事件及药物滥用监测工作，为行政监督提供技术支撑。</w:t>
      </w:r>
    </w:p>
    <w:p>
      <w:pPr>
        <w:pStyle w:val="4"/>
        <w:numPr>
          <w:ilvl w:val="0"/>
          <w:numId w:val="1"/>
        </w:numPr>
        <w:adjustRightInd w:val="0"/>
        <w:snapToGrid w:val="0"/>
        <w:spacing w:before="0" w:beforeAutospacing="0" w:after="0" w:afterAutospacing="0" w:line="360" w:lineRule="auto"/>
        <w:ind w:firstLine="627" w:firstLineChars="196"/>
        <w:jc w:val="both"/>
        <w:rPr>
          <w:rFonts w:ascii="黑体" w:hAnsi="黑体" w:eastAsia="黑体"/>
          <w:bCs/>
          <w:sz w:val="32"/>
          <w:szCs w:val="32"/>
        </w:rPr>
      </w:pPr>
      <w:r>
        <w:rPr>
          <w:rFonts w:hint="eastAsia" w:ascii="黑体" w:hAnsi="黑体" w:eastAsia="黑体"/>
          <w:bCs/>
          <w:sz w:val="32"/>
          <w:szCs w:val="32"/>
          <w:u w:val="none"/>
        </w:rPr>
        <w:t>单位</w:t>
      </w:r>
      <w:r>
        <w:rPr>
          <w:rFonts w:hint="eastAsia" w:ascii="黑体" w:hAnsi="黑体" w:eastAsia="黑体"/>
          <w:bCs/>
          <w:sz w:val="32"/>
          <w:szCs w:val="32"/>
        </w:rPr>
        <w:t>预算构成</w:t>
      </w:r>
    </w:p>
    <w:p>
      <w:pPr>
        <w:pStyle w:val="4"/>
        <w:adjustRightInd w:val="0"/>
        <w:snapToGrid w:val="0"/>
        <w:spacing w:before="0" w:beforeAutospacing="0" w:after="0" w:afterAutospacing="0" w:line="600" w:lineRule="exact"/>
        <w:ind w:firstLine="480" w:firstLineChars="150"/>
        <w:outlineLvl w:val="0"/>
        <w:rPr>
          <w:rFonts w:ascii="仿宋_GB2312" w:hAnsi="仿宋" w:eastAsia="仿宋_GB2312" w:cs="仿宋"/>
          <w:bCs/>
          <w:sz w:val="32"/>
          <w:szCs w:val="32"/>
        </w:rPr>
      </w:pPr>
      <w:r>
        <w:rPr>
          <w:rFonts w:hint="eastAsia" w:ascii="仿宋" w:hAnsi="仿宋" w:eastAsia="仿宋" w:cs="宋体"/>
          <w:kern w:val="0"/>
          <w:sz w:val="32"/>
          <w:szCs w:val="32"/>
          <w:lang w:val="en-US" w:eastAsia="zh-CN" w:bidi="ar-SA"/>
        </w:rPr>
        <w:t>淮南市食品药品检验中心</w:t>
      </w:r>
      <w:r>
        <w:rPr>
          <w:rFonts w:hint="eastAsia" w:ascii="仿宋_GB2312" w:hAnsi="仿宋" w:eastAsia="仿宋_GB2312" w:cs="仿宋"/>
          <w:bCs/>
          <w:sz w:val="32"/>
          <w:szCs w:val="32"/>
          <w:lang w:eastAsia="zh-CN"/>
        </w:rPr>
        <w:t>2024</w:t>
      </w:r>
      <w:r>
        <w:rPr>
          <w:rFonts w:hint="eastAsia" w:ascii="仿宋_GB2312" w:hAnsi="仿宋" w:eastAsia="仿宋_GB2312" w:cs="仿宋"/>
          <w:bCs/>
          <w:sz w:val="32"/>
          <w:szCs w:val="32"/>
        </w:rPr>
        <w:t>年度单位预算仅包括单位本级预算，无其他下属单位预算。</w:t>
      </w:r>
    </w:p>
    <w:p>
      <w:pPr>
        <w:pStyle w:val="4"/>
        <w:adjustRightInd w:val="0"/>
        <w:snapToGrid w:val="0"/>
        <w:spacing w:before="0" w:beforeAutospacing="0" w:after="0" w:afterAutospacing="0" w:line="600" w:lineRule="exact"/>
        <w:ind w:firstLine="480" w:firstLineChars="150"/>
        <w:outlineLvl w:val="0"/>
        <w:rPr>
          <w:rFonts w:ascii="黑体" w:hAnsi="黑体" w:eastAsia="黑体"/>
          <w:bCs/>
          <w:sz w:val="32"/>
          <w:szCs w:val="32"/>
        </w:rPr>
      </w:pPr>
      <w:r>
        <w:rPr>
          <w:rFonts w:hint="eastAsia" w:ascii="黑体" w:hAnsi="黑体" w:eastAsia="黑体"/>
          <w:bCs/>
          <w:sz w:val="32"/>
          <w:szCs w:val="32"/>
        </w:rPr>
        <w:t>三、</w:t>
      </w:r>
      <w:r>
        <w:rPr>
          <w:rFonts w:hint="eastAsia" w:ascii="黑体" w:hAnsi="黑体" w:eastAsia="黑体"/>
          <w:bCs/>
          <w:sz w:val="32"/>
          <w:szCs w:val="32"/>
          <w:lang w:eastAsia="zh-CN"/>
        </w:rPr>
        <w:t>2024</w:t>
      </w:r>
      <w:r>
        <w:rPr>
          <w:rFonts w:hint="eastAsia" w:ascii="黑体" w:hAnsi="黑体" w:eastAsia="黑体"/>
          <w:bCs/>
          <w:sz w:val="32"/>
          <w:szCs w:val="32"/>
        </w:rPr>
        <w:t>年度主要工作任务</w:t>
      </w:r>
    </w:p>
    <w:p>
      <w:pPr>
        <w:pStyle w:val="4"/>
        <w:adjustRightInd w:val="0"/>
        <w:snapToGrid w:val="0"/>
        <w:spacing w:before="0" w:beforeAutospacing="0" w:after="0" w:afterAutospacing="0" w:line="600" w:lineRule="exact"/>
        <w:ind w:firstLine="480" w:firstLineChars="150"/>
        <w:outlineLvl w:val="0"/>
        <w:rPr>
          <w:rFonts w:hint="eastAsia" w:ascii="仿宋" w:hAnsi="仿宋" w:eastAsia="仿宋" w:cs="宋体"/>
          <w:kern w:val="0"/>
          <w:sz w:val="32"/>
          <w:szCs w:val="32"/>
          <w:lang w:val="en-US" w:eastAsia="zh-CN" w:bidi="ar-SA"/>
        </w:rPr>
      </w:pPr>
      <w:r>
        <w:rPr>
          <w:rFonts w:hint="eastAsia" w:ascii="仿宋" w:hAnsi="仿宋" w:eastAsia="仿宋" w:cs="宋体"/>
          <w:kern w:val="0"/>
          <w:sz w:val="32"/>
          <w:szCs w:val="32"/>
          <w:lang w:val="en-US" w:eastAsia="zh-CN" w:bidi="ar-SA"/>
        </w:rPr>
        <w:t>（一）扎实开展主题教育，认真学习贯彻党的二十大精神和习近平总书记系列重要</w:t>
      </w:r>
      <w:bookmarkStart w:id="0" w:name="_GoBack"/>
      <w:bookmarkEnd w:id="0"/>
      <w:r>
        <w:rPr>
          <w:rFonts w:hint="eastAsia" w:ascii="仿宋" w:hAnsi="仿宋" w:eastAsia="仿宋" w:cs="宋体"/>
          <w:kern w:val="0"/>
          <w:sz w:val="32"/>
          <w:szCs w:val="32"/>
          <w:lang w:val="en-US" w:eastAsia="zh-CN" w:bidi="ar-SA"/>
        </w:rPr>
        <w:t>讲话精神，深入学习贯彻党章党规，充分发挥党建引领作用，带动抽样、检验、监测等各项工作顺利开展，保证完成各项考核指标。</w:t>
      </w:r>
    </w:p>
    <w:p>
      <w:pPr>
        <w:pStyle w:val="4"/>
        <w:adjustRightInd w:val="0"/>
        <w:snapToGrid w:val="0"/>
        <w:spacing w:before="0" w:beforeAutospacing="0" w:after="0" w:afterAutospacing="0" w:line="600" w:lineRule="exact"/>
        <w:ind w:firstLine="480" w:firstLineChars="150"/>
        <w:outlineLvl w:val="0"/>
        <w:rPr>
          <w:rFonts w:hint="eastAsia" w:ascii="仿宋" w:hAnsi="仿宋" w:eastAsia="仿宋" w:cs="宋体"/>
          <w:kern w:val="0"/>
          <w:sz w:val="32"/>
          <w:szCs w:val="32"/>
          <w:lang w:val="en-US" w:eastAsia="zh-CN" w:bidi="ar-SA"/>
        </w:rPr>
      </w:pPr>
      <w:r>
        <w:rPr>
          <w:rFonts w:hint="eastAsia" w:ascii="仿宋" w:hAnsi="仿宋" w:eastAsia="仿宋" w:cs="宋体"/>
          <w:kern w:val="0"/>
          <w:sz w:val="32"/>
          <w:szCs w:val="32"/>
          <w:lang w:val="en-US" w:eastAsia="zh-CN" w:bidi="ar-SA"/>
        </w:rPr>
        <w:t>（二）全力以赴做好实验室资质认定复评审准备和申报工作，保证按时顺利通过实验室资质认定复评审。进一步完善质量管理体系，规范检验行为，保证检验数据和结论科学准确、客观公正。</w:t>
      </w:r>
    </w:p>
    <w:p>
      <w:pPr>
        <w:pStyle w:val="4"/>
        <w:adjustRightInd w:val="0"/>
        <w:snapToGrid w:val="0"/>
        <w:spacing w:before="0" w:beforeAutospacing="0" w:after="0" w:afterAutospacing="0" w:line="600" w:lineRule="exact"/>
        <w:ind w:firstLine="480" w:firstLineChars="150"/>
        <w:outlineLvl w:val="0"/>
        <w:rPr>
          <w:rFonts w:hint="eastAsia" w:ascii="仿宋" w:hAnsi="仿宋" w:eastAsia="仿宋" w:cs="宋体"/>
          <w:kern w:val="0"/>
          <w:sz w:val="32"/>
          <w:szCs w:val="32"/>
          <w:lang w:val="en-US" w:eastAsia="zh-CN" w:bidi="ar-SA"/>
        </w:rPr>
      </w:pPr>
      <w:r>
        <w:rPr>
          <w:rFonts w:hint="eastAsia" w:ascii="仿宋" w:hAnsi="仿宋" w:eastAsia="仿宋" w:cs="宋体"/>
          <w:kern w:val="0"/>
          <w:sz w:val="32"/>
          <w:szCs w:val="32"/>
          <w:lang w:val="en-US" w:eastAsia="zh-CN" w:bidi="ar-SA"/>
        </w:rPr>
        <w:t>（三）积极争取各方支持，对标对表，补缺补差，基本完成药品检验能力达标建设，争取通过药品检验能力达标建设验收。</w:t>
      </w:r>
    </w:p>
    <w:p>
      <w:pPr>
        <w:pStyle w:val="4"/>
        <w:adjustRightInd w:val="0"/>
        <w:snapToGrid w:val="0"/>
        <w:spacing w:before="0" w:beforeAutospacing="0" w:after="0" w:afterAutospacing="0" w:line="600" w:lineRule="exact"/>
        <w:ind w:firstLine="480" w:firstLineChars="150"/>
        <w:outlineLvl w:val="0"/>
        <w:rPr>
          <w:rFonts w:hint="eastAsia" w:ascii="仿宋" w:hAnsi="仿宋" w:eastAsia="仿宋" w:cs="宋体"/>
          <w:kern w:val="0"/>
          <w:sz w:val="32"/>
          <w:szCs w:val="32"/>
          <w:lang w:val="en-US" w:eastAsia="zh-CN" w:bidi="ar-SA"/>
        </w:rPr>
      </w:pPr>
      <w:r>
        <w:rPr>
          <w:rFonts w:hint="eastAsia" w:ascii="仿宋" w:hAnsi="仿宋" w:eastAsia="仿宋" w:cs="宋体"/>
          <w:kern w:val="0"/>
          <w:sz w:val="32"/>
          <w:szCs w:val="32"/>
          <w:lang w:val="en-US" w:eastAsia="zh-CN" w:bidi="ar-SA"/>
        </w:rPr>
        <w:t>（四）围绕食品药品技术监督职能，充分发挥技术支撑作用，牢固树立全局一盘棋思想，积极配合省局、市局开展相关技术监督工作，加强对县所、药品生产企业和药化械监测哨点单位的技术指导和业务培训。</w:t>
      </w:r>
    </w:p>
    <w:p>
      <w:pPr>
        <w:pStyle w:val="4"/>
        <w:adjustRightInd w:val="0"/>
        <w:snapToGrid w:val="0"/>
        <w:spacing w:before="0" w:beforeAutospacing="0" w:after="0" w:afterAutospacing="0" w:line="600" w:lineRule="exact"/>
        <w:ind w:firstLine="480" w:firstLineChars="150"/>
        <w:outlineLvl w:val="0"/>
        <w:rPr>
          <w:rFonts w:hint="eastAsia" w:ascii="仿宋" w:hAnsi="仿宋" w:eastAsia="仿宋" w:cs="宋体"/>
          <w:kern w:val="0"/>
          <w:sz w:val="32"/>
          <w:szCs w:val="32"/>
          <w:lang w:val="en-US" w:eastAsia="zh-CN" w:bidi="ar-SA"/>
        </w:rPr>
      </w:pPr>
      <w:r>
        <w:rPr>
          <w:rFonts w:hint="eastAsia" w:ascii="仿宋" w:hAnsi="仿宋" w:eastAsia="仿宋" w:cs="宋体"/>
          <w:kern w:val="0"/>
          <w:sz w:val="32"/>
          <w:szCs w:val="32"/>
          <w:lang w:val="en-US" w:eastAsia="zh-CN" w:bidi="ar-SA"/>
        </w:rPr>
        <w:t>（五）坚持问题导向，提高抽验水平、抽验品种、获证检验参数、补充检验方法涉及检验项目的覆盖率，提高仪器设备配置率和使用率，提高问题发现率。</w:t>
      </w:r>
    </w:p>
    <w:p>
      <w:pPr>
        <w:pStyle w:val="4"/>
        <w:adjustRightInd w:val="0"/>
        <w:snapToGrid w:val="0"/>
        <w:spacing w:before="0" w:beforeAutospacing="0" w:after="0" w:afterAutospacing="0" w:line="600" w:lineRule="exact"/>
        <w:ind w:firstLine="320" w:firstLineChars="100"/>
        <w:outlineLvl w:val="0"/>
        <w:rPr>
          <w:rFonts w:hint="eastAsia" w:ascii="仿宋" w:hAnsi="仿宋" w:eastAsia="仿宋" w:cs="宋体"/>
          <w:kern w:val="0"/>
          <w:sz w:val="32"/>
          <w:szCs w:val="32"/>
          <w:lang w:val="en-US" w:eastAsia="zh-CN" w:bidi="ar-SA"/>
        </w:rPr>
      </w:pPr>
      <w:r>
        <w:rPr>
          <w:rFonts w:hint="eastAsia" w:ascii="仿宋" w:hAnsi="仿宋" w:eastAsia="仿宋" w:cs="宋体"/>
          <w:kern w:val="0"/>
          <w:sz w:val="32"/>
          <w:szCs w:val="32"/>
          <w:lang w:val="en-US" w:eastAsia="zh-CN" w:bidi="ar-SA"/>
        </w:rPr>
        <w:t xml:space="preserve"> （六）进一步加强实验室规范化管理，开展内审、管理评审和各种质量监督活动，积极参加上级组织的能力验证活动，加强业务培训，规范检验行为，提高检验质量。</w:t>
      </w:r>
    </w:p>
    <w:p>
      <w:pPr>
        <w:pStyle w:val="4"/>
        <w:adjustRightInd w:val="0"/>
        <w:snapToGrid w:val="0"/>
        <w:spacing w:before="0" w:beforeAutospacing="0" w:after="0" w:afterAutospacing="0" w:line="600" w:lineRule="exact"/>
        <w:ind w:firstLine="480" w:firstLineChars="150"/>
        <w:outlineLvl w:val="0"/>
        <w:rPr>
          <w:rFonts w:hint="eastAsia" w:ascii="仿宋" w:hAnsi="仿宋" w:eastAsia="仿宋" w:cs="宋体"/>
          <w:kern w:val="0"/>
          <w:sz w:val="32"/>
          <w:szCs w:val="32"/>
          <w:lang w:val="en-US" w:eastAsia="zh-CN" w:bidi="ar-SA"/>
        </w:rPr>
      </w:pPr>
      <w:r>
        <w:rPr>
          <w:rFonts w:hint="eastAsia" w:ascii="仿宋" w:hAnsi="仿宋" w:eastAsia="仿宋" w:cs="宋体"/>
          <w:kern w:val="0"/>
          <w:sz w:val="32"/>
          <w:szCs w:val="32"/>
          <w:lang w:val="en-US" w:eastAsia="zh-CN" w:bidi="ar-SA"/>
        </w:rPr>
        <w:t>（七）增强安全意识，健全落实安全制度，加强实验室安全管理、培训、日常检查和应急演练，及时消除安全隐患，保证生命、财产安全。</w:t>
      </w:r>
    </w:p>
    <w:p>
      <w:pPr>
        <w:pStyle w:val="4"/>
        <w:adjustRightInd w:val="0"/>
        <w:snapToGrid w:val="0"/>
        <w:spacing w:before="0" w:beforeAutospacing="0" w:after="0" w:afterAutospacing="0" w:line="600" w:lineRule="exact"/>
        <w:ind w:firstLine="480" w:firstLineChars="150"/>
        <w:outlineLvl w:val="0"/>
        <w:rPr>
          <w:rFonts w:hint="eastAsia" w:ascii="仿宋" w:hAnsi="仿宋" w:eastAsia="仿宋" w:cs="宋体"/>
          <w:kern w:val="0"/>
          <w:sz w:val="32"/>
          <w:szCs w:val="32"/>
          <w:lang w:val="en-US" w:eastAsia="zh-CN" w:bidi="ar-SA"/>
        </w:rPr>
      </w:pPr>
      <w:r>
        <w:rPr>
          <w:rFonts w:hint="eastAsia" w:ascii="仿宋" w:hAnsi="仿宋" w:eastAsia="仿宋" w:cs="宋体"/>
          <w:kern w:val="0"/>
          <w:sz w:val="32"/>
          <w:szCs w:val="32"/>
          <w:lang w:val="en-US" w:eastAsia="zh-CN" w:bidi="ar-SA"/>
        </w:rPr>
        <w:t>（八）充分发挥省级博士后科研工作站带动作用，不断提升科研能力，加强中药标本室建设和食药检验科研工作。</w:t>
      </w:r>
    </w:p>
    <w:p>
      <w:pPr>
        <w:pStyle w:val="4"/>
        <w:adjustRightInd w:val="0"/>
        <w:snapToGrid w:val="0"/>
        <w:spacing w:before="0" w:beforeAutospacing="0" w:after="0" w:afterAutospacing="0" w:line="600" w:lineRule="exact"/>
        <w:ind w:firstLine="480" w:firstLineChars="150"/>
        <w:outlineLvl w:val="0"/>
        <w:rPr>
          <w:rFonts w:hint="eastAsia" w:ascii="仿宋" w:hAnsi="仿宋" w:eastAsia="仿宋" w:cs="宋体"/>
          <w:kern w:val="0"/>
          <w:sz w:val="32"/>
          <w:szCs w:val="32"/>
          <w:lang w:val="en-US" w:eastAsia="zh-CN" w:bidi="ar-SA"/>
        </w:rPr>
      </w:pPr>
      <w:r>
        <w:rPr>
          <w:rFonts w:hint="eastAsia" w:ascii="仿宋" w:hAnsi="仿宋" w:eastAsia="仿宋" w:cs="宋体"/>
          <w:kern w:val="0"/>
          <w:sz w:val="32"/>
          <w:szCs w:val="32"/>
          <w:lang w:val="en-US" w:eastAsia="zh-CN" w:bidi="ar-SA"/>
        </w:rPr>
        <w:t>（九）认真贯彻民主集中制原则，落实“三重一大”集体研究决策制度，规范财务管理和资金使用，加强党务政务公开，加强廉政教育和反腐倡廉教育，确保干部队伍清正廉洁。</w:t>
      </w:r>
    </w:p>
    <w:p>
      <w:pPr>
        <w:pStyle w:val="4"/>
        <w:adjustRightInd w:val="0"/>
        <w:snapToGrid w:val="0"/>
        <w:spacing w:before="0" w:beforeAutospacing="0" w:after="0" w:afterAutospacing="0" w:line="600" w:lineRule="exact"/>
        <w:ind w:firstLine="480" w:firstLineChars="150"/>
        <w:outlineLvl w:val="0"/>
        <w:rPr>
          <w:rFonts w:hint="eastAsia" w:ascii="仿宋" w:hAnsi="仿宋" w:eastAsia="仿宋" w:cs="宋体"/>
          <w:kern w:val="0"/>
          <w:sz w:val="32"/>
          <w:szCs w:val="32"/>
          <w:lang w:val="en-US" w:eastAsia="zh-CN" w:bidi="ar-SA"/>
        </w:rPr>
      </w:pPr>
      <w:r>
        <w:rPr>
          <w:rFonts w:hint="eastAsia" w:ascii="仿宋" w:hAnsi="仿宋" w:eastAsia="仿宋" w:cs="宋体"/>
          <w:kern w:val="0"/>
          <w:sz w:val="32"/>
          <w:szCs w:val="32"/>
          <w:lang w:val="en-US" w:eastAsia="zh-CN" w:bidi="ar-SA"/>
        </w:rPr>
        <w:t>（十）巩固“安徽省第十三届文明单位”、“淮南市第二十届文明单位”创建成果，以创建带动单位整体管理水平上台阶。</w:t>
      </w:r>
    </w:p>
    <w:p>
      <w:pPr>
        <w:pStyle w:val="4"/>
        <w:adjustRightInd w:val="0"/>
        <w:snapToGrid w:val="0"/>
        <w:spacing w:before="0" w:beforeAutospacing="0" w:after="0" w:afterAutospacing="0" w:line="600" w:lineRule="exact"/>
        <w:ind w:firstLine="480" w:firstLineChars="150"/>
        <w:outlineLvl w:val="0"/>
        <w:rPr>
          <w:rFonts w:hint="eastAsia" w:ascii="仿宋" w:hAnsi="仿宋" w:eastAsia="仿宋" w:cs="宋体"/>
          <w:kern w:val="0"/>
          <w:sz w:val="32"/>
          <w:szCs w:val="32"/>
          <w:lang w:val="en-US" w:eastAsia="zh-CN" w:bidi="ar-SA"/>
        </w:rPr>
      </w:pPr>
    </w:p>
    <w:p>
      <w:pPr>
        <w:pStyle w:val="4"/>
        <w:adjustRightInd w:val="0"/>
        <w:snapToGrid w:val="0"/>
        <w:spacing w:before="0" w:beforeAutospacing="0" w:after="0" w:afterAutospacing="0" w:line="600" w:lineRule="exact"/>
        <w:ind w:firstLine="480" w:firstLineChars="150"/>
        <w:outlineLvl w:val="0"/>
        <w:rPr>
          <w:rFonts w:hint="eastAsia" w:ascii="仿宋" w:hAnsi="仿宋" w:eastAsia="仿宋" w:cs="宋体"/>
          <w:kern w:val="0"/>
          <w:sz w:val="32"/>
          <w:szCs w:val="32"/>
          <w:lang w:val="en-US" w:eastAsia="zh-CN" w:bidi="ar-SA"/>
        </w:rPr>
      </w:pPr>
    </w:p>
    <w:p>
      <w:pPr>
        <w:pStyle w:val="4"/>
        <w:adjustRightInd w:val="0"/>
        <w:snapToGrid w:val="0"/>
        <w:spacing w:before="0" w:beforeAutospacing="0" w:after="0" w:afterAutospacing="0" w:line="600" w:lineRule="exact"/>
        <w:ind w:firstLine="480" w:firstLineChars="150"/>
        <w:outlineLvl w:val="0"/>
        <w:rPr>
          <w:rFonts w:hint="eastAsia" w:ascii="仿宋" w:hAnsi="仿宋" w:eastAsia="仿宋" w:cs="宋体"/>
          <w:kern w:val="0"/>
          <w:sz w:val="32"/>
          <w:szCs w:val="32"/>
          <w:lang w:val="en-US" w:eastAsia="zh-CN" w:bidi="ar-SA"/>
        </w:rPr>
      </w:pPr>
    </w:p>
    <w:p>
      <w:pPr>
        <w:pStyle w:val="4"/>
        <w:adjustRightInd w:val="0"/>
        <w:snapToGrid w:val="0"/>
        <w:spacing w:before="0" w:beforeAutospacing="0" w:after="0" w:afterAutospacing="0" w:line="600" w:lineRule="exact"/>
        <w:ind w:firstLine="480" w:firstLineChars="150"/>
        <w:outlineLvl w:val="0"/>
        <w:rPr>
          <w:rFonts w:hint="eastAsia" w:ascii="仿宋" w:hAnsi="仿宋" w:eastAsia="仿宋" w:cs="宋体"/>
          <w:kern w:val="0"/>
          <w:sz w:val="32"/>
          <w:szCs w:val="32"/>
          <w:lang w:val="en-US" w:eastAsia="zh-CN" w:bidi="ar-SA"/>
        </w:rPr>
      </w:pPr>
    </w:p>
    <w:p>
      <w:pPr>
        <w:pStyle w:val="4"/>
        <w:adjustRightInd w:val="0"/>
        <w:snapToGrid w:val="0"/>
        <w:spacing w:before="0" w:beforeAutospacing="0" w:after="0" w:afterAutospacing="0" w:line="600" w:lineRule="exact"/>
        <w:ind w:firstLine="480" w:firstLineChars="150"/>
        <w:outlineLvl w:val="0"/>
        <w:rPr>
          <w:rFonts w:hint="eastAsia" w:ascii="仿宋" w:hAnsi="仿宋" w:eastAsia="仿宋" w:cs="宋体"/>
          <w:kern w:val="0"/>
          <w:sz w:val="32"/>
          <w:szCs w:val="32"/>
          <w:lang w:val="en-US" w:eastAsia="zh-CN" w:bidi="ar-SA"/>
        </w:rPr>
      </w:pPr>
    </w:p>
    <w:p>
      <w:pPr>
        <w:pStyle w:val="4"/>
        <w:numPr>
          <w:ilvl w:val="0"/>
          <w:numId w:val="2"/>
        </w:numPr>
        <w:adjustRightInd w:val="0"/>
        <w:snapToGrid w:val="0"/>
        <w:spacing w:before="0" w:beforeAutospacing="0" w:after="0" w:afterAutospacing="0" w:line="360" w:lineRule="auto"/>
        <w:jc w:val="center"/>
        <w:rPr>
          <w:rFonts w:hint="default" w:ascii="TimesNewRoman" w:hAnsi="TimesNewRoman" w:eastAsia="黑体" w:cs="TimesNewRoman"/>
          <w:bCs/>
          <w:color w:val="000000"/>
          <w:sz w:val="36"/>
          <w:szCs w:val="36"/>
        </w:rPr>
      </w:pPr>
      <w:r>
        <w:rPr>
          <w:rFonts w:hint="eastAsia" w:ascii="黑体" w:hAnsi="黑体" w:eastAsia="黑体"/>
          <w:bCs/>
          <w:sz w:val="36"/>
          <w:szCs w:val="36"/>
          <w:lang w:eastAsia="zh-CN"/>
        </w:rPr>
        <w:t>2024</w:t>
      </w:r>
      <w:r>
        <w:rPr>
          <w:rFonts w:hint="eastAsia" w:ascii="黑体" w:hAnsi="黑体" w:eastAsia="黑体"/>
          <w:bCs/>
          <w:sz w:val="36"/>
          <w:szCs w:val="36"/>
        </w:rPr>
        <w:t>年</w:t>
      </w:r>
      <w:r>
        <w:rPr>
          <w:rFonts w:hint="eastAsia" w:ascii="黑体" w:hAnsi="黑体" w:eastAsia="黑体"/>
          <w:bCs/>
          <w:sz w:val="36"/>
          <w:szCs w:val="36"/>
          <w:u w:val="none"/>
        </w:rPr>
        <w:t>单位</w:t>
      </w:r>
      <w:r>
        <w:rPr>
          <w:rFonts w:hint="eastAsia" w:ascii="黑体" w:hAnsi="黑体" w:eastAsia="黑体"/>
          <w:bCs/>
          <w:sz w:val="36"/>
          <w:szCs w:val="36"/>
        </w:rPr>
        <w:t>预算表</w:t>
      </w:r>
    </w:p>
    <w:p>
      <w:pPr>
        <w:keepNext w:val="0"/>
        <w:keepLines w:val="0"/>
        <w:pageBreakBefore w:val="0"/>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w:t>
      </w:r>
      <w:r>
        <w:rPr>
          <w:rFonts w:hint="eastAsia" w:ascii="TimesNewRoman" w:hAnsi="TimesNewRoman" w:cs="TimesNewRoman"/>
          <w:color w:val="000000"/>
          <w:kern w:val="0"/>
          <w:sz w:val="20"/>
          <w:lang w:val="en-US" w:eastAsia="zh-CN"/>
        </w:rPr>
        <w:t xml:space="preserve"> </w:t>
      </w:r>
      <w:r>
        <w:rPr>
          <w:rFonts w:hint="default" w:ascii="TimesNewRoman" w:hAnsi="TimesNewRoman" w:cs="TimesNewRoman"/>
          <w:color w:val="000000"/>
          <w:kern w:val="0"/>
          <w:sz w:val="20"/>
        </w:rPr>
        <w:t xml:space="preserve">  </w:t>
      </w:r>
      <w:r>
        <w:rPr>
          <w:rFonts w:hint="eastAsia" w:ascii="TimesNewRoman" w:hAnsi="TimesNewRoman" w:cs="TimesNewRoman"/>
          <w:color w:val="000000"/>
          <w:kern w:val="0"/>
          <w:sz w:val="20"/>
          <w:lang w:eastAsia="zh-CN"/>
        </w:rPr>
        <w:t>单位公开表</w:t>
      </w:r>
      <w:r>
        <w:rPr>
          <w:rFonts w:hint="default" w:ascii="TimesNewRoman" w:hAnsi="TimesNewRoman" w:cs="TimesNewRoman"/>
          <w:color w:val="000000"/>
          <w:kern w:val="0"/>
          <w:sz w:val="20"/>
        </w:rPr>
        <w:t>1</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rPr>
          <w:rFonts w:hint="default" w:ascii="TimesNewRoman" w:hAnsi="TimesNewRoman" w:eastAsia="华文中宋" w:cs="TimesNewRoman"/>
          <w:b/>
          <w:bCs/>
          <w:color w:val="000000"/>
          <w:kern w:val="0"/>
          <w:szCs w:val="32"/>
        </w:rPr>
      </w:pPr>
      <w:r>
        <w:rPr>
          <w:rFonts w:hint="eastAsia" w:ascii="TimesNewRoman" w:hAnsi="TimesNewRoman" w:eastAsia="华文中宋" w:cs="TimesNewRoman"/>
          <w:b/>
          <w:bCs/>
          <w:color w:val="000000"/>
          <w:kern w:val="0"/>
          <w:szCs w:val="32"/>
          <w:lang w:eastAsia="zh-CN"/>
        </w:rPr>
        <w:t>淮南市食品药品检验中心</w:t>
      </w:r>
      <w:r>
        <w:rPr>
          <w:rFonts w:hint="default" w:ascii="TimesNewRoman" w:hAnsi="TimesNewRoman" w:eastAsia="华文中宋" w:cs="TimesNewRoman"/>
          <w:b/>
          <w:bCs/>
          <w:color w:val="000000"/>
          <w:kern w:val="0"/>
          <w:szCs w:val="32"/>
          <w:lang w:val="en"/>
        </w:rPr>
        <w:t>2024</w:t>
      </w:r>
      <w:r>
        <w:rPr>
          <w:rFonts w:hint="default" w:ascii="TimesNewRoman" w:hAnsi="TimesNewRoman" w:eastAsia="华文中宋" w:cs="TimesNewRoman"/>
          <w:b/>
          <w:bCs/>
          <w:color w:val="000000"/>
          <w:kern w:val="0"/>
          <w:szCs w:val="32"/>
        </w:rPr>
        <w:t>年收支总表</w:t>
      </w:r>
    </w:p>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单位：万元</w:t>
      </w:r>
    </w:p>
    <w:tbl>
      <w:tblPr>
        <w:tblStyle w:val="5"/>
        <w:tblW w:w="8460" w:type="dxa"/>
        <w:tblInd w:w="0" w:type="dxa"/>
        <w:tblLayout w:type="fixed"/>
        <w:tblCellMar>
          <w:top w:w="0" w:type="dxa"/>
          <w:left w:w="108" w:type="dxa"/>
          <w:bottom w:w="0" w:type="dxa"/>
          <w:right w:w="108" w:type="dxa"/>
        </w:tblCellMar>
      </w:tblPr>
      <w:tblGrid>
        <w:gridCol w:w="3422"/>
        <w:gridCol w:w="998"/>
        <w:gridCol w:w="3184"/>
        <w:gridCol w:w="856"/>
      </w:tblGrid>
      <w:tr>
        <w:tblPrEx>
          <w:tblCellMar>
            <w:top w:w="0" w:type="dxa"/>
            <w:left w:w="108" w:type="dxa"/>
            <w:bottom w:w="0" w:type="dxa"/>
            <w:right w:w="108" w:type="dxa"/>
          </w:tblCellMar>
        </w:tblPrEx>
        <w:trPr>
          <w:trHeight w:val="240" w:hRule="atLeast"/>
        </w:trPr>
        <w:tc>
          <w:tcPr>
            <w:tcW w:w="442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收            入</w:t>
            </w:r>
          </w:p>
        </w:tc>
        <w:tc>
          <w:tcPr>
            <w:tcW w:w="4040"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支          出</w:t>
            </w: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收 入 项 目</w:t>
            </w:r>
          </w:p>
        </w:tc>
        <w:tc>
          <w:tcPr>
            <w:tcW w:w="998" w:type="dxa"/>
            <w:tcBorders>
              <w:top w:val="nil"/>
              <w:left w:val="nil"/>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预算数</w:t>
            </w:r>
          </w:p>
        </w:tc>
        <w:tc>
          <w:tcPr>
            <w:tcW w:w="3184"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支出功能分类科目</w:t>
            </w:r>
          </w:p>
        </w:tc>
        <w:tc>
          <w:tcPr>
            <w:tcW w:w="856" w:type="dxa"/>
            <w:tcBorders>
              <w:top w:val="nil"/>
              <w:left w:val="nil"/>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预算数</w:t>
            </w: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一、一般公共预算拨款收入</w:t>
            </w:r>
          </w:p>
        </w:tc>
        <w:tc>
          <w:tcPr>
            <w:tcW w:w="9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rPr>
            </w:pPr>
            <w:r>
              <w:rPr>
                <w:rFonts w:hint="eastAsia" w:ascii="宋体" w:hAnsi="宋体" w:eastAsia="宋体" w:cs="宋体"/>
                <w:i w:val="0"/>
                <w:iCs w:val="0"/>
                <w:color w:val="000000"/>
                <w:kern w:val="0"/>
                <w:sz w:val="20"/>
                <w:szCs w:val="20"/>
                <w:u w:val="none"/>
                <w:lang w:val="en-US" w:eastAsia="zh-CN" w:bidi="ar"/>
              </w:rPr>
              <w:t>798.06</w:t>
            </w:r>
          </w:p>
        </w:tc>
        <w:tc>
          <w:tcPr>
            <w:tcW w:w="3184" w:type="dxa"/>
            <w:tcBorders>
              <w:top w:val="nil"/>
              <w:left w:val="nil"/>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一、一般公共服务支出</w:t>
            </w:r>
          </w:p>
        </w:tc>
        <w:tc>
          <w:tcPr>
            <w:tcW w:w="856" w:type="dxa"/>
            <w:tcBorders>
              <w:top w:val="single" w:color="auto" w:sz="4" w:space="0"/>
              <w:left w:val="single" w:color="auto" w:sz="4" w:space="0"/>
              <w:bottom w:val="nil"/>
              <w:right w:val="single" w:color="auto" w:sz="4" w:space="0"/>
            </w:tcBorders>
            <w:noWrap w:val="0"/>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653.43</w:t>
            </w: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其中：中央转移支付收入</w:t>
            </w:r>
          </w:p>
        </w:tc>
        <w:tc>
          <w:tcPr>
            <w:tcW w:w="998"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rPr>
            </w:pPr>
            <w:r>
              <w:rPr>
                <w:rFonts w:hint="eastAsia" w:ascii="宋体" w:hAnsi="宋体" w:eastAsia="宋体" w:cs="宋体"/>
                <w:i w:val="0"/>
                <w:iCs w:val="0"/>
                <w:color w:val="000000"/>
                <w:kern w:val="0"/>
                <w:sz w:val="20"/>
                <w:szCs w:val="20"/>
                <w:u w:val="none"/>
                <w:lang w:val="en-US" w:eastAsia="zh-CN" w:bidi="ar"/>
              </w:rPr>
              <w:t>211.20</w:t>
            </w:r>
          </w:p>
        </w:tc>
        <w:tc>
          <w:tcPr>
            <w:tcW w:w="3184" w:type="dxa"/>
            <w:tcBorders>
              <w:top w:val="nil"/>
              <w:left w:val="nil"/>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二、外交支出</w:t>
            </w:r>
          </w:p>
        </w:tc>
        <w:tc>
          <w:tcPr>
            <w:tcW w:w="856" w:type="dxa"/>
            <w:tcBorders>
              <w:top w:val="single" w:color="auto" w:sz="4" w:space="0"/>
              <w:left w:val="single" w:color="auto" w:sz="4" w:space="0"/>
              <w:bottom w:val="nil"/>
              <w:right w:val="single" w:color="auto" w:sz="4" w:space="0"/>
            </w:tcBorders>
            <w:noWrap w:val="0"/>
            <w:vAlign w:val="center"/>
          </w:tcPr>
          <w:p>
            <w:pPr>
              <w:jc w:val="right"/>
              <w:rPr>
                <w:rFonts w:hint="default" w:ascii="TimesNewRoman" w:hAnsi="TimesNewRoman" w:cs="TimesNewRoman"/>
                <w:color w:val="000000"/>
                <w:kern w:val="0"/>
                <w:sz w:val="20"/>
              </w:rPr>
            </w:pP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99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nil"/>
              <w:left w:val="nil"/>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三、国防支出</w:t>
            </w:r>
          </w:p>
        </w:tc>
        <w:tc>
          <w:tcPr>
            <w:tcW w:w="856" w:type="dxa"/>
            <w:tcBorders>
              <w:top w:val="single" w:color="auto" w:sz="4" w:space="0"/>
              <w:left w:val="single" w:color="auto" w:sz="4" w:space="0"/>
              <w:bottom w:val="nil"/>
              <w:right w:val="single" w:color="auto" w:sz="4" w:space="0"/>
            </w:tcBorders>
            <w:noWrap w:val="0"/>
            <w:vAlign w:val="center"/>
          </w:tcPr>
          <w:p>
            <w:pPr>
              <w:jc w:val="right"/>
              <w:rPr>
                <w:rFonts w:hint="default" w:ascii="TimesNewRoman" w:hAnsi="TimesNewRoman" w:cs="TimesNewRoman"/>
                <w:color w:val="000000"/>
                <w:kern w:val="0"/>
                <w:sz w:val="20"/>
              </w:rPr>
            </w:pP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二、政府性基金预算拨款收入</w:t>
            </w:r>
          </w:p>
        </w:tc>
        <w:tc>
          <w:tcPr>
            <w:tcW w:w="99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nil"/>
              <w:left w:val="nil"/>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四、公共安全支出</w:t>
            </w:r>
          </w:p>
        </w:tc>
        <w:tc>
          <w:tcPr>
            <w:tcW w:w="856" w:type="dxa"/>
            <w:tcBorders>
              <w:top w:val="single" w:color="auto" w:sz="4" w:space="0"/>
              <w:left w:val="single" w:color="auto" w:sz="4" w:space="0"/>
              <w:bottom w:val="nil"/>
              <w:right w:val="single" w:color="auto" w:sz="4" w:space="0"/>
            </w:tcBorders>
            <w:noWrap w:val="0"/>
            <w:vAlign w:val="center"/>
          </w:tcPr>
          <w:p>
            <w:pPr>
              <w:jc w:val="right"/>
              <w:rPr>
                <w:rFonts w:hint="default" w:ascii="TimesNewRoman" w:hAnsi="TimesNewRoman" w:cs="TimesNewRoman"/>
                <w:color w:val="000000"/>
                <w:kern w:val="0"/>
                <w:sz w:val="20"/>
              </w:rPr>
            </w:pP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其中：中央转移支付收入</w:t>
            </w:r>
          </w:p>
        </w:tc>
        <w:tc>
          <w:tcPr>
            <w:tcW w:w="99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nil"/>
              <w:left w:val="nil"/>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五、教育支出</w:t>
            </w:r>
          </w:p>
        </w:tc>
        <w:tc>
          <w:tcPr>
            <w:tcW w:w="856" w:type="dxa"/>
            <w:tcBorders>
              <w:top w:val="single" w:color="auto" w:sz="4" w:space="0"/>
              <w:left w:val="single" w:color="auto" w:sz="4" w:space="0"/>
              <w:bottom w:val="nil"/>
              <w:right w:val="single" w:color="auto" w:sz="4" w:space="0"/>
            </w:tcBorders>
            <w:noWrap w:val="0"/>
            <w:vAlign w:val="center"/>
          </w:tcPr>
          <w:p>
            <w:pPr>
              <w:jc w:val="right"/>
              <w:rPr>
                <w:rFonts w:hint="default" w:ascii="TimesNewRoman" w:hAnsi="TimesNewRoman" w:cs="TimesNewRoman"/>
                <w:color w:val="000000"/>
                <w:kern w:val="0"/>
                <w:sz w:val="20"/>
              </w:rPr>
            </w:pP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99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nil"/>
              <w:left w:val="nil"/>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六、科学技术支出</w:t>
            </w:r>
          </w:p>
        </w:tc>
        <w:tc>
          <w:tcPr>
            <w:tcW w:w="856" w:type="dxa"/>
            <w:tcBorders>
              <w:top w:val="single" w:color="auto" w:sz="4" w:space="0"/>
              <w:left w:val="single" w:color="auto" w:sz="4" w:space="0"/>
              <w:bottom w:val="nil"/>
              <w:right w:val="single" w:color="auto" w:sz="4" w:space="0"/>
            </w:tcBorders>
            <w:noWrap w:val="0"/>
            <w:vAlign w:val="center"/>
          </w:tcPr>
          <w:p>
            <w:pPr>
              <w:jc w:val="right"/>
              <w:rPr>
                <w:rFonts w:hint="default" w:ascii="TimesNewRoman" w:hAnsi="TimesNewRoman" w:cs="TimesNewRoman"/>
                <w:color w:val="000000"/>
                <w:kern w:val="0"/>
                <w:sz w:val="20"/>
              </w:rPr>
            </w:pP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rPr>
                <w:rFonts w:hint="default" w:ascii="TimesNewRoman" w:hAnsi="TimesNewRoman" w:cs="TimesNewRoman"/>
                <w:color w:val="000000"/>
                <w:kern w:val="0"/>
                <w:sz w:val="18"/>
                <w:szCs w:val="18"/>
              </w:rPr>
            </w:pPr>
            <w:r>
              <w:rPr>
                <w:rFonts w:hint="default" w:ascii="TimesNewRoman" w:hAnsi="TimesNewRoman" w:cs="TimesNewRoman"/>
                <w:color w:val="000000"/>
                <w:kern w:val="0"/>
                <w:sz w:val="20"/>
              </w:rPr>
              <w:t>三、国有资本经营预算拨款收入</w:t>
            </w:r>
          </w:p>
        </w:tc>
        <w:tc>
          <w:tcPr>
            <w:tcW w:w="99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nil"/>
              <w:left w:val="nil"/>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七、文化旅游体育与传媒支出</w:t>
            </w:r>
          </w:p>
        </w:tc>
        <w:tc>
          <w:tcPr>
            <w:tcW w:w="856" w:type="dxa"/>
            <w:tcBorders>
              <w:top w:val="single" w:color="auto" w:sz="4" w:space="0"/>
              <w:left w:val="single" w:color="auto" w:sz="4" w:space="0"/>
              <w:bottom w:val="nil"/>
              <w:right w:val="single" w:color="auto" w:sz="4" w:space="0"/>
            </w:tcBorders>
            <w:noWrap w:val="0"/>
            <w:vAlign w:val="center"/>
          </w:tcPr>
          <w:p>
            <w:pPr>
              <w:jc w:val="right"/>
              <w:rPr>
                <w:rFonts w:hint="default" w:ascii="TimesNewRoman" w:hAnsi="TimesNewRoman" w:cs="TimesNewRoman"/>
                <w:color w:val="000000"/>
                <w:kern w:val="0"/>
                <w:sz w:val="20"/>
              </w:rPr>
            </w:pP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其中：中央转移支付收入</w:t>
            </w:r>
          </w:p>
        </w:tc>
        <w:tc>
          <w:tcPr>
            <w:tcW w:w="99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nil"/>
              <w:left w:val="nil"/>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八、社会保障和就业支出</w:t>
            </w:r>
          </w:p>
        </w:tc>
        <w:tc>
          <w:tcPr>
            <w:tcW w:w="856" w:type="dxa"/>
            <w:tcBorders>
              <w:top w:val="single" w:color="auto" w:sz="4" w:space="0"/>
              <w:left w:val="single" w:color="auto" w:sz="4" w:space="0"/>
              <w:bottom w:val="nil"/>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rPr>
            </w:pPr>
            <w:r>
              <w:rPr>
                <w:rFonts w:hint="eastAsia" w:ascii="宋体" w:hAnsi="宋体" w:eastAsia="宋体" w:cs="宋体"/>
                <w:i w:val="0"/>
                <w:iCs w:val="0"/>
                <w:color w:val="000000"/>
                <w:kern w:val="0"/>
                <w:sz w:val="20"/>
                <w:szCs w:val="20"/>
                <w:u w:val="none"/>
                <w:lang w:val="en-US" w:eastAsia="zh-CN" w:bidi="ar"/>
              </w:rPr>
              <w:t>71.57</w:t>
            </w: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99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nil"/>
              <w:left w:val="nil"/>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九、卫生健康支出</w:t>
            </w:r>
          </w:p>
        </w:tc>
        <w:tc>
          <w:tcPr>
            <w:tcW w:w="856" w:type="dxa"/>
            <w:tcBorders>
              <w:top w:val="single" w:color="auto" w:sz="4" w:space="0"/>
              <w:left w:val="single" w:color="auto" w:sz="4" w:space="0"/>
              <w:bottom w:val="nil"/>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rPr>
            </w:pPr>
            <w:r>
              <w:rPr>
                <w:rFonts w:hint="eastAsia" w:ascii="宋体" w:hAnsi="宋体" w:eastAsia="宋体" w:cs="宋体"/>
                <w:i w:val="0"/>
                <w:iCs w:val="0"/>
                <w:color w:val="000000"/>
                <w:kern w:val="0"/>
                <w:sz w:val="20"/>
                <w:szCs w:val="20"/>
                <w:u w:val="none"/>
                <w:lang w:val="en-US" w:eastAsia="zh-CN" w:bidi="ar"/>
              </w:rPr>
              <w:t>14.85</w:t>
            </w: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四、财政专户管理资金收入</w:t>
            </w:r>
          </w:p>
        </w:tc>
        <w:tc>
          <w:tcPr>
            <w:tcW w:w="99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nil"/>
              <w:left w:val="nil"/>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十、节能环保支出</w:t>
            </w:r>
          </w:p>
        </w:tc>
        <w:tc>
          <w:tcPr>
            <w:tcW w:w="856" w:type="dxa"/>
            <w:tcBorders>
              <w:top w:val="single" w:color="auto" w:sz="4" w:space="0"/>
              <w:left w:val="single" w:color="auto" w:sz="4" w:space="0"/>
              <w:bottom w:val="nil"/>
              <w:right w:val="single" w:color="auto" w:sz="4" w:space="0"/>
            </w:tcBorders>
            <w:noWrap w:val="0"/>
            <w:vAlign w:val="center"/>
          </w:tcPr>
          <w:p>
            <w:pPr>
              <w:jc w:val="right"/>
              <w:rPr>
                <w:rFonts w:hint="default" w:ascii="TimesNewRoman" w:hAnsi="TimesNewRoman" w:cs="TimesNewRoman"/>
                <w:color w:val="000000"/>
                <w:kern w:val="0"/>
                <w:sz w:val="20"/>
              </w:rPr>
            </w:pP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99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nil"/>
              <w:left w:val="nil"/>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十一、城乡社区支出</w:t>
            </w:r>
          </w:p>
        </w:tc>
        <w:tc>
          <w:tcPr>
            <w:tcW w:w="856" w:type="dxa"/>
            <w:tcBorders>
              <w:top w:val="single" w:color="auto" w:sz="4" w:space="0"/>
              <w:left w:val="single" w:color="auto" w:sz="4" w:space="0"/>
              <w:bottom w:val="nil"/>
              <w:right w:val="single" w:color="auto" w:sz="4" w:space="0"/>
            </w:tcBorders>
            <w:noWrap w:val="0"/>
            <w:vAlign w:val="center"/>
          </w:tcPr>
          <w:p>
            <w:pPr>
              <w:jc w:val="right"/>
              <w:rPr>
                <w:rFonts w:hint="default" w:ascii="TimesNewRoman" w:hAnsi="TimesNewRoman" w:cs="TimesNewRoman"/>
                <w:color w:val="000000"/>
                <w:kern w:val="0"/>
                <w:sz w:val="20"/>
              </w:rPr>
            </w:pP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五、单位资金收入</w:t>
            </w:r>
          </w:p>
        </w:tc>
        <w:tc>
          <w:tcPr>
            <w:tcW w:w="99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nil"/>
              <w:left w:val="nil"/>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十二、农林水支出</w:t>
            </w:r>
          </w:p>
        </w:tc>
        <w:tc>
          <w:tcPr>
            <w:tcW w:w="856" w:type="dxa"/>
            <w:tcBorders>
              <w:top w:val="single" w:color="auto" w:sz="4" w:space="0"/>
              <w:left w:val="single" w:color="auto" w:sz="4" w:space="0"/>
              <w:bottom w:val="nil"/>
              <w:right w:val="single" w:color="auto" w:sz="4" w:space="0"/>
            </w:tcBorders>
            <w:noWrap w:val="0"/>
            <w:vAlign w:val="center"/>
          </w:tcPr>
          <w:p>
            <w:pPr>
              <w:jc w:val="right"/>
              <w:rPr>
                <w:rFonts w:hint="default" w:ascii="TimesNewRoman" w:hAnsi="TimesNewRoman" w:cs="TimesNewRoman"/>
                <w:color w:val="000000"/>
                <w:kern w:val="0"/>
                <w:sz w:val="20"/>
              </w:rPr>
            </w:pP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其中：事业收入</w:t>
            </w:r>
          </w:p>
        </w:tc>
        <w:tc>
          <w:tcPr>
            <w:tcW w:w="99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nil"/>
              <w:left w:val="nil"/>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十三、交通运输支出</w:t>
            </w:r>
          </w:p>
        </w:tc>
        <w:tc>
          <w:tcPr>
            <w:tcW w:w="856" w:type="dxa"/>
            <w:tcBorders>
              <w:top w:val="single" w:color="auto" w:sz="4" w:space="0"/>
              <w:left w:val="single" w:color="auto" w:sz="4" w:space="0"/>
              <w:bottom w:val="nil"/>
              <w:right w:val="single" w:color="auto" w:sz="4" w:space="0"/>
            </w:tcBorders>
            <w:noWrap w:val="0"/>
            <w:vAlign w:val="center"/>
          </w:tcPr>
          <w:p>
            <w:pPr>
              <w:jc w:val="right"/>
              <w:rPr>
                <w:rFonts w:hint="default" w:ascii="TimesNewRoman" w:hAnsi="TimesNewRoman" w:cs="TimesNewRoman"/>
                <w:color w:val="000000"/>
                <w:kern w:val="0"/>
                <w:sz w:val="20"/>
              </w:rPr>
            </w:pP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事业单位经营收入</w:t>
            </w:r>
          </w:p>
        </w:tc>
        <w:tc>
          <w:tcPr>
            <w:tcW w:w="99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十四、资源勘探工业信息等支出</w:t>
            </w:r>
          </w:p>
        </w:tc>
        <w:tc>
          <w:tcPr>
            <w:tcW w:w="856" w:type="dxa"/>
            <w:tcBorders>
              <w:top w:val="single" w:color="auto" w:sz="4" w:space="0"/>
              <w:left w:val="nil"/>
              <w:bottom w:val="nil"/>
              <w:right w:val="single" w:color="auto" w:sz="4" w:space="0"/>
            </w:tcBorders>
            <w:noWrap w:val="0"/>
            <w:vAlign w:val="center"/>
          </w:tcPr>
          <w:p>
            <w:pPr>
              <w:jc w:val="right"/>
              <w:rPr>
                <w:rFonts w:hint="default" w:ascii="TimesNewRoman" w:hAnsi="TimesNewRoman" w:cs="TimesNewRoman"/>
                <w:color w:val="000000"/>
                <w:kern w:val="0"/>
                <w:sz w:val="20"/>
              </w:rPr>
            </w:pP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上级补助收入</w:t>
            </w:r>
          </w:p>
        </w:tc>
        <w:tc>
          <w:tcPr>
            <w:tcW w:w="99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十五、商业服务业等支出</w:t>
            </w:r>
          </w:p>
        </w:tc>
        <w:tc>
          <w:tcPr>
            <w:tcW w:w="856" w:type="dxa"/>
            <w:tcBorders>
              <w:top w:val="single" w:color="auto" w:sz="4" w:space="0"/>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rPr>
            </w:pPr>
          </w:p>
        </w:tc>
      </w:tr>
      <w:tr>
        <w:tblPrEx>
          <w:tblCellMar>
            <w:top w:w="0" w:type="dxa"/>
            <w:left w:w="108" w:type="dxa"/>
            <w:bottom w:w="0" w:type="dxa"/>
            <w:right w:w="108" w:type="dxa"/>
          </w:tblCellMar>
        </w:tblPrEx>
        <w:trPr>
          <w:trHeight w:val="240" w:hRule="atLeast"/>
        </w:trPr>
        <w:tc>
          <w:tcPr>
            <w:tcW w:w="34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附属单位上缴收入</w:t>
            </w:r>
          </w:p>
        </w:tc>
        <w:tc>
          <w:tcPr>
            <w:tcW w:w="9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十六、金融支出</w:t>
            </w:r>
          </w:p>
        </w:tc>
        <w:tc>
          <w:tcPr>
            <w:tcW w:w="856" w:type="dxa"/>
            <w:tcBorders>
              <w:top w:val="single" w:color="auto" w:sz="4" w:space="0"/>
              <w:left w:val="single" w:color="auto" w:sz="4" w:space="0"/>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rPr>
            </w:pPr>
          </w:p>
        </w:tc>
      </w:tr>
      <w:tr>
        <w:tblPrEx>
          <w:tblCellMar>
            <w:top w:w="0" w:type="dxa"/>
            <w:left w:w="108" w:type="dxa"/>
            <w:bottom w:w="0" w:type="dxa"/>
            <w:right w:w="108" w:type="dxa"/>
          </w:tblCellMar>
        </w:tblPrEx>
        <w:trPr>
          <w:trHeight w:val="240" w:hRule="atLeast"/>
        </w:trPr>
        <w:tc>
          <w:tcPr>
            <w:tcW w:w="34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其他收入</w:t>
            </w:r>
          </w:p>
        </w:tc>
        <w:tc>
          <w:tcPr>
            <w:tcW w:w="99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十七、援助其他地区支出</w:t>
            </w:r>
          </w:p>
        </w:tc>
        <w:tc>
          <w:tcPr>
            <w:tcW w:w="856" w:type="dxa"/>
            <w:tcBorders>
              <w:top w:val="single" w:color="auto" w:sz="4" w:space="0"/>
              <w:left w:val="single" w:color="auto" w:sz="4" w:space="0"/>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rPr>
            </w:pPr>
          </w:p>
        </w:tc>
      </w:tr>
      <w:tr>
        <w:tblPrEx>
          <w:tblCellMar>
            <w:top w:w="0" w:type="dxa"/>
            <w:left w:w="108" w:type="dxa"/>
            <w:bottom w:w="0" w:type="dxa"/>
            <w:right w:w="108" w:type="dxa"/>
          </w:tblCellMar>
        </w:tblPrEx>
        <w:trPr>
          <w:trHeight w:val="240" w:hRule="atLeast"/>
        </w:trPr>
        <w:tc>
          <w:tcPr>
            <w:tcW w:w="34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99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十八、自然资源海洋气象等支出</w:t>
            </w:r>
          </w:p>
        </w:tc>
        <w:tc>
          <w:tcPr>
            <w:tcW w:w="856" w:type="dxa"/>
            <w:tcBorders>
              <w:top w:val="single" w:color="auto" w:sz="4" w:space="0"/>
              <w:left w:val="nil"/>
              <w:bottom w:val="nil"/>
              <w:right w:val="single" w:color="auto" w:sz="4" w:space="0"/>
            </w:tcBorders>
            <w:noWrap w:val="0"/>
            <w:vAlign w:val="center"/>
          </w:tcPr>
          <w:p>
            <w:pPr>
              <w:jc w:val="right"/>
              <w:rPr>
                <w:rFonts w:hint="default" w:ascii="TimesNewRoman" w:hAnsi="TimesNewRoman" w:cs="TimesNewRoman"/>
                <w:color w:val="000000"/>
                <w:kern w:val="0"/>
                <w:sz w:val="20"/>
              </w:rPr>
            </w:pP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99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十九、住房保障支出</w:t>
            </w:r>
          </w:p>
        </w:tc>
        <w:tc>
          <w:tcPr>
            <w:tcW w:w="856" w:type="dxa"/>
            <w:tcBorders>
              <w:top w:val="single" w:color="auto" w:sz="4" w:space="0"/>
              <w:left w:val="nil"/>
              <w:bottom w:val="nil"/>
              <w:right w:val="single" w:color="auto" w:sz="4" w:space="0"/>
            </w:tcBorders>
            <w:noWrap w:val="0"/>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58.21</w:t>
            </w: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99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二十、粮油物资储备支出</w:t>
            </w:r>
          </w:p>
        </w:tc>
        <w:tc>
          <w:tcPr>
            <w:tcW w:w="856"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99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二十一、灾害防治及应急管理支出</w:t>
            </w:r>
          </w:p>
        </w:tc>
        <w:tc>
          <w:tcPr>
            <w:tcW w:w="856"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18"/>
                <w:szCs w:val="18"/>
              </w:rPr>
            </w:pPr>
            <w:r>
              <w:rPr>
                <w:rFonts w:hint="default" w:ascii="TimesNewRoman" w:hAnsi="TimesNewRoman" w:cs="TimesNewRoman"/>
                <w:color w:val="000000"/>
                <w:kern w:val="0"/>
                <w:sz w:val="18"/>
                <w:szCs w:val="18"/>
              </w:rPr>
              <w:t>　</w:t>
            </w:r>
          </w:p>
        </w:tc>
        <w:tc>
          <w:tcPr>
            <w:tcW w:w="99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二十二、预备费</w:t>
            </w:r>
          </w:p>
        </w:tc>
        <w:tc>
          <w:tcPr>
            <w:tcW w:w="856"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18"/>
                <w:szCs w:val="18"/>
              </w:rPr>
            </w:pPr>
            <w:r>
              <w:rPr>
                <w:rFonts w:hint="default" w:ascii="TimesNewRoman" w:hAnsi="TimesNewRoman" w:cs="TimesNewRoman"/>
                <w:color w:val="000000"/>
                <w:kern w:val="0"/>
                <w:sz w:val="18"/>
                <w:szCs w:val="18"/>
              </w:rPr>
              <w:t>　</w:t>
            </w:r>
          </w:p>
        </w:tc>
        <w:tc>
          <w:tcPr>
            <w:tcW w:w="99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二十三、其他支出</w:t>
            </w:r>
          </w:p>
        </w:tc>
        <w:tc>
          <w:tcPr>
            <w:tcW w:w="856"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18"/>
                <w:szCs w:val="18"/>
              </w:rPr>
            </w:pPr>
            <w:r>
              <w:rPr>
                <w:rFonts w:hint="default" w:ascii="TimesNewRoman" w:hAnsi="TimesNewRoman" w:cs="TimesNewRoman"/>
                <w:color w:val="000000"/>
                <w:kern w:val="0"/>
                <w:sz w:val="18"/>
                <w:szCs w:val="18"/>
              </w:rPr>
              <w:t>　</w:t>
            </w:r>
          </w:p>
        </w:tc>
        <w:tc>
          <w:tcPr>
            <w:tcW w:w="99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二十四、转移性支出</w:t>
            </w:r>
          </w:p>
        </w:tc>
        <w:tc>
          <w:tcPr>
            <w:tcW w:w="856"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99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二十五、债务还本支出</w:t>
            </w:r>
          </w:p>
        </w:tc>
        <w:tc>
          <w:tcPr>
            <w:tcW w:w="856"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99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二十六、债务付息支出</w:t>
            </w:r>
          </w:p>
        </w:tc>
        <w:tc>
          <w:tcPr>
            <w:tcW w:w="856"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99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二十七、债务发行费用支出</w:t>
            </w:r>
          </w:p>
        </w:tc>
        <w:tc>
          <w:tcPr>
            <w:tcW w:w="856"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color w:val="000000"/>
                <w:kern w:val="0"/>
                <w:sz w:val="20"/>
              </w:rPr>
            </w:pPr>
            <w:r>
              <w:rPr>
                <w:rFonts w:hint="default" w:ascii="TimesNewRoman" w:hAnsi="TimesNewRoman" w:cs="TimesNewRoman"/>
                <w:color w:val="000000"/>
                <w:kern w:val="0"/>
                <w:sz w:val="20"/>
              </w:rPr>
              <w:t>本  年  收  入  小  计</w:t>
            </w:r>
          </w:p>
        </w:tc>
        <w:tc>
          <w:tcPr>
            <w:tcW w:w="998"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798.06</w:t>
            </w:r>
          </w:p>
        </w:tc>
        <w:tc>
          <w:tcPr>
            <w:tcW w:w="3184"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color w:val="000000"/>
                <w:kern w:val="0"/>
                <w:sz w:val="20"/>
              </w:rPr>
            </w:pPr>
            <w:r>
              <w:rPr>
                <w:rFonts w:hint="default" w:ascii="TimesNewRoman" w:hAnsi="TimesNewRoman" w:cs="TimesNewRoman"/>
                <w:color w:val="000000"/>
                <w:kern w:val="0"/>
                <w:sz w:val="20"/>
              </w:rPr>
              <w:t>本  年  支  出  小  计</w:t>
            </w:r>
          </w:p>
        </w:tc>
        <w:tc>
          <w:tcPr>
            <w:tcW w:w="856"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798.06</w:t>
            </w: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eastAsia" w:ascii="TimesNewRoman" w:hAnsi="TimesNewRoman" w:eastAsia="仿宋_GB2312" w:cs="TimesNewRoman"/>
                <w:color w:val="000000"/>
                <w:kern w:val="0"/>
                <w:sz w:val="20"/>
                <w:lang w:eastAsia="zh-CN"/>
              </w:rPr>
            </w:pPr>
            <w:r>
              <w:rPr>
                <w:rFonts w:hint="default" w:ascii="TimesNewRoman" w:hAnsi="TimesNewRoman" w:cs="TimesNewRoman"/>
                <w:color w:val="000000"/>
                <w:kern w:val="0"/>
                <w:sz w:val="20"/>
              </w:rPr>
              <w:t>上年</w:t>
            </w:r>
            <w:r>
              <w:rPr>
                <w:rFonts w:hint="eastAsia" w:ascii="TimesNewRoman" w:hAnsi="TimesNewRoman" w:cs="TimesNewRoman"/>
                <w:color w:val="000000"/>
                <w:kern w:val="0"/>
                <w:sz w:val="20"/>
                <w:lang w:eastAsia="zh-CN"/>
              </w:rPr>
              <w:t>结转数</w:t>
            </w:r>
          </w:p>
        </w:tc>
        <w:tc>
          <w:tcPr>
            <w:tcW w:w="998"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p>
        </w:tc>
        <w:tc>
          <w:tcPr>
            <w:tcW w:w="3184"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eastAsia" w:ascii="TimesNewRoman" w:hAnsi="TimesNewRoman" w:eastAsia="仿宋_GB2312" w:cs="TimesNewRoman"/>
                <w:color w:val="000000"/>
                <w:kern w:val="0"/>
                <w:sz w:val="20"/>
                <w:lang w:eastAsia="zh-CN"/>
              </w:rPr>
            </w:pPr>
            <w:r>
              <w:rPr>
                <w:rFonts w:hint="eastAsia" w:ascii="TimesNewRoman" w:hAnsi="TimesNewRoman" w:cs="TimesNewRoman"/>
                <w:color w:val="000000"/>
                <w:kern w:val="0"/>
                <w:sz w:val="20"/>
                <w:lang w:eastAsia="zh-CN"/>
              </w:rPr>
              <w:t>结转下年</w:t>
            </w:r>
          </w:p>
        </w:tc>
        <w:tc>
          <w:tcPr>
            <w:tcW w:w="856"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一般公共预算</w:t>
            </w:r>
          </w:p>
        </w:tc>
        <w:tc>
          <w:tcPr>
            <w:tcW w:w="998"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p>
        </w:tc>
        <w:tc>
          <w:tcPr>
            <w:tcW w:w="3184"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一般公共预算</w:t>
            </w:r>
          </w:p>
        </w:tc>
        <w:tc>
          <w:tcPr>
            <w:tcW w:w="856"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政府性基金预算</w:t>
            </w:r>
          </w:p>
        </w:tc>
        <w:tc>
          <w:tcPr>
            <w:tcW w:w="99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184"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政府性基金预算</w:t>
            </w:r>
          </w:p>
        </w:tc>
        <w:tc>
          <w:tcPr>
            <w:tcW w:w="856"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国有资本经营预算</w:t>
            </w:r>
          </w:p>
        </w:tc>
        <w:tc>
          <w:tcPr>
            <w:tcW w:w="998" w:type="dxa"/>
            <w:tcBorders>
              <w:top w:val="nil"/>
              <w:left w:val="nil"/>
              <w:bottom w:val="single" w:color="auto" w:sz="4" w:space="0"/>
              <w:right w:val="single" w:color="auto" w:sz="4" w:space="0"/>
            </w:tcBorders>
            <w:noWrap w:val="0"/>
            <w:vAlign w:val="bottom"/>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18"/>
                <w:szCs w:val="18"/>
              </w:rPr>
            </w:pPr>
            <w:r>
              <w:rPr>
                <w:rFonts w:hint="default" w:ascii="TimesNewRoman" w:hAnsi="TimesNewRoman" w:cs="TimesNewRoman"/>
                <w:color w:val="000000"/>
                <w:kern w:val="0"/>
                <w:sz w:val="18"/>
                <w:szCs w:val="18"/>
              </w:rPr>
              <w:t>　</w:t>
            </w:r>
          </w:p>
        </w:tc>
        <w:tc>
          <w:tcPr>
            <w:tcW w:w="3184"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国有资本经营预算</w:t>
            </w:r>
          </w:p>
        </w:tc>
        <w:tc>
          <w:tcPr>
            <w:tcW w:w="856"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财政专户管理资金</w:t>
            </w:r>
          </w:p>
        </w:tc>
        <w:tc>
          <w:tcPr>
            <w:tcW w:w="998" w:type="dxa"/>
            <w:tcBorders>
              <w:top w:val="nil"/>
              <w:left w:val="nil"/>
              <w:bottom w:val="single" w:color="auto" w:sz="4" w:space="0"/>
              <w:right w:val="single" w:color="auto" w:sz="4" w:space="0"/>
            </w:tcBorders>
            <w:noWrap w:val="0"/>
            <w:vAlign w:val="bottom"/>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18"/>
                <w:szCs w:val="18"/>
              </w:rPr>
            </w:pPr>
            <w:r>
              <w:rPr>
                <w:rFonts w:hint="default" w:ascii="TimesNewRoman" w:hAnsi="TimesNewRoman" w:cs="TimesNewRoman"/>
                <w:color w:val="000000"/>
                <w:kern w:val="0"/>
                <w:sz w:val="18"/>
                <w:szCs w:val="18"/>
              </w:rPr>
              <w:t>　</w:t>
            </w:r>
          </w:p>
        </w:tc>
        <w:tc>
          <w:tcPr>
            <w:tcW w:w="3184"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财政专户管理资金</w:t>
            </w:r>
          </w:p>
        </w:tc>
        <w:tc>
          <w:tcPr>
            <w:tcW w:w="856"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单位资金</w:t>
            </w:r>
          </w:p>
        </w:tc>
        <w:tc>
          <w:tcPr>
            <w:tcW w:w="998" w:type="dxa"/>
            <w:tcBorders>
              <w:top w:val="nil"/>
              <w:left w:val="nil"/>
              <w:bottom w:val="single" w:color="auto" w:sz="4" w:space="0"/>
              <w:right w:val="single" w:color="auto" w:sz="4" w:space="0"/>
            </w:tcBorders>
            <w:noWrap w:val="0"/>
            <w:vAlign w:val="bottom"/>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18"/>
                <w:szCs w:val="18"/>
              </w:rPr>
            </w:pPr>
            <w:r>
              <w:rPr>
                <w:rFonts w:hint="default" w:ascii="TimesNewRoman" w:hAnsi="TimesNewRoman" w:cs="TimesNewRoman"/>
                <w:color w:val="000000"/>
                <w:kern w:val="0"/>
                <w:sz w:val="18"/>
                <w:szCs w:val="18"/>
              </w:rPr>
              <w:t>　</w:t>
            </w:r>
          </w:p>
        </w:tc>
        <w:tc>
          <w:tcPr>
            <w:tcW w:w="3184"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单位资金</w:t>
            </w:r>
          </w:p>
        </w:tc>
        <w:tc>
          <w:tcPr>
            <w:tcW w:w="856"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240" w:hRule="atLeast"/>
        </w:trPr>
        <w:tc>
          <w:tcPr>
            <w:tcW w:w="3422"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rPr>
            </w:pPr>
            <w:r>
              <w:rPr>
                <w:rFonts w:hint="default" w:ascii="TimesNewRoman" w:hAnsi="TimesNewRoman" w:cs="TimesNewRoman"/>
                <w:b/>
                <w:bCs/>
                <w:color w:val="000000"/>
                <w:kern w:val="0"/>
                <w:sz w:val="20"/>
              </w:rPr>
              <w:t>收   入   总   计</w:t>
            </w:r>
          </w:p>
        </w:tc>
        <w:tc>
          <w:tcPr>
            <w:tcW w:w="998"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798.06</w:t>
            </w:r>
          </w:p>
        </w:tc>
        <w:tc>
          <w:tcPr>
            <w:tcW w:w="3184"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rPr>
            </w:pPr>
            <w:r>
              <w:rPr>
                <w:rFonts w:hint="default" w:ascii="TimesNewRoman" w:hAnsi="TimesNewRoman" w:cs="TimesNewRoman"/>
                <w:b/>
                <w:bCs/>
                <w:color w:val="000000"/>
                <w:kern w:val="0"/>
                <w:sz w:val="20"/>
              </w:rPr>
              <w:t>支　出  总　计</w:t>
            </w:r>
          </w:p>
        </w:tc>
        <w:tc>
          <w:tcPr>
            <w:tcW w:w="856"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798.06</w:t>
            </w:r>
          </w:p>
        </w:tc>
      </w:tr>
    </w:tbl>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kern w:val="0"/>
          <w:sz w:val="20"/>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p>
    <w:p>
      <w:pPr>
        <w:keepNext w:val="0"/>
        <w:keepLines w:val="0"/>
        <w:pageBreakBefore w:val="0"/>
        <w:kinsoku/>
        <w:overflowPunct/>
        <w:topLinePunct w:val="0"/>
        <w:autoSpaceDE/>
        <w:autoSpaceDN/>
        <w:bidi w:val="0"/>
        <w:spacing w:line="560" w:lineRule="exact"/>
        <w:jc w:val="center"/>
        <w:rPr>
          <w:rFonts w:hint="default" w:ascii="TimesNewRoman" w:hAnsi="TimesNewRoman" w:cs="TimesNewRoman"/>
          <w:color w:val="000000"/>
          <w:kern w:val="0"/>
          <w:sz w:val="20"/>
        </w:rPr>
      </w:pPr>
      <w:r>
        <w:rPr>
          <w:rFonts w:hint="eastAsia" w:ascii="TimesNewRoman" w:hAnsi="TimesNewRoman" w:cs="TimesNewRoman"/>
          <w:color w:val="000000"/>
          <w:kern w:val="0"/>
          <w:sz w:val="20"/>
          <w:lang w:val="en-US" w:eastAsia="zh-CN"/>
        </w:rPr>
        <w:t xml:space="preserve">                                                                                                                    </w:t>
      </w:r>
      <w:r>
        <w:rPr>
          <w:rFonts w:hint="eastAsia" w:ascii="TimesNewRoman" w:hAnsi="TimesNewRoman" w:cs="TimesNewRoman"/>
          <w:color w:val="000000"/>
          <w:kern w:val="0"/>
          <w:sz w:val="20"/>
          <w:lang w:eastAsia="zh-CN"/>
        </w:rPr>
        <w:t>单位公开表</w:t>
      </w:r>
      <w:r>
        <w:rPr>
          <w:rFonts w:hint="default" w:ascii="TimesNewRoman" w:hAnsi="TimesNewRoman" w:cs="TimesNewRoman"/>
          <w:color w:val="000000"/>
          <w:kern w:val="0"/>
          <w:sz w:val="20"/>
        </w:rPr>
        <w:t>2</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rPr>
          <w:rFonts w:hint="default" w:ascii="TimesNewRoman" w:hAnsi="TimesNewRoman" w:eastAsia="华文中宋" w:cs="TimesNewRoman"/>
          <w:b/>
          <w:bCs/>
          <w:color w:val="000000"/>
          <w:kern w:val="0"/>
          <w:szCs w:val="32"/>
        </w:rPr>
      </w:pPr>
      <w:r>
        <w:rPr>
          <w:rFonts w:hint="eastAsia" w:ascii="TimesNewRoman" w:hAnsi="TimesNewRoman" w:eastAsia="华文中宋" w:cs="TimesNewRoman"/>
          <w:b/>
          <w:bCs/>
          <w:color w:val="000000"/>
          <w:kern w:val="0"/>
          <w:szCs w:val="32"/>
          <w:lang w:eastAsia="zh-CN"/>
        </w:rPr>
        <w:t>淮南市食品药品检验中心</w:t>
      </w:r>
      <w:r>
        <w:rPr>
          <w:rFonts w:hint="default" w:ascii="TimesNewRoman" w:hAnsi="TimesNewRoman" w:eastAsia="华文中宋" w:cs="TimesNewRoman"/>
          <w:b/>
          <w:bCs/>
          <w:color w:val="000000"/>
          <w:kern w:val="0"/>
          <w:szCs w:val="32"/>
          <w:lang w:val="en"/>
        </w:rPr>
        <w:t>2024</w:t>
      </w:r>
      <w:r>
        <w:rPr>
          <w:rFonts w:hint="default" w:ascii="TimesNewRoman" w:hAnsi="TimesNewRoman" w:eastAsia="华文中宋" w:cs="TimesNewRoman"/>
          <w:b/>
          <w:bCs/>
          <w:color w:val="000000"/>
          <w:kern w:val="0"/>
          <w:szCs w:val="32"/>
        </w:rPr>
        <w:t>年收入总表</w:t>
      </w:r>
    </w:p>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单位：万元</w:t>
      </w:r>
    </w:p>
    <w:tbl>
      <w:tblPr>
        <w:tblStyle w:val="5"/>
        <w:tblW w:w="14020" w:type="dxa"/>
        <w:tblInd w:w="0" w:type="dxa"/>
        <w:tblLayout w:type="fixed"/>
        <w:tblCellMar>
          <w:top w:w="0" w:type="dxa"/>
          <w:left w:w="108" w:type="dxa"/>
          <w:bottom w:w="0" w:type="dxa"/>
          <w:right w:w="108" w:type="dxa"/>
        </w:tblCellMar>
      </w:tblPr>
      <w:tblGrid>
        <w:gridCol w:w="2085"/>
        <w:gridCol w:w="566"/>
        <w:gridCol w:w="489"/>
        <w:gridCol w:w="680"/>
        <w:gridCol w:w="680"/>
        <w:gridCol w:w="680"/>
        <w:gridCol w:w="680"/>
        <w:gridCol w:w="680"/>
        <w:gridCol w:w="680"/>
        <w:gridCol w:w="680"/>
        <w:gridCol w:w="680"/>
        <w:gridCol w:w="680"/>
        <w:gridCol w:w="680"/>
        <w:gridCol w:w="680"/>
        <w:gridCol w:w="680"/>
        <w:gridCol w:w="680"/>
        <w:gridCol w:w="680"/>
        <w:gridCol w:w="680"/>
        <w:gridCol w:w="680"/>
      </w:tblGrid>
      <w:tr>
        <w:tblPrEx>
          <w:tblCellMar>
            <w:top w:w="0" w:type="dxa"/>
            <w:left w:w="108" w:type="dxa"/>
            <w:bottom w:w="0" w:type="dxa"/>
            <w:right w:w="108" w:type="dxa"/>
          </w:tblCellMar>
        </w:tblPrEx>
        <w:trPr>
          <w:trHeight w:val="420" w:hRule="atLeast"/>
        </w:trPr>
        <w:tc>
          <w:tcPr>
            <w:tcW w:w="208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部门（单位）名称</w:t>
            </w:r>
          </w:p>
        </w:tc>
        <w:tc>
          <w:tcPr>
            <w:tcW w:w="566"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合计</w:t>
            </w:r>
          </w:p>
        </w:tc>
        <w:tc>
          <w:tcPr>
            <w:tcW w:w="7289" w:type="dxa"/>
            <w:gridSpan w:val="11"/>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本年收入</w:t>
            </w:r>
          </w:p>
        </w:tc>
        <w:tc>
          <w:tcPr>
            <w:tcW w:w="4080" w:type="dxa"/>
            <w:gridSpan w:val="6"/>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上年结转结余</w:t>
            </w:r>
          </w:p>
        </w:tc>
      </w:tr>
      <w:tr>
        <w:tblPrEx>
          <w:tblCellMar>
            <w:top w:w="0" w:type="dxa"/>
            <w:left w:w="108" w:type="dxa"/>
            <w:bottom w:w="0" w:type="dxa"/>
            <w:right w:w="108" w:type="dxa"/>
          </w:tblCellMar>
        </w:tblPrEx>
        <w:trPr>
          <w:trHeight w:val="356" w:hRule="atLeast"/>
        </w:trPr>
        <w:tc>
          <w:tcPr>
            <w:tcW w:w="208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b/>
                <w:color w:val="000000"/>
                <w:kern w:val="0"/>
                <w:sz w:val="20"/>
              </w:rPr>
            </w:pPr>
          </w:p>
        </w:tc>
        <w:tc>
          <w:tcPr>
            <w:tcW w:w="56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b/>
                <w:color w:val="000000"/>
                <w:kern w:val="0"/>
                <w:sz w:val="20"/>
              </w:rPr>
            </w:pPr>
          </w:p>
        </w:tc>
        <w:tc>
          <w:tcPr>
            <w:tcW w:w="489" w:type="dxa"/>
            <w:vMerge w:val="restart"/>
            <w:tcBorders>
              <w:top w:val="nil"/>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小计</w:t>
            </w:r>
          </w:p>
        </w:tc>
        <w:tc>
          <w:tcPr>
            <w:tcW w:w="680" w:type="dxa"/>
            <w:vMerge w:val="restart"/>
            <w:tcBorders>
              <w:top w:val="nil"/>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一般公共预算</w:t>
            </w:r>
          </w:p>
        </w:tc>
        <w:tc>
          <w:tcPr>
            <w:tcW w:w="680" w:type="dxa"/>
            <w:vMerge w:val="restart"/>
            <w:tcBorders>
              <w:top w:val="nil"/>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政府性基金预算</w:t>
            </w:r>
          </w:p>
        </w:tc>
        <w:tc>
          <w:tcPr>
            <w:tcW w:w="68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国有资本经营预算</w:t>
            </w:r>
          </w:p>
        </w:tc>
        <w:tc>
          <w:tcPr>
            <w:tcW w:w="680"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财政专户管理资金</w:t>
            </w:r>
          </w:p>
        </w:tc>
        <w:tc>
          <w:tcPr>
            <w:tcW w:w="4080" w:type="dxa"/>
            <w:gridSpan w:val="6"/>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单位资金</w:t>
            </w:r>
          </w:p>
        </w:tc>
        <w:tc>
          <w:tcPr>
            <w:tcW w:w="680" w:type="dxa"/>
            <w:vMerge w:val="restart"/>
            <w:tcBorders>
              <w:top w:val="nil"/>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小计</w:t>
            </w:r>
          </w:p>
        </w:tc>
        <w:tc>
          <w:tcPr>
            <w:tcW w:w="680" w:type="dxa"/>
            <w:vMerge w:val="restart"/>
            <w:tcBorders>
              <w:top w:val="nil"/>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一般公共预算</w:t>
            </w:r>
          </w:p>
        </w:tc>
        <w:tc>
          <w:tcPr>
            <w:tcW w:w="680" w:type="dxa"/>
            <w:vMerge w:val="restart"/>
            <w:tcBorders>
              <w:top w:val="nil"/>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政府性基金预算</w:t>
            </w:r>
          </w:p>
        </w:tc>
        <w:tc>
          <w:tcPr>
            <w:tcW w:w="680" w:type="dxa"/>
            <w:vMerge w:val="restart"/>
            <w:tcBorders>
              <w:top w:val="nil"/>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国有资本经营预算</w:t>
            </w:r>
          </w:p>
        </w:tc>
        <w:tc>
          <w:tcPr>
            <w:tcW w:w="680" w:type="dxa"/>
            <w:vMerge w:val="restart"/>
            <w:tcBorders>
              <w:top w:val="nil"/>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财政专户管理资金</w:t>
            </w:r>
          </w:p>
        </w:tc>
        <w:tc>
          <w:tcPr>
            <w:tcW w:w="680" w:type="dxa"/>
            <w:vMerge w:val="restart"/>
            <w:tcBorders>
              <w:top w:val="nil"/>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单位资金</w:t>
            </w:r>
          </w:p>
        </w:tc>
      </w:tr>
      <w:tr>
        <w:tblPrEx>
          <w:tblCellMar>
            <w:top w:w="0" w:type="dxa"/>
            <w:left w:w="108" w:type="dxa"/>
            <w:bottom w:w="0" w:type="dxa"/>
            <w:right w:w="108" w:type="dxa"/>
          </w:tblCellMar>
        </w:tblPrEx>
        <w:trPr>
          <w:trHeight w:val="2163" w:hRule="atLeast"/>
        </w:trPr>
        <w:tc>
          <w:tcPr>
            <w:tcW w:w="208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p>
        </w:tc>
        <w:tc>
          <w:tcPr>
            <w:tcW w:w="56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p>
        </w:tc>
        <w:tc>
          <w:tcPr>
            <w:tcW w:w="489" w:type="dxa"/>
            <w:vMerge w:val="continue"/>
            <w:tcBorders>
              <w:top w:val="nil"/>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p>
        </w:tc>
        <w:tc>
          <w:tcPr>
            <w:tcW w:w="680" w:type="dxa"/>
            <w:vMerge w:val="continue"/>
            <w:tcBorders>
              <w:top w:val="nil"/>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p>
        </w:tc>
        <w:tc>
          <w:tcPr>
            <w:tcW w:w="680" w:type="dxa"/>
            <w:vMerge w:val="continue"/>
            <w:tcBorders>
              <w:top w:val="nil"/>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p>
        </w:tc>
        <w:tc>
          <w:tcPr>
            <w:tcW w:w="6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p>
        </w:tc>
        <w:tc>
          <w:tcPr>
            <w:tcW w:w="680"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p>
        </w:tc>
        <w:tc>
          <w:tcPr>
            <w:tcW w:w="68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小计</w:t>
            </w:r>
          </w:p>
        </w:tc>
        <w:tc>
          <w:tcPr>
            <w:tcW w:w="68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事业     收入</w:t>
            </w:r>
          </w:p>
        </w:tc>
        <w:tc>
          <w:tcPr>
            <w:tcW w:w="68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事业单位经营收入</w:t>
            </w:r>
          </w:p>
        </w:tc>
        <w:tc>
          <w:tcPr>
            <w:tcW w:w="680" w:type="dxa"/>
            <w:tcBorders>
              <w:top w:val="nil"/>
              <w:left w:val="nil"/>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上级补助收入</w:t>
            </w:r>
          </w:p>
        </w:tc>
        <w:tc>
          <w:tcPr>
            <w:tcW w:w="680" w:type="dxa"/>
            <w:tcBorders>
              <w:top w:val="nil"/>
              <w:left w:val="nil"/>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附属单位上缴收入</w:t>
            </w:r>
          </w:p>
        </w:tc>
        <w:tc>
          <w:tcPr>
            <w:tcW w:w="680" w:type="dxa"/>
            <w:tcBorders>
              <w:top w:val="nil"/>
              <w:left w:val="nil"/>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0"/>
              </w:rPr>
            </w:pPr>
            <w:r>
              <w:rPr>
                <w:rFonts w:hint="default" w:ascii="TimesNewRoman" w:hAnsi="TimesNewRoman" w:cs="TimesNewRoman"/>
                <w:b/>
                <w:color w:val="000000"/>
                <w:kern w:val="0"/>
                <w:sz w:val="20"/>
              </w:rPr>
              <w:t>其他   收入</w:t>
            </w:r>
          </w:p>
        </w:tc>
        <w:tc>
          <w:tcPr>
            <w:tcW w:w="680" w:type="dxa"/>
            <w:vMerge w:val="continue"/>
            <w:tcBorders>
              <w:top w:val="nil"/>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p>
        </w:tc>
        <w:tc>
          <w:tcPr>
            <w:tcW w:w="680" w:type="dxa"/>
            <w:vMerge w:val="continue"/>
            <w:tcBorders>
              <w:top w:val="nil"/>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p>
        </w:tc>
        <w:tc>
          <w:tcPr>
            <w:tcW w:w="680" w:type="dxa"/>
            <w:vMerge w:val="continue"/>
            <w:tcBorders>
              <w:top w:val="nil"/>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p>
        </w:tc>
        <w:tc>
          <w:tcPr>
            <w:tcW w:w="680" w:type="dxa"/>
            <w:vMerge w:val="continue"/>
            <w:tcBorders>
              <w:top w:val="nil"/>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p>
        </w:tc>
        <w:tc>
          <w:tcPr>
            <w:tcW w:w="680" w:type="dxa"/>
            <w:vMerge w:val="continue"/>
            <w:tcBorders>
              <w:top w:val="nil"/>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p>
        </w:tc>
        <w:tc>
          <w:tcPr>
            <w:tcW w:w="680" w:type="dxa"/>
            <w:vMerge w:val="continue"/>
            <w:tcBorders>
              <w:top w:val="nil"/>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p>
        </w:tc>
      </w:tr>
      <w:tr>
        <w:tblPrEx>
          <w:tblCellMar>
            <w:top w:w="0" w:type="dxa"/>
            <w:left w:w="108" w:type="dxa"/>
            <w:bottom w:w="0" w:type="dxa"/>
            <w:right w:w="108" w:type="dxa"/>
          </w:tblCellMar>
        </w:tblPrEx>
        <w:trPr>
          <w:trHeight w:val="360" w:hRule="atLeast"/>
        </w:trPr>
        <w:tc>
          <w:tcPr>
            <w:tcW w:w="208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rPr>
            </w:pPr>
            <w:r>
              <w:rPr>
                <w:rFonts w:hint="eastAsia" w:ascii="宋体" w:hAnsi="宋体" w:eastAsia="宋体" w:cs="宋体"/>
                <w:i w:val="0"/>
                <w:iCs w:val="0"/>
                <w:color w:val="000000"/>
                <w:kern w:val="0"/>
                <w:sz w:val="20"/>
                <w:szCs w:val="20"/>
                <w:u w:val="none"/>
                <w:lang w:val="en-US" w:eastAsia="zh-CN" w:bidi="ar"/>
              </w:rPr>
              <w:t>淮南市市场监督管理局</w:t>
            </w:r>
          </w:p>
        </w:tc>
        <w:tc>
          <w:tcPr>
            <w:tcW w:w="566"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rPr>
            </w:pPr>
            <w:r>
              <w:rPr>
                <w:rFonts w:hint="eastAsia" w:ascii="宋体" w:hAnsi="宋体" w:eastAsia="宋体" w:cs="宋体"/>
                <w:i w:val="0"/>
                <w:iCs w:val="0"/>
                <w:color w:val="000000"/>
                <w:kern w:val="0"/>
                <w:sz w:val="20"/>
                <w:szCs w:val="20"/>
                <w:u w:val="none"/>
                <w:lang w:val="en-US" w:eastAsia="zh-CN" w:bidi="ar"/>
              </w:rPr>
              <w:t>798.06</w:t>
            </w:r>
          </w:p>
        </w:tc>
        <w:tc>
          <w:tcPr>
            <w:tcW w:w="489"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rPr>
            </w:pPr>
            <w:r>
              <w:rPr>
                <w:rFonts w:hint="eastAsia" w:ascii="宋体" w:hAnsi="宋体" w:eastAsia="宋体" w:cs="宋体"/>
                <w:i w:val="0"/>
                <w:iCs w:val="0"/>
                <w:color w:val="000000"/>
                <w:kern w:val="0"/>
                <w:sz w:val="20"/>
                <w:szCs w:val="20"/>
                <w:u w:val="none"/>
                <w:lang w:val="en-US" w:eastAsia="zh-CN" w:bidi="ar"/>
              </w:rPr>
              <w:t>798.06</w:t>
            </w:r>
          </w:p>
        </w:tc>
        <w:tc>
          <w:tcPr>
            <w:tcW w:w="68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rPr>
            </w:pPr>
            <w:r>
              <w:rPr>
                <w:rFonts w:hint="eastAsia" w:ascii="宋体" w:hAnsi="宋体" w:eastAsia="宋体" w:cs="宋体"/>
                <w:i w:val="0"/>
                <w:iCs w:val="0"/>
                <w:color w:val="000000"/>
                <w:kern w:val="0"/>
                <w:sz w:val="20"/>
                <w:szCs w:val="20"/>
                <w:u w:val="none"/>
                <w:lang w:val="en-US" w:eastAsia="zh-CN" w:bidi="ar"/>
              </w:rPr>
              <w:t>798.06</w:t>
            </w:r>
          </w:p>
        </w:tc>
        <w:tc>
          <w:tcPr>
            <w:tcW w:w="68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360" w:hRule="atLeast"/>
        </w:trPr>
        <w:tc>
          <w:tcPr>
            <w:tcW w:w="2085"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rPr>
            </w:pPr>
            <w:r>
              <w:rPr>
                <w:rFonts w:hint="eastAsia" w:ascii="宋体" w:hAnsi="宋体" w:eastAsia="宋体" w:cs="宋体"/>
                <w:i w:val="0"/>
                <w:iCs w:val="0"/>
                <w:color w:val="000000"/>
                <w:kern w:val="0"/>
                <w:sz w:val="20"/>
                <w:szCs w:val="20"/>
                <w:u w:val="none"/>
                <w:lang w:val="en-US" w:eastAsia="zh-CN" w:bidi="ar"/>
              </w:rPr>
              <w:t>淮南市食品药品检验中心</w:t>
            </w:r>
          </w:p>
        </w:tc>
        <w:tc>
          <w:tcPr>
            <w:tcW w:w="566"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rPr>
            </w:pPr>
            <w:r>
              <w:rPr>
                <w:rFonts w:hint="eastAsia" w:ascii="宋体" w:hAnsi="宋体" w:eastAsia="宋体" w:cs="宋体"/>
                <w:i w:val="0"/>
                <w:iCs w:val="0"/>
                <w:color w:val="000000"/>
                <w:kern w:val="0"/>
                <w:sz w:val="20"/>
                <w:szCs w:val="20"/>
                <w:u w:val="none"/>
                <w:lang w:val="en-US" w:eastAsia="zh-CN" w:bidi="ar"/>
              </w:rPr>
              <w:t>798.06</w:t>
            </w:r>
          </w:p>
        </w:tc>
        <w:tc>
          <w:tcPr>
            <w:tcW w:w="489"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rPr>
            </w:pPr>
            <w:r>
              <w:rPr>
                <w:rFonts w:hint="eastAsia" w:ascii="宋体" w:hAnsi="宋体" w:eastAsia="宋体" w:cs="宋体"/>
                <w:i w:val="0"/>
                <w:iCs w:val="0"/>
                <w:color w:val="000000"/>
                <w:kern w:val="0"/>
                <w:sz w:val="20"/>
                <w:szCs w:val="20"/>
                <w:u w:val="none"/>
                <w:lang w:val="en-US" w:eastAsia="zh-CN" w:bidi="ar"/>
              </w:rPr>
              <w:t>798.06</w:t>
            </w:r>
          </w:p>
        </w:tc>
        <w:tc>
          <w:tcPr>
            <w:tcW w:w="68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rPr>
            </w:pPr>
            <w:r>
              <w:rPr>
                <w:rFonts w:hint="eastAsia" w:ascii="宋体" w:hAnsi="宋体" w:eastAsia="宋体" w:cs="宋体"/>
                <w:i w:val="0"/>
                <w:iCs w:val="0"/>
                <w:color w:val="000000"/>
                <w:kern w:val="0"/>
                <w:sz w:val="20"/>
                <w:szCs w:val="20"/>
                <w:u w:val="none"/>
                <w:lang w:val="en-US" w:eastAsia="zh-CN" w:bidi="ar"/>
              </w:rPr>
              <w:t>798.06</w:t>
            </w:r>
          </w:p>
        </w:tc>
        <w:tc>
          <w:tcPr>
            <w:tcW w:w="68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68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bl>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rPr>
        <w:sectPr>
          <w:pgSz w:w="16838" w:h="11906" w:orient="landscape"/>
          <w:pgMar w:top="1797" w:right="1440" w:bottom="1797" w:left="1440" w:header="851" w:footer="992" w:gutter="0"/>
          <w:pgBorders>
            <w:top w:val="none" w:sz="0" w:space="0"/>
            <w:left w:val="none" w:sz="0" w:space="0"/>
            <w:bottom w:val="none" w:sz="0" w:space="0"/>
            <w:right w:val="none" w:sz="0" w:space="0"/>
          </w:pgBorders>
          <w:pgNumType w:fmt="numberInDash"/>
          <w:cols w:space="720" w:num="1"/>
          <w:docGrid w:type="linesAndChars" w:linePitch="312" w:charSpace="0"/>
        </w:sectPr>
      </w:pPr>
    </w:p>
    <w:p>
      <w:pPr>
        <w:keepNext w:val="0"/>
        <w:keepLines w:val="0"/>
        <w:pageBreakBefore w:val="0"/>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w:t>
      </w:r>
      <w:r>
        <w:rPr>
          <w:rFonts w:hint="eastAsia" w:ascii="TimesNewRoman" w:hAnsi="TimesNewRoman" w:cs="TimesNewRoman"/>
          <w:color w:val="000000"/>
          <w:kern w:val="0"/>
          <w:sz w:val="20"/>
          <w:lang w:val="en-US" w:eastAsia="zh-CN"/>
        </w:rPr>
        <w:t xml:space="preserve">                  </w:t>
      </w:r>
      <w:r>
        <w:rPr>
          <w:rFonts w:hint="eastAsia" w:ascii="TimesNewRoman" w:hAnsi="TimesNewRoman" w:cs="TimesNewRoman"/>
          <w:color w:val="000000"/>
          <w:kern w:val="0"/>
          <w:sz w:val="20"/>
          <w:lang w:eastAsia="zh-CN"/>
        </w:rPr>
        <w:t>单位公开表</w:t>
      </w:r>
      <w:r>
        <w:rPr>
          <w:rFonts w:hint="default" w:ascii="TimesNewRoman" w:hAnsi="TimesNewRoman" w:cs="TimesNewRoman"/>
          <w:color w:val="000000"/>
          <w:kern w:val="0"/>
          <w:sz w:val="20"/>
        </w:rPr>
        <w:t>3</w:t>
      </w:r>
    </w:p>
    <w:p>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rPr>
          <w:rFonts w:hint="eastAsia" w:ascii="TimesNewRoman" w:hAnsi="TimesNewRoman" w:cs="TimesNewRoman"/>
          <w:color w:val="000000"/>
          <w:kern w:val="0"/>
          <w:sz w:val="20"/>
          <w:lang w:val="en-US" w:eastAsia="zh-CN"/>
        </w:rPr>
      </w:pPr>
      <w:r>
        <w:rPr>
          <w:rFonts w:hint="eastAsia" w:ascii="TimesNewRoman" w:hAnsi="TimesNewRoman" w:eastAsia="华文中宋" w:cs="TimesNewRoman"/>
          <w:b/>
          <w:bCs/>
          <w:color w:val="000000"/>
          <w:kern w:val="0"/>
          <w:szCs w:val="32"/>
          <w:lang w:eastAsia="zh-CN"/>
        </w:rPr>
        <w:t>淮南市食品药品检验中心</w:t>
      </w:r>
      <w:r>
        <w:rPr>
          <w:rFonts w:hint="default" w:ascii="TimesNewRoman" w:hAnsi="TimesNewRoman" w:eastAsia="华文中宋" w:cs="TimesNewRoman"/>
          <w:b/>
          <w:bCs/>
          <w:color w:val="000000"/>
          <w:kern w:val="0"/>
          <w:szCs w:val="32"/>
          <w:lang w:val="en"/>
        </w:rPr>
        <w:t>2024</w:t>
      </w:r>
      <w:r>
        <w:rPr>
          <w:rFonts w:hint="default" w:ascii="TimesNewRoman" w:hAnsi="TimesNewRoman" w:eastAsia="华文中宋" w:cs="TimesNewRoman"/>
          <w:b/>
          <w:bCs/>
          <w:color w:val="000000"/>
          <w:kern w:val="0"/>
          <w:szCs w:val="32"/>
        </w:rPr>
        <w:t>年支出总表</w:t>
      </w:r>
      <w:r>
        <w:rPr>
          <w:rFonts w:hint="default" w:ascii="TimesNewRoman" w:hAnsi="TimesNewRoman" w:cs="TimesNewRoman"/>
          <w:color w:val="000000"/>
          <w:kern w:val="0"/>
          <w:sz w:val="20"/>
        </w:rPr>
        <w:t xml:space="preserve">                                                                                           </w:t>
      </w:r>
      <w:r>
        <w:rPr>
          <w:rFonts w:hint="eastAsia" w:ascii="TimesNewRoman" w:hAnsi="TimesNewRoman" w:cs="TimesNewRoman"/>
          <w:color w:val="000000"/>
          <w:kern w:val="0"/>
          <w:sz w:val="20"/>
          <w:lang w:val="en-US" w:eastAsia="zh-CN"/>
        </w:rPr>
        <w:t xml:space="preserve">                            </w:t>
      </w:r>
    </w:p>
    <w:p>
      <w:pPr>
        <w:keepNext w:val="0"/>
        <w:keepLines w:val="0"/>
        <w:pageBreakBefore w:val="0"/>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eastAsia" w:ascii="TimesNewRoman" w:hAnsi="TimesNewRoman" w:cs="TimesNewRoman"/>
          <w:color w:val="000000"/>
          <w:kern w:val="0"/>
          <w:sz w:val="20"/>
          <w:lang w:val="en-US" w:eastAsia="zh-CN"/>
        </w:rPr>
        <w:t xml:space="preserve">      </w:t>
      </w:r>
      <w:r>
        <w:rPr>
          <w:rFonts w:hint="default" w:ascii="TimesNewRoman" w:hAnsi="TimesNewRoman" w:cs="TimesNewRoman"/>
          <w:color w:val="000000"/>
          <w:kern w:val="0"/>
          <w:sz w:val="20"/>
        </w:rPr>
        <w:t>单位：万元</w:t>
      </w:r>
    </w:p>
    <w:tbl>
      <w:tblPr>
        <w:tblStyle w:val="5"/>
        <w:tblW w:w="5126" w:type="pct"/>
        <w:tblInd w:w="0" w:type="dxa"/>
        <w:tblLayout w:type="autofit"/>
        <w:tblCellMar>
          <w:top w:w="0" w:type="dxa"/>
          <w:left w:w="108" w:type="dxa"/>
          <w:bottom w:w="0" w:type="dxa"/>
          <w:right w:w="108" w:type="dxa"/>
        </w:tblCellMar>
      </w:tblPr>
      <w:tblGrid>
        <w:gridCol w:w="948"/>
        <w:gridCol w:w="2708"/>
        <w:gridCol w:w="816"/>
        <w:gridCol w:w="816"/>
        <w:gridCol w:w="816"/>
        <w:gridCol w:w="823"/>
        <w:gridCol w:w="775"/>
        <w:gridCol w:w="1041"/>
      </w:tblGrid>
      <w:tr>
        <w:tblPrEx>
          <w:tblCellMar>
            <w:top w:w="0" w:type="dxa"/>
            <w:left w:w="108" w:type="dxa"/>
            <w:bottom w:w="0" w:type="dxa"/>
            <w:right w:w="108" w:type="dxa"/>
          </w:tblCellMar>
        </w:tblPrEx>
        <w:trPr>
          <w:trHeight w:val="2210" w:hRule="atLeast"/>
        </w:trPr>
        <w:tc>
          <w:tcPr>
            <w:tcW w:w="54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科目</w:t>
            </w:r>
          </w:p>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编码</w:t>
            </w:r>
          </w:p>
        </w:tc>
        <w:tc>
          <w:tcPr>
            <w:tcW w:w="154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科目名称</w:t>
            </w:r>
          </w:p>
        </w:tc>
        <w:tc>
          <w:tcPr>
            <w:tcW w:w="46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合计</w:t>
            </w:r>
          </w:p>
        </w:tc>
        <w:tc>
          <w:tcPr>
            <w:tcW w:w="46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基本支出</w:t>
            </w:r>
          </w:p>
        </w:tc>
        <w:tc>
          <w:tcPr>
            <w:tcW w:w="46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项目支出</w:t>
            </w:r>
          </w:p>
        </w:tc>
        <w:tc>
          <w:tcPr>
            <w:tcW w:w="47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事业单位经营支出</w:t>
            </w:r>
          </w:p>
        </w:tc>
        <w:tc>
          <w:tcPr>
            <w:tcW w:w="44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上缴上级支出</w:t>
            </w:r>
          </w:p>
        </w:tc>
        <w:tc>
          <w:tcPr>
            <w:tcW w:w="59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对附属单位补助支出</w:t>
            </w:r>
          </w:p>
        </w:tc>
      </w:tr>
      <w:tr>
        <w:tblPrEx>
          <w:tblCellMar>
            <w:top w:w="0" w:type="dxa"/>
            <w:left w:w="108" w:type="dxa"/>
            <w:bottom w:w="0" w:type="dxa"/>
            <w:right w:w="108" w:type="dxa"/>
          </w:tblCellMar>
        </w:tblPrEx>
        <w:trPr>
          <w:trHeight w:val="360" w:hRule="atLeast"/>
        </w:trPr>
        <w:tc>
          <w:tcPr>
            <w:tcW w:w="542"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201</w:t>
            </w:r>
          </w:p>
        </w:tc>
        <w:tc>
          <w:tcPr>
            <w:tcW w:w="1548"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一般公共服务支出</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653.43</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391.19</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262.24</w:t>
            </w:r>
          </w:p>
        </w:tc>
        <w:tc>
          <w:tcPr>
            <w:tcW w:w="470"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443"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595"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360" w:hRule="atLeast"/>
        </w:trPr>
        <w:tc>
          <w:tcPr>
            <w:tcW w:w="542"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20138</w:t>
            </w:r>
          </w:p>
        </w:tc>
        <w:tc>
          <w:tcPr>
            <w:tcW w:w="1548"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市场监督管理事务</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653.43</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391.19</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262.24</w:t>
            </w:r>
          </w:p>
        </w:tc>
        <w:tc>
          <w:tcPr>
            <w:tcW w:w="470"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443"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595"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360" w:hRule="atLeast"/>
        </w:trPr>
        <w:tc>
          <w:tcPr>
            <w:tcW w:w="542"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2013812</w:t>
            </w:r>
          </w:p>
        </w:tc>
        <w:tc>
          <w:tcPr>
            <w:tcW w:w="1548"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药品事务</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211.20</w:t>
            </w:r>
          </w:p>
        </w:tc>
        <w:tc>
          <w:tcPr>
            <w:tcW w:w="466"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211.20</w:t>
            </w:r>
          </w:p>
        </w:tc>
        <w:tc>
          <w:tcPr>
            <w:tcW w:w="470"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443"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595"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360" w:hRule="atLeast"/>
        </w:trPr>
        <w:tc>
          <w:tcPr>
            <w:tcW w:w="542"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2013850</w:t>
            </w:r>
          </w:p>
        </w:tc>
        <w:tc>
          <w:tcPr>
            <w:tcW w:w="1548"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TimesNewRoman" w:hAnsi="TimesNewRoman" w:eastAsia="仿宋_GB2312" w:cs="TimesNewRoman"/>
                <w:color w:val="000000"/>
                <w:kern w:val="0"/>
                <w:sz w:val="22"/>
                <w:lang w:eastAsia="zh-CN"/>
              </w:rPr>
            </w:pPr>
            <w:r>
              <w:rPr>
                <w:rFonts w:hint="eastAsia" w:ascii="宋体" w:hAnsi="宋体" w:eastAsia="宋体" w:cs="宋体"/>
                <w:i w:val="0"/>
                <w:iCs w:val="0"/>
                <w:color w:val="000000"/>
                <w:kern w:val="0"/>
                <w:sz w:val="20"/>
                <w:szCs w:val="20"/>
                <w:u w:val="none"/>
                <w:lang w:val="en-US" w:eastAsia="zh-CN" w:bidi="ar"/>
              </w:rPr>
              <w:t>　　事业运行</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391.19</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391.19</w:t>
            </w:r>
          </w:p>
        </w:tc>
        <w:tc>
          <w:tcPr>
            <w:tcW w:w="466"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70"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443"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595"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360" w:hRule="atLeast"/>
        </w:trPr>
        <w:tc>
          <w:tcPr>
            <w:tcW w:w="542"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2013899</w:t>
            </w:r>
          </w:p>
        </w:tc>
        <w:tc>
          <w:tcPr>
            <w:tcW w:w="1548"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其他市场监督管理事务</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51.04</w:t>
            </w:r>
          </w:p>
        </w:tc>
        <w:tc>
          <w:tcPr>
            <w:tcW w:w="466"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51.04</w:t>
            </w:r>
          </w:p>
        </w:tc>
        <w:tc>
          <w:tcPr>
            <w:tcW w:w="470"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443"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595"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360" w:hRule="atLeast"/>
        </w:trPr>
        <w:tc>
          <w:tcPr>
            <w:tcW w:w="542"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208</w:t>
            </w:r>
          </w:p>
        </w:tc>
        <w:tc>
          <w:tcPr>
            <w:tcW w:w="1548"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71.57</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71.57</w:t>
            </w:r>
          </w:p>
        </w:tc>
        <w:tc>
          <w:tcPr>
            <w:tcW w:w="466"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70"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443"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595"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360" w:hRule="atLeast"/>
        </w:trPr>
        <w:tc>
          <w:tcPr>
            <w:tcW w:w="542"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20805</w:t>
            </w:r>
          </w:p>
        </w:tc>
        <w:tc>
          <w:tcPr>
            <w:tcW w:w="1548"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行政事业单位养老支出</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71.57</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71.57</w:t>
            </w:r>
          </w:p>
        </w:tc>
        <w:tc>
          <w:tcPr>
            <w:tcW w:w="466"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70"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443"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595"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360" w:hRule="atLeast"/>
        </w:trPr>
        <w:tc>
          <w:tcPr>
            <w:tcW w:w="542"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2080502</w:t>
            </w:r>
          </w:p>
        </w:tc>
        <w:tc>
          <w:tcPr>
            <w:tcW w:w="1548"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事业单位离退休</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0.75</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0.75</w:t>
            </w:r>
          </w:p>
        </w:tc>
        <w:tc>
          <w:tcPr>
            <w:tcW w:w="466"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70"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443"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595"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360" w:hRule="atLeast"/>
        </w:trPr>
        <w:tc>
          <w:tcPr>
            <w:tcW w:w="542"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2080505</w:t>
            </w:r>
          </w:p>
        </w:tc>
        <w:tc>
          <w:tcPr>
            <w:tcW w:w="1548"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机关事业单位基本养老保险缴费支出</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47.22</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47.22</w:t>
            </w:r>
          </w:p>
        </w:tc>
        <w:tc>
          <w:tcPr>
            <w:tcW w:w="466"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70"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443"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595"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360" w:hRule="atLeast"/>
        </w:trPr>
        <w:tc>
          <w:tcPr>
            <w:tcW w:w="542"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2080506</w:t>
            </w:r>
          </w:p>
        </w:tc>
        <w:tc>
          <w:tcPr>
            <w:tcW w:w="1548"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机关事业单位职业年金缴费支出</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23.61</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23.61</w:t>
            </w:r>
          </w:p>
        </w:tc>
        <w:tc>
          <w:tcPr>
            <w:tcW w:w="466"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70"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443"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595"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360" w:hRule="atLeast"/>
        </w:trPr>
        <w:tc>
          <w:tcPr>
            <w:tcW w:w="542"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210</w:t>
            </w:r>
          </w:p>
        </w:tc>
        <w:tc>
          <w:tcPr>
            <w:tcW w:w="1548"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卫生健康支出</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14.85</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14.85</w:t>
            </w:r>
          </w:p>
        </w:tc>
        <w:tc>
          <w:tcPr>
            <w:tcW w:w="466"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70"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443"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595"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360" w:hRule="atLeast"/>
        </w:trPr>
        <w:tc>
          <w:tcPr>
            <w:tcW w:w="542"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21011</w:t>
            </w:r>
          </w:p>
        </w:tc>
        <w:tc>
          <w:tcPr>
            <w:tcW w:w="1548"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行政事业单位医疗</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14.85</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14.85</w:t>
            </w:r>
          </w:p>
        </w:tc>
        <w:tc>
          <w:tcPr>
            <w:tcW w:w="466"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70"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443"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595"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360" w:hRule="atLeast"/>
        </w:trPr>
        <w:tc>
          <w:tcPr>
            <w:tcW w:w="542"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2101102</w:t>
            </w:r>
          </w:p>
        </w:tc>
        <w:tc>
          <w:tcPr>
            <w:tcW w:w="1548"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事业单位医疗</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14.85</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14.85</w:t>
            </w:r>
          </w:p>
        </w:tc>
        <w:tc>
          <w:tcPr>
            <w:tcW w:w="466"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70"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443"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595"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360" w:hRule="atLeast"/>
        </w:trPr>
        <w:tc>
          <w:tcPr>
            <w:tcW w:w="542"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221</w:t>
            </w:r>
          </w:p>
        </w:tc>
        <w:tc>
          <w:tcPr>
            <w:tcW w:w="1548"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住房保障支出</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58.21</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58.21</w:t>
            </w:r>
          </w:p>
        </w:tc>
        <w:tc>
          <w:tcPr>
            <w:tcW w:w="466"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70"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443"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595"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360" w:hRule="atLeast"/>
        </w:trPr>
        <w:tc>
          <w:tcPr>
            <w:tcW w:w="542"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22102</w:t>
            </w:r>
          </w:p>
        </w:tc>
        <w:tc>
          <w:tcPr>
            <w:tcW w:w="1548"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住房改革支出</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58.21</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58.21</w:t>
            </w:r>
          </w:p>
        </w:tc>
        <w:tc>
          <w:tcPr>
            <w:tcW w:w="466"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70"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443"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595"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360" w:hRule="atLeast"/>
        </w:trPr>
        <w:tc>
          <w:tcPr>
            <w:tcW w:w="542"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2210201</w:t>
            </w:r>
          </w:p>
        </w:tc>
        <w:tc>
          <w:tcPr>
            <w:tcW w:w="1548"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住房公积金</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35.41</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35.41</w:t>
            </w:r>
          </w:p>
        </w:tc>
        <w:tc>
          <w:tcPr>
            <w:tcW w:w="466"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70"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443"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595"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360" w:hRule="atLeast"/>
        </w:trPr>
        <w:tc>
          <w:tcPr>
            <w:tcW w:w="542"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2210202</w:t>
            </w:r>
          </w:p>
        </w:tc>
        <w:tc>
          <w:tcPr>
            <w:tcW w:w="1548"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提租补贴</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22.80</w:t>
            </w:r>
          </w:p>
        </w:tc>
        <w:tc>
          <w:tcPr>
            <w:tcW w:w="466"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22.80</w:t>
            </w:r>
          </w:p>
        </w:tc>
        <w:tc>
          <w:tcPr>
            <w:tcW w:w="466"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70"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443"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p>
        </w:tc>
        <w:tc>
          <w:tcPr>
            <w:tcW w:w="595"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360" w:hRule="atLeast"/>
        </w:trPr>
        <w:tc>
          <w:tcPr>
            <w:tcW w:w="2090" w:type="pct"/>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eastAsia" w:ascii="TimesNewRoman" w:hAnsi="TimesNewRoman" w:cs="TimesNewRoman"/>
                <w:b/>
                <w:bCs/>
                <w:color w:val="000000"/>
                <w:kern w:val="0"/>
                <w:sz w:val="22"/>
                <w:lang w:eastAsia="zh-CN"/>
              </w:rPr>
              <w:t>合</w:t>
            </w:r>
            <w:r>
              <w:rPr>
                <w:rFonts w:hint="default" w:ascii="TimesNewRoman" w:hAnsi="TimesNewRoman" w:cs="TimesNewRoman"/>
                <w:b/>
                <w:bCs/>
                <w:color w:val="000000"/>
                <w:kern w:val="0"/>
                <w:sz w:val="22"/>
              </w:rPr>
              <w:t xml:space="preserve"> 计</w:t>
            </w:r>
          </w:p>
        </w:tc>
        <w:tc>
          <w:tcPr>
            <w:tcW w:w="816"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b/>
                <w:bCs/>
                <w:color w:val="000000"/>
                <w:kern w:val="0"/>
                <w:sz w:val="22"/>
              </w:rPr>
            </w:pPr>
            <w:r>
              <w:rPr>
                <w:rFonts w:hint="eastAsia" w:ascii="宋体" w:hAnsi="宋体" w:eastAsia="宋体" w:cs="宋体"/>
                <w:i w:val="0"/>
                <w:iCs w:val="0"/>
                <w:color w:val="000000"/>
                <w:kern w:val="0"/>
                <w:sz w:val="20"/>
                <w:szCs w:val="20"/>
                <w:u w:val="none"/>
                <w:lang w:val="en-US" w:eastAsia="zh-CN" w:bidi="ar"/>
              </w:rPr>
              <w:t>798.06</w:t>
            </w:r>
          </w:p>
        </w:tc>
        <w:tc>
          <w:tcPr>
            <w:tcW w:w="816"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b/>
                <w:bCs/>
                <w:color w:val="000000"/>
                <w:kern w:val="0"/>
                <w:sz w:val="22"/>
              </w:rPr>
            </w:pPr>
            <w:r>
              <w:rPr>
                <w:rFonts w:hint="eastAsia" w:ascii="宋体" w:hAnsi="宋体" w:eastAsia="宋体" w:cs="宋体"/>
                <w:i w:val="0"/>
                <w:iCs w:val="0"/>
                <w:color w:val="000000"/>
                <w:kern w:val="0"/>
                <w:sz w:val="20"/>
                <w:szCs w:val="20"/>
                <w:u w:val="none"/>
                <w:lang w:val="en-US" w:eastAsia="zh-CN" w:bidi="ar"/>
              </w:rPr>
              <w:t>535.82</w:t>
            </w:r>
          </w:p>
        </w:tc>
        <w:tc>
          <w:tcPr>
            <w:tcW w:w="816"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b/>
                <w:bCs/>
                <w:color w:val="000000"/>
                <w:kern w:val="0"/>
                <w:sz w:val="22"/>
              </w:rPr>
            </w:pPr>
            <w:r>
              <w:rPr>
                <w:rFonts w:hint="eastAsia" w:ascii="宋体" w:hAnsi="宋体" w:eastAsia="宋体" w:cs="宋体"/>
                <w:i w:val="0"/>
                <w:iCs w:val="0"/>
                <w:color w:val="000000"/>
                <w:kern w:val="0"/>
                <w:sz w:val="20"/>
                <w:szCs w:val="20"/>
                <w:u w:val="none"/>
                <w:lang w:val="en-US" w:eastAsia="zh-CN" w:bidi="ar"/>
              </w:rPr>
              <w:t>262.24</w:t>
            </w:r>
          </w:p>
        </w:tc>
        <w:tc>
          <w:tcPr>
            <w:tcW w:w="470"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b/>
                <w:bCs/>
                <w:color w:val="000000"/>
                <w:kern w:val="0"/>
                <w:sz w:val="22"/>
              </w:rPr>
            </w:pPr>
          </w:p>
        </w:tc>
        <w:tc>
          <w:tcPr>
            <w:tcW w:w="443"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b/>
                <w:bCs/>
                <w:color w:val="000000"/>
                <w:kern w:val="0"/>
                <w:sz w:val="22"/>
              </w:rPr>
            </w:pPr>
          </w:p>
        </w:tc>
        <w:tc>
          <w:tcPr>
            <w:tcW w:w="595"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b/>
                <w:bCs/>
                <w:color w:val="000000"/>
                <w:kern w:val="0"/>
                <w:sz w:val="22"/>
              </w:rPr>
            </w:pPr>
          </w:p>
        </w:tc>
      </w:tr>
    </w:tbl>
    <w:p>
      <w:pPr>
        <w:keepNext w:val="0"/>
        <w:keepLines w:val="0"/>
        <w:pageBreakBefore w:val="0"/>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w:t>
      </w:r>
      <w:r>
        <w:rPr>
          <w:rFonts w:hint="eastAsia" w:ascii="TimesNewRoman" w:hAnsi="TimesNewRoman" w:cs="TimesNewRoman"/>
          <w:color w:val="000000"/>
          <w:kern w:val="0"/>
          <w:sz w:val="20"/>
          <w:lang w:eastAsia="zh-CN"/>
        </w:rPr>
        <w:t>单位公开表</w:t>
      </w:r>
      <w:r>
        <w:rPr>
          <w:rFonts w:hint="default" w:ascii="TimesNewRoman" w:hAnsi="TimesNewRoman" w:cs="TimesNewRoman"/>
          <w:color w:val="000000"/>
          <w:kern w:val="0"/>
          <w:sz w:val="20"/>
        </w:rPr>
        <w:t>4</w:t>
      </w:r>
    </w:p>
    <w:p>
      <w:pPr>
        <w:keepNext w:val="0"/>
        <w:keepLines w:val="0"/>
        <w:pageBreakBefore w:val="0"/>
        <w:widowControl/>
        <w:kinsoku/>
        <w:wordWrap/>
        <w:overflowPunct/>
        <w:topLinePunct w:val="0"/>
        <w:autoSpaceDE/>
        <w:autoSpaceDN/>
        <w:bidi w:val="0"/>
        <w:adjustRightInd/>
        <w:snapToGrid/>
        <w:spacing w:before="157" w:beforeLines="50" w:after="157" w:afterLines="50" w:line="560" w:lineRule="exact"/>
        <w:jc w:val="center"/>
        <w:textAlignment w:val="auto"/>
        <w:rPr>
          <w:rFonts w:hint="default" w:ascii="TimesNewRoman" w:hAnsi="TimesNewRoman" w:eastAsia="华文中宋" w:cs="TimesNewRoman"/>
          <w:b/>
          <w:bCs/>
          <w:color w:val="000000"/>
          <w:kern w:val="0"/>
          <w:sz w:val="30"/>
          <w:szCs w:val="30"/>
        </w:rPr>
      </w:pPr>
      <w:r>
        <w:rPr>
          <w:rFonts w:hint="eastAsia" w:ascii="TimesNewRoman" w:hAnsi="TimesNewRoman" w:eastAsia="华文中宋" w:cs="TimesNewRoman"/>
          <w:b/>
          <w:bCs/>
          <w:color w:val="000000"/>
          <w:kern w:val="0"/>
          <w:sz w:val="30"/>
          <w:szCs w:val="30"/>
          <w:lang w:eastAsia="zh-CN"/>
        </w:rPr>
        <w:t>淮南市食品药品检验中心</w:t>
      </w:r>
      <w:r>
        <w:rPr>
          <w:rFonts w:hint="default" w:ascii="TimesNewRoman" w:hAnsi="TimesNewRoman" w:eastAsia="华文中宋" w:cs="TimesNewRoman"/>
          <w:b/>
          <w:bCs/>
          <w:color w:val="000000"/>
          <w:kern w:val="0"/>
          <w:sz w:val="30"/>
          <w:szCs w:val="30"/>
          <w:lang w:val="en"/>
        </w:rPr>
        <w:t>2024</w:t>
      </w:r>
      <w:r>
        <w:rPr>
          <w:rFonts w:hint="default" w:ascii="TimesNewRoman" w:hAnsi="TimesNewRoman" w:eastAsia="华文中宋" w:cs="TimesNewRoman"/>
          <w:b/>
          <w:bCs/>
          <w:color w:val="000000"/>
          <w:kern w:val="0"/>
          <w:sz w:val="30"/>
          <w:szCs w:val="30"/>
        </w:rPr>
        <w:t>年财政拨款收支总表</w:t>
      </w:r>
    </w:p>
    <w:p>
      <w:pPr>
        <w:keepNext w:val="0"/>
        <w:keepLines w:val="0"/>
        <w:pageBreakBefore w:val="0"/>
        <w:widowControl w:val="0"/>
        <w:kinsoku/>
        <w:wordWrap/>
        <w:overflowPunct/>
        <w:topLinePunct w:val="0"/>
        <w:autoSpaceDE/>
        <w:autoSpaceDN/>
        <w:bidi w:val="0"/>
        <w:adjustRightInd/>
        <w:snapToGrid/>
        <w:spacing w:line="560" w:lineRule="exact"/>
        <w:ind w:left="0" w:hanging="7400" w:hangingChars="3700"/>
        <w:textAlignment w:val="auto"/>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单位：万元</w:t>
      </w:r>
    </w:p>
    <w:tbl>
      <w:tblPr>
        <w:tblStyle w:val="5"/>
        <w:tblW w:w="8416" w:type="dxa"/>
        <w:tblInd w:w="0" w:type="dxa"/>
        <w:tblLayout w:type="fixed"/>
        <w:tblCellMar>
          <w:top w:w="0" w:type="dxa"/>
          <w:left w:w="108" w:type="dxa"/>
          <w:bottom w:w="0" w:type="dxa"/>
          <w:right w:w="108" w:type="dxa"/>
        </w:tblCellMar>
      </w:tblPr>
      <w:tblGrid>
        <w:gridCol w:w="2718"/>
        <w:gridCol w:w="1059"/>
        <w:gridCol w:w="3468"/>
        <w:gridCol w:w="1171"/>
      </w:tblGrid>
      <w:tr>
        <w:tblPrEx>
          <w:tblCellMar>
            <w:top w:w="0" w:type="dxa"/>
            <w:left w:w="108" w:type="dxa"/>
            <w:bottom w:w="0" w:type="dxa"/>
            <w:right w:w="108" w:type="dxa"/>
          </w:tblCellMar>
        </w:tblPrEx>
        <w:trPr>
          <w:trHeight w:val="319" w:hRule="atLeast"/>
        </w:trPr>
        <w:tc>
          <w:tcPr>
            <w:tcW w:w="3777"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rPr>
            </w:pPr>
            <w:r>
              <w:rPr>
                <w:rFonts w:hint="default" w:ascii="TimesNewRoman" w:hAnsi="TimesNewRoman" w:cs="TimesNewRoman"/>
                <w:b/>
                <w:bCs/>
                <w:color w:val="000000"/>
                <w:kern w:val="0"/>
                <w:sz w:val="20"/>
              </w:rPr>
              <w:t>收      入</w:t>
            </w:r>
          </w:p>
        </w:tc>
        <w:tc>
          <w:tcPr>
            <w:tcW w:w="4639"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rPr>
            </w:pPr>
            <w:r>
              <w:rPr>
                <w:rFonts w:hint="default" w:ascii="TimesNewRoman" w:hAnsi="TimesNewRoman" w:cs="TimesNewRoman"/>
                <w:b/>
                <w:bCs/>
                <w:color w:val="000000"/>
                <w:kern w:val="0"/>
                <w:sz w:val="20"/>
              </w:rPr>
              <w:t>支      出</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rPr>
            </w:pPr>
            <w:r>
              <w:rPr>
                <w:rFonts w:hint="default" w:ascii="TimesNewRoman" w:hAnsi="TimesNewRoman" w:cs="TimesNewRoman"/>
                <w:b/>
                <w:bCs/>
                <w:color w:val="000000"/>
                <w:kern w:val="0"/>
                <w:sz w:val="20"/>
              </w:rPr>
              <w:t>项目</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rPr>
            </w:pPr>
            <w:r>
              <w:rPr>
                <w:rFonts w:hint="default" w:ascii="TimesNewRoman" w:hAnsi="TimesNewRoman" w:cs="TimesNewRoman"/>
                <w:b/>
                <w:bCs/>
                <w:color w:val="000000"/>
                <w:kern w:val="0"/>
                <w:sz w:val="20"/>
              </w:rPr>
              <w:t>预算数</w:t>
            </w: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rPr>
            </w:pPr>
            <w:r>
              <w:rPr>
                <w:rFonts w:hint="default" w:ascii="TimesNewRoman" w:hAnsi="TimesNewRoman" w:cs="TimesNewRoman"/>
                <w:b/>
                <w:bCs/>
                <w:color w:val="000000"/>
                <w:kern w:val="0"/>
                <w:sz w:val="20"/>
              </w:rPr>
              <w:t>项目</w:t>
            </w:r>
          </w:p>
        </w:tc>
        <w:tc>
          <w:tcPr>
            <w:tcW w:w="1171"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rPr>
            </w:pPr>
            <w:r>
              <w:rPr>
                <w:rFonts w:hint="default" w:ascii="TimesNewRoman" w:hAnsi="TimesNewRoman" w:cs="TimesNewRoman"/>
                <w:b/>
                <w:bCs/>
                <w:color w:val="000000"/>
                <w:kern w:val="0"/>
                <w:sz w:val="20"/>
              </w:rPr>
              <w:t>预算数</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一、本年收入</w:t>
            </w:r>
          </w:p>
        </w:tc>
        <w:tc>
          <w:tcPr>
            <w:tcW w:w="1059"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rPr>
            </w:pPr>
            <w:r>
              <w:rPr>
                <w:rFonts w:hint="eastAsia" w:ascii="宋体" w:hAnsi="宋体" w:eastAsia="宋体" w:cs="宋体"/>
                <w:i w:val="0"/>
                <w:iCs w:val="0"/>
                <w:color w:val="000000"/>
                <w:kern w:val="0"/>
                <w:sz w:val="20"/>
                <w:szCs w:val="20"/>
                <w:u w:val="none"/>
                <w:lang w:val="en-US" w:eastAsia="zh-CN" w:bidi="ar"/>
              </w:rPr>
              <w:t>798.06</w:t>
            </w: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一、本年支出</w:t>
            </w:r>
          </w:p>
        </w:tc>
        <w:tc>
          <w:tcPr>
            <w:tcW w:w="1171"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rPr>
            </w:pPr>
            <w:r>
              <w:rPr>
                <w:rFonts w:hint="eastAsia" w:ascii="宋体" w:hAnsi="宋体" w:eastAsia="宋体" w:cs="宋体"/>
                <w:i w:val="0"/>
                <w:iCs w:val="0"/>
                <w:color w:val="000000"/>
                <w:kern w:val="0"/>
                <w:sz w:val="20"/>
                <w:szCs w:val="20"/>
                <w:u w:val="none"/>
                <w:lang w:val="en-US" w:eastAsia="zh-CN" w:bidi="ar"/>
              </w:rPr>
              <w:t>798.06</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（一）一般公共预算拨款</w:t>
            </w:r>
          </w:p>
        </w:tc>
        <w:tc>
          <w:tcPr>
            <w:tcW w:w="1059"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rPr>
            </w:pPr>
            <w:r>
              <w:rPr>
                <w:rFonts w:hint="eastAsia" w:ascii="宋体" w:hAnsi="宋体" w:eastAsia="宋体" w:cs="宋体"/>
                <w:i w:val="0"/>
                <w:iCs w:val="0"/>
                <w:color w:val="000000"/>
                <w:kern w:val="0"/>
                <w:sz w:val="20"/>
                <w:szCs w:val="20"/>
                <w:u w:val="none"/>
                <w:lang w:val="en-US" w:eastAsia="zh-CN" w:bidi="ar"/>
              </w:rPr>
              <w:t>798.06</w:t>
            </w: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（一）一般公共服务支出</w:t>
            </w:r>
          </w:p>
        </w:tc>
        <w:tc>
          <w:tcPr>
            <w:tcW w:w="1171"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rPr>
            </w:pPr>
            <w:r>
              <w:rPr>
                <w:rFonts w:hint="eastAsia" w:ascii="宋体" w:hAnsi="宋体" w:eastAsia="宋体" w:cs="宋体"/>
                <w:i w:val="0"/>
                <w:iCs w:val="0"/>
                <w:color w:val="000000"/>
                <w:kern w:val="0"/>
                <w:sz w:val="20"/>
                <w:szCs w:val="20"/>
                <w:u w:val="none"/>
                <w:lang w:val="en-US" w:eastAsia="zh-CN" w:bidi="ar"/>
              </w:rPr>
              <w:t>653.43</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（二）政府性基金预算拨款</w:t>
            </w:r>
          </w:p>
        </w:tc>
        <w:tc>
          <w:tcPr>
            <w:tcW w:w="1059"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rPr>
            </w:pP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（二）外交支出</w:t>
            </w:r>
          </w:p>
        </w:tc>
        <w:tc>
          <w:tcPr>
            <w:tcW w:w="1171"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rPr>
            </w:pP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（三）国有资本经营预算拨款</w:t>
            </w:r>
          </w:p>
        </w:tc>
        <w:tc>
          <w:tcPr>
            <w:tcW w:w="1059"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rPr>
            </w:pP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（三）国防支出</w:t>
            </w:r>
          </w:p>
        </w:tc>
        <w:tc>
          <w:tcPr>
            <w:tcW w:w="1171"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rPr>
            </w:pP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p>
        </w:tc>
        <w:tc>
          <w:tcPr>
            <w:tcW w:w="1059"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rPr>
            </w:pP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（四）公共安全支出</w:t>
            </w:r>
          </w:p>
        </w:tc>
        <w:tc>
          <w:tcPr>
            <w:tcW w:w="1171"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rPr>
            </w:pP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eastAsia="仿宋_GB2312" w:cs="TimesNewRoman"/>
                <w:color w:val="000000"/>
                <w:kern w:val="0"/>
                <w:sz w:val="20"/>
                <w:lang w:val="en-US" w:eastAsia="zh-CN" w:bidi="ar-SA"/>
              </w:rPr>
            </w:pPr>
            <w:r>
              <w:rPr>
                <w:rFonts w:hint="default" w:ascii="TimesNewRoman" w:hAnsi="TimesNewRoman" w:cs="TimesNewRoman"/>
                <w:color w:val="000000"/>
                <w:kern w:val="0"/>
                <w:sz w:val="20"/>
              </w:rPr>
              <w:t>二、上年结转</w:t>
            </w:r>
          </w:p>
        </w:tc>
        <w:tc>
          <w:tcPr>
            <w:tcW w:w="1059"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rPr>
            </w:pP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（五）教育支出</w:t>
            </w:r>
          </w:p>
        </w:tc>
        <w:tc>
          <w:tcPr>
            <w:tcW w:w="1171"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rPr>
            </w:pP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eastAsia="仿宋_GB2312" w:cs="TimesNewRoman"/>
                <w:color w:val="000000"/>
                <w:kern w:val="0"/>
                <w:sz w:val="20"/>
                <w:lang w:val="en-US" w:eastAsia="zh-CN" w:bidi="ar-SA"/>
              </w:rPr>
            </w:pPr>
            <w:r>
              <w:rPr>
                <w:rFonts w:hint="default" w:ascii="TimesNewRoman" w:hAnsi="TimesNewRoman" w:cs="TimesNewRoman"/>
                <w:color w:val="000000"/>
                <w:kern w:val="0"/>
                <w:sz w:val="20"/>
              </w:rPr>
              <w:t>（一）一般公共预算拨款</w:t>
            </w:r>
          </w:p>
        </w:tc>
        <w:tc>
          <w:tcPr>
            <w:tcW w:w="1059"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rPr>
            </w:pP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（六）科学技术支出</w:t>
            </w:r>
          </w:p>
        </w:tc>
        <w:tc>
          <w:tcPr>
            <w:tcW w:w="1171"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rPr>
            </w:pP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eastAsia="仿宋_GB2312" w:cs="TimesNewRoman"/>
                <w:color w:val="000000"/>
                <w:kern w:val="0"/>
                <w:sz w:val="20"/>
                <w:lang w:val="en-US" w:eastAsia="zh-CN" w:bidi="ar-SA"/>
              </w:rPr>
            </w:pPr>
            <w:r>
              <w:rPr>
                <w:rFonts w:hint="default" w:ascii="TimesNewRoman" w:hAnsi="TimesNewRoman" w:cs="TimesNewRoman"/>
                <w:color w:val="000000"/>
                <w:kern w:val="0"/>
                <w:sz w:val="20"/>
              </w:rPr>
              <w:t>（二）政府性基金预算拨款</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nil"/>
              <w:left w:val="nil"/>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（七）文化旅游体育与传媒支出</w:t>
            </w:r>
          </w:p>
        </w:tc>
        <w:tc>
          <w:tcPr>
            <w:tcW w:w="1171" w:type="dxa"/>
            <w:tcBorders>
              <w:top w:val="nil"/>
              <w:left w:val="single" w:color="auto" w:sz="4" w:space="0"/>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rPr>
            </w:pP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eastAsia="仿宋_GB2312" w:cs="TimesNewRoman"/>
                <w:color w:val="000000"/>
                <w:kern w:val="0"/>
                <w:sz w:val="20"/>
                <w:lang w:val="en-US" w:eastAsia="zh-CN" w:bidi="ar-SA"/>
              </w:rPr>
            </w:pPr>
            <w:r>
              <w:rPr>
                <w:rFonts w:hint="default" w:ascii="TimesNewRoman" w:hAnsi="TimesNewRoman" w:cs="TimesNewRoman"/>
                <w:color w:val="000000"/>
                <w:kern w:val="0"/>
                <w:sz w:val="20"/>
              </w:rPr>
              <w:t>（三）国有资本经营预算拨款</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p>
        </w:tc>
        <w:tc>
          <w:tcPr>
            <w:tcW w:w="3468" w:type="dxa"/>
            <w:tcBorders>
              <w:top w:val="nil"/>
              <w:left w:val="nil"/>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（八）社会保障和就业支出</w:t>
            </w:r>
          </w:p>
        </w:tc>
        <w:tc>
          <w:tcPr>
            <w:tcW w:w="1171"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rPr>
            </w:pPr>
            <w:r>
              <w:rPr>
                <w:rFonts w:hint="eastAsia" w:ascii="宋体" w:hAnsi="宋体" w:eastAsia="宋体" w:cs="宋体"/>
                <w:i w:val="0"/>
                <w:iCs w:val="0"/>
                <w:color w:val="000000"/>
                <w:kern w:val="0"/>
                <w:sz w:val="20"/>
                <w:szCs w:val="20"/>
                <w:u w:val="none"/>
                <w:lang w:val="en-US" w:eastAsia="zh-CN" w:bidi="ar"/>
              </w:rPr>
              <w:t>71.57</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nil"/>
              <w:left w:val="nil"/>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（九）卫生健康支出</w:t>
            </w:r>
          </w:p>
        </w:tc>
        <w:tc>
          <w:tcPr>
            <w:tcW w:w="1171"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rPr>
            </w:pPr>
            <w:r>
              <w:rPr>
                <w:rFonts w:hint="eastAsia" w:ascii="宋体" w:hAnsi="宋体" w:eastAsia="宋体" w:cs="宋体"/>
                <w:i w:val="0"/>
                <w:iCs w:val="0"/>
                <w:color w:val="000000"/>
                <w:kern w:val="0"/>
                <w:sz w:val="20"/>
                <w:szCs w:val="20"/>
                <w:u w:val="none"/>
                <w:lang w:val="en-US" w:eastAsia="zh-CN" w:bidi="ar"/>
              </w:rPr>
              <w:t>14.85</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nil"/>
              <w:left w:val="nil"/>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（十）节能环保支出</w:t>
            </w:r>
          </w:p>
        </w:tc>
        <w:tc>
          <w:tcPr>
            <w:tcW w:w="117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nil"/>
              <w:left w:val="nil"/>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（十一）城乡社区支出</w:t>
            </w:r>
          </w:p>
        </w:tc>
        <w:tc>
          <w:tcPr>
            <w:tcW w:w="117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nil"/>
              <w:left w:val="nil"/>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（十二）农林水支出</w:t>
            </w:r>
          </w:p>
        </w:tc>
        <w:tc>
          <w:tcPr>
            <w:tcW w:w="117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nil"/>
              <w:left w:val="nil"/>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（十三）交通运输支出</w:t>
            </w:r>
          </w:p>
        </w:tc>
        <w:tc>
          <w:tcPr>
            <w:tcW w:w="117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（十四）资源勘探工业信息等支出</w:t>
            </w:r>
          </w:p>
        </w:tc>
        <w:tc>
          <w:tcPr>
            <w:tcW w:w="1171"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（十五）商业服务业等支出</w:t>
            </w:r>
          </w:p>
        </w:tc>
        <w:tc>
          <w:tcPr>
            <w:tcW w:w="1171"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（十六）金融支出</w:t>
            </w:r>
          </w:p>
        </w:tc>
        <w:tc>
          <w:tcPr>
            <w:tcW w:w="1171"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（十七）援助其他地区支出</w:t>
            </w:r>
          </w:p>
        </w:tc>
        <w:tc>
          <w:tcPr>
            <w:tcW w:w="1171"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319" w:hRule="atLeast"/>
        </w:trPr>
        <w:tc>
          <w:tcPr>
            <w:tcW w:w="3777"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color w:val="000000"/>
                <w:kern w:val="0"/>
                <w:sz w:val="20"/>
              </w:rPr>
            </w:pPr>
            <w:r>
              <w:rPr>
                <w:rFonts w:hint="default" w:ascii="TimesNewRoman" w:hAnsi="TimesNewRoman" w:cs="TimesNewRoman"/>
                <w:b/>
                <w:bCs/>
                <w:color w:val="000000"/>
                <w:kern w:val="0"/>
                <w:sz w:val="20"/>
              </w:rPr>
              <w:t>收      入</w:t>
            </w:r>
          </w:p>
        </w:tc>
        <w:tc>
          <w:tcPr>
            <w:tcW w:w="463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color w:val="000000"/>
                <w:kern w:val="0"/>
                <w:sz w:val="20"/>
              </w:rPr>
            </w:pPr>
            <w:r>
              <w:rPr>
                <w:rFonts w:hint="default" w:ascii="TimesNewRoman" w:hAnsi="TimesNewRoman" w:cs="TimesNewRoman"/>
                <w:b/>
                <w:bCs/>
                <w:color w:val="000000"/>
                <w:kern w:val="0"/>
                <w:sz w:val="20"/>
              </w:rPr>
              <w:t>支      出</w:t>
            </w:r>
          </w:p>
        </w:tc>
      </w:tr>
      <w:tr>
        <w:tblPrEx>
          <w:tblCellMar>
            <w:top w:w="0" w:type="dxa"/>
            <w:left w:w="108" w:type="dxa"/>
            <w:bottom w:w="0" w:type="dxa"/>
            <w:right w:w="108" w:type="dxa"/>
          </w:tblCellMar>
        </w:tblPrEx>
        <w:trPr>
          <w:trHeight w:val="319" w:hRule="atLeast"/>
        </w:trPr>
        <w:tc>
          <w:tcPr>
            <w:tcW w:w="27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color w:val="000000"/>
                <w:kern w:val="0"/>
                <w:sz w:val="20"/>
              </w:rPr>
            </w:pPr>
            <w:r>
              <w:rPr>
                <w:rFonts w:hint="default" w:ascii="TimesNewRoman" w:hAnsi="TimesNewRoman" w:cs="TimesNewRoman"/>
                <w:b/>
                <w:bCs/>
                <w:color w:val="000000"/>
                <w:kern w:val="0"/>
                <w:sz w:val="20"/>
              </w:rPr>
              <w:t>项目</w:t>
            </w:r>
          </w:p>
        </w:tc>
        <w:tc>
          <w:tcPr>
            <w:tcW w:w="10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color w:val="000000"/>
                <w:kern w:val="0"/>
                <w:sz w:val="20"/>
              </w:rPr>
            </w:pPr>
            <w:r>
              <w:rPr>
                <w:rFonts w:hint="default" w:ascii="TimesNewRoman" w:hAnsi="TimesNewRoman" w:cs="TimesNewRoman"/>
                <w:b/>
                <w:bCs/>
                <w:color w:val="000000"/>
                <w:kern w:val="0"/>
                <w:sz w:val="20"/>
              </w:rPr>
              <w:t>预算数</w:t>
            </w:r>
          </w:p>
        </w:tc>
        <w:tc>
          <w:tcPr>
            <w:tcW w:w="34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color w:val="000000"/>
                <w:kern w:val="0"/>
                <w:sz w:val="20"/>
              </w:rPr>
            </w:pPr>
            <w:r>
              <w:rPr>
                <w:rFonts w:hint="default" w:ascii="TimesNewRoman" w:hAnsi="TimesNewRoman" w:cs="TimesNewRoman"/>
                <w:b/>
                <w:bCs/>
                <w:color w:val="000000"/>
                <w:kern w:val="0"/>
                <w:sz w:val="20"/>
              </w:rPr>
              <w:t>项目</w:t>
            </w:r>
          </w:p>
        </w:tc>
        <w:tc>
          <w:tcPr>
            <w:tcW w:w="11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color w:val="000000"/>
                <w:kern w:val="0"/>
                <w:sz w:val="20"/>
              </w:rPr>
            </w:pPr>
            <w:r>
              <w:rPr>
                <w:rFonts w:hint="default" w:ascii="TimesNewRoman" w:hAnsi="TimesNewRoman" w:cs="TimesNewRoman"/>
                <w:b/>
                <w:bCs/>
                <w:color w:val="000000"/>
                <w:kern w:val="0"/>
                <w:sz w:val="20"/>
              </w:rPr>
              <w:t>预算数</w:t>
            </w:r>
          </w:p>
        </w:tc>
      </w:tr>
      <w:tr>
        <w:tblPrEx>
          <w:tblCellMar>
            <w:top w:w="0" w:type="dxa"/>
            <w:left w:w="108" w:type="dxa"/>
            <w:bottom w:w="0" w:type="dxa"/>
            <w:right w:w="108" w:type="dxa"/>
          </w:tblCellMar>
        </w:tblPrEx>
        <w:trPr>
          <w:trHeight w:val="319" w:hRule="atLeast"/>
        </w:trPr>
        <w:tc>
          <w:tcPr>
            <w:tcW w:w="27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0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（十八）自然资源海洋气象等支出</w:t>
            </w:r>
          </w:p>
        </w:tc>
        <w:tc>
          <w:tcPr>
            <w:tcW w:w="11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319" w:hRule="atLeast"/>
        </w:trPr>
        <w:tc>
          <w:tcPr>
            <w:tcW w:w="27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059"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（十九）住房保障支出</w:t>
            </w:r>
          </w:p>
        </w:tc>
        <w:tc>
          <w:tcPr>
            <w:tcW w:w="1171"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rPr>
              <w:t>58.21</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（二十）粮油物资储备支出</w:t>
            </w:r>
          </w:p>
        </w:tc>
        <w:tc>
          <w:tcPr>
            <w:tcW w:w="1171"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（二十一）灾害防治及应急管理支出</w:t>
            </w:r>
          </w:p>
        </w:tc>
        <w:tc>
          <w:tcPr>
            <w:tcW w:w="1171"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（二十二）预备费</w:t>
            </w:r>
          </w:p>
        </w:tc>
        <w:tc>
          <w:tcPr>
            <w:tcW w:w="1171"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（二十三）其他支出</w:t>
            </w:r>
          </w:p>
        </w:tc>
        <w:tc>
          <w:tcPr>
            <w:tcW w:w="1171"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（二十四）转移性支出</w:t>
            </w:r>
          </w:p>
        </w:tc>
        <w:tc>
          <w:tcPr>
            <w:tcW w:w="1171"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（二十五）债务还本支出</w:t>
            </w:r>
          </w:p>
        </w:tc>
        <w:tc>
          <w:tcPr>
            <w:tcW w:w="1171"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（二十六）债务付息支出</w:t>
            </w:r>
          </w:p>
        </w:tc>
        <w:tc>
          <w:tcPr>
            <w:tcW w:w="1171"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（二十七）债务发行费用支出</w:t>
            </w:r>
          </w:p>
        </w:tc>
        <w:tc>
          <w:tcPr>
            <w:tcW w:w="1171"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二、年终结转结余</w:t>
            </w:r>
          </w:p>
        </w:tc>
        <w:tc>
          <w:tcPr>
            <w:tcW w:w="1171"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（一）一般公共预算结转结余</w:t>
            </w:r>
          </w:p>
        </w:tc>
        <w:tc>
          <w:tcPr>
            <w:tcW w:w="1171"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（二）政府性基金预算结转结余</w:t>
            </w:r>
          </w:p>
        </w:tc>
        <w:tc>
          <w:tcPr>
            <w:tcW w:w="1171"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（三）国有资本经营预算结转结余</w:t>
            </w:r>
          </w:p>
        </w:tc>
        <w:tc>
          <w:tcPr>
            <w:tcW w:w="1171"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059"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171"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319" w:hRule="atLeast"/>
        </w:trPr>
        <w:tc>
          <w:tcPr>
            <w:tcW w:w="2718"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rPr>
            </w:pPr>
            <w:r>
              <w:rPr>
                <w:rFonts w:hint="default" w:ascii="TimesNewRoman" w:hAnsi="TimesNewRoman" w:cs="TimesNewRoman"/>
                <w:b/>
                <w:bCs/>
                <w:color w:val="000000"/>
                <w:kern w:val="0"/>
                <w:sz w:val="20"/>
              </w:rPr>
              <w:t>收    入    总    计</w:t>
            </w:r>
          </w:p>
        </w:tc>
        <w:tc>
          <w:tcPr>
            <w:tcW w:w="1059"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798.06</w:t>
            </w:r>
          </w:p>
        </w:tc>
        <w:tc>
          <w:tcPr>
            <w:tcW w:w="346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rPr>
            </w:pPr>
            <w:r>
              <w:rPr>
                <w:rFonts w:hint="default" w:ascii="TimesNewRoman" w:hAnsi="TimesNewRoman" w:cs="TimesNewRoman"/>
                <w:b/>
                <w:bCs/>
                <w:color w:val="000000"/>
                <w:kern w:val="0"/>
                <w:sz w:val="20"/>
              </w:rPr>
              <w:t>支    出    总    计</w:t>
            </w:r>
          </w:p>
        </w:tc>
        <w:tc>
          <w:tcPr>
            <w:tcW w:w="1171"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798.06</w:t>
            </w:r>
          </w:p>
        </w:tc>
      </w:tr>
    </w:tbl>
    <w:p>
      <w:pPr>
        <w:keepNext w:val="0"/>
        <w:keepLines w:val="0"/>
        <w:pageBreakBefore w:val="0"/>
        <w:kinsoku/>
        <w:overflowPunct/>
        <w:topLinePunct w:val="0"/>
        <w:autoSpaceDE/>
        <w:autoSpaceDN/>
        <w:bidi w:val="0"/>
        <w:spacing w:line="560" w:lineRule="exact"/>
        <w:ind w:firstLine="6300" w:firstLineChars="3150"/>
        <w:rPr>
          <w:rFonts w:hint="default" w:ascii="TimesNewRoman" w:hAnsi="TimesNewRoman" w:cs="TimesNewRoman"/>
          <w:color w:val="000000"/>
          <w:kern w:val="0"/>
          <w:sz w:val="20"/>
        </w:rPr>
      </w:pPr>
    </w:p>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kern w:val="0"/>
          <w:sz w:val="20"/>
        </w:rPr>
      </w:pPr>
    </w:p>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kern w:val="0"/>
          <w:sz w:val="20"/>
        </w:rPr>
      </w:pPr>
    </w:p>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kern w:val="0"/>
          <w:sz w:val="20"/>
        </w:rPr>
      </w:pPr>
    </w:p>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kern w:val="0"/>
          <w:sz w:val="20"/>
        </w:rPr>
      </w:pPr>
    </w:p>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kern w:val="0"/>
          <w:sz w:val="20"/>
        </w:rPr>
      </w:pPr>
    </w:p>
    <w:p>
      <w:pPr>
        <w:keepNext w:val="0"/>
        <w:keepLines w:val="0"/>
        <w:pageBreakBefore w:val="0"/>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eastAsia" w:ascii="TimesNewRoman" w:hAnsi="TimesNewRoman" w:cs="TimesNewRoman"/>
          <w:color w:val="000000"/>
          <w:kern w:val="0"/>
          <w:sz w:val="20"/>
          <w:lang w:eastAsia="zh-CN"/>
        </w:rPr>
        <w:t>单位公开表</w:t>
      </w:r>
      <w:r>
        <w:rPr>
          <w:rFonts w:hint="default" w:ascii="TimesNewRoman" w:hAnsi="TimesNewRoman" w:cs="TimesNewRoman"/>
          <w:color w:val="000000"/>
          <w:kern w:val="0"/>
          <w:sz w:val="20"/>
        </w:rPr>
        <w:t>5</w:t>
      </w:r>
    </w:p>
    <w:p>
      <w:pPr>
        <w:keepNext w:val="0"/>
        <w:keepLines w:val="0"/>
        <w:pageBreakBefore w:val="0"/>
        <w:widowControl/>
        <w:kinsoku/>
        <w:wordWrap/>
        <w:overflowPunct/>
        <w:topLinePunct w:val="0"/>
        <w:autoSpaceDE/>
        <w:autoSpaceDN/>
        <w:bidi w:val="0"/>
        <w:adjustRightInd/>
        <w:snapToGrid/>
        <w:spacing w:before="157" w:beforeLines="50" w:after="157" w:afterLines="50" w:line="560" w:lineRule="exact"/>
        <w:jc w:val="center"/>
        <w:textAlignment w:val="auto"/>
        <w:rPr>
          <w:rFonts w:hint="default" w:ascii="TimesNewRoman" w:hAnsi="TimesNewRoman" w:eastAsia="华文中宋" w:cs="TimesNewRoman"/>
          <w:b/>
          <w:bCs/>
          <w:color w:val="000000"/>
          <w:kern w:val="0"/>
          <w:sz w:val="30"/>
          <w:szCs w:val="30"/>
        </w:rPr>
      </w:pPr>
      <w:r>
        <w:rPr>
          <w:rFonts w:hint="eastAsia" w:ascii="TimesNewRoman" w:hAnsi="TimesNewRoman" w:eastAsia="华文中宋" w:cs="TimesNewRoman"/>
          <w:b/>
          <w:bCs/>
          <w:color w:val="000000"/>
          <w:kern w:val="0"/>
          <w:sz w:val="30"/>
          <w:szCs w:val="30"/>
          <w:lang w:val="en-US" w:eastAsia="zh-CN"/>
        </w:rPr>
        <w:t xml:space="preserve">  </w:t>
      </w:r>
      <w:r>
        <w:rPr>
          <w:rFonts w:hint="eastAsia" w:ascii="TimesNewRoman" w:hAnsi="TimesNewRoman" w:eastAsia="华文中宋" w:cs="TimesNewRoman"/>
          <w:b/>
          <w:bCs/>
          <w:color w:val="000000"/>
          <w:kern w:val="0"/>
          <w:sz w:val="30"/>
          <w:szCs w:val="30"/>
          <w:lang w:eastAsia="zh-CN"/>
        </w:rPr>
        <w:t>淮南市食品药品检验中心</w:t>
      </w:r>
      <w:r>
        <w:rPr>
          <w:rFonts w:hint="default" w:ascii="TimesNewRoman" w:hAnsi="TimesNewRoman" w:eastAsia="华文中宋" w:cs="TimesNewRoman"/>
          <w:b/>
          <w:bCs/>
          <w:color w:val="000000"/>
          <w:kern w:val="0"/>
          <w:sz w:val="30"/>
          <w:szCs w:val="30"/>
          <w:lang w:val="en"/>
        </w:rPr>
        <w:t>2024</w:t>
      </w:r>
      <w:r>
        <w:rPr>
          <w:rFonts w:hint="default" w:ascii="TimesNewRoman" w:hAnsi="TimesNewRoman" w:eastAsia="华文中宋" w:cs="TimesNewRoman"/>
          <w:b/>
          <w:bCs/>
          <w:color w:val="000000"/>
          <w:kern w:val="0"/>
          <w:sz w:val="30"/>
          <w:szCs w:val="30"/>
        </w:rPr>
        <w:t>年一般公共预算支出表</w:t>
      </w:r>
    </w:p>
    <w:p>
      <w:pPr>
        <w:keepNext w:val="0"/>
        <w:keepLines w:val="0"/>
        <w:pageBreakBefore w:val="0"/>
        <w:kinsoku/>
        <w:overflowPunct/>
        <w:topLinePunct w:val="0"/>
        <w:autoSpaceDE/>
        <w:autoSpaceDN/>
        <w:bidi w:val="0"/>
        <w:spacing w:line="560" w:lineRule="exact"/>
        <w:ind w:left="7400" w:hanging="7400" w:hangingChars="3700"/>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单位：万元</w:t>
      </w:r>
    </w:p>
    <w:tbl>
      <w:tblPr>
        <w:tblStyle w:val="5"/>
        <w:tblW w:w="4998" w:type="pct"/>
        <w:tblInd w:w="0" w:type="dxa"/>
        <w:tblLayout w:type="autofit"/>
        <w:tblCellMar>
          <w:top w:w="0" w:type="dxa"/>
          <w:left w:w="108" w:type="dxa"/>
          <w:bottom w:w="0" w:type="dxa"/>
          <w:right w:w="108" w:type="dxa"/>
        </w:tblCellMar>
      </w:tblPr>
      <w:tblGrid>
        <w:gridCol w:w="978"/>
        <w:gridCol w:w="2754"/>
        <w:gridCol w:w="816"/>
        <w:gridCol w:w="816"/>
        <w:gridCol w:w="1071"/>
        <w:gridCol w:w="1046"/>
        <w:gridCol w:w="1044"/>
      </w:tblGrid>
      <w:tr>
        <w:tblPrEx>
          <w:tblCellMar>
            <w:top w:w="0" w:type="dxa"/>
            <w:left w:w="108" w:type="dxa"/>
            <w:bottom w:w="0" w:type="dxa"/>
            <w:right w:w="108" w:type="dxa"/>
          </w:tblCellMar>
        </w:tblPrEx>
        <w:trPr>
          <w:trHeight w:val="624" w:hRule="atLeast"/>
        </w:trPr>
        <w:tc>
          <w:tcPr>
            <w:tcW w:w="574" w:type="pct"/>
            <w:vMerge w:val="restart"/>
            <w:tcBorders>
              <w:top w:val="single" w:color="auto" w:sz="4" w:space="0"/>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科目</w:t>
            </w:r>
          </w:p>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编码</w:t>
            </w:r>
          </w:p>
        </w:tc>
        <w:tc>
          <w:tcPr>
            <w:tcW w:w="1614" w:type="pct"/>
            <w:vMerge w:val="restart"/>
            <w:tcBorders>
              <w:top w:val="single" w:color="auto" w:sz="4" w:space="0"/>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科目名称</w:t>
            </w:r>
          </w:p>
        </w:tc>
        <w:tc>
          <w:tcPr>
            <w:tcW w:w="478" w:type="pct"/>
            <w:vMerge w:val="restart"/>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合计</w:t>
            </w:r>
          </w:p>
        </w:tc>
        <w:tc>
          <w:tcPr>
            <w:tcW w:w="1719" w:type="pct"/>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基本支出</w:t>
            </w:r>
          </w:p>
        </w:tc>
        <w:tc>
          <w:tcPr>
            <w:tcW w:w="612" w:type="pct"/>
            <w:vMerge w:val="restart"/>
            <w:tcBorders>
              <w:top w:val="single" w:color="auto" w:sz="4" w:space="0"/>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项目支出</w:t>
            </w:r>
          </w:p>
        </w:tc>
      </w:tr>
      <w:tr>
        <w:tblPrEx>
          <w:tblCellMar>
            <w:top w:w="0" w:type="dxa"/>
            <w:left w:w="108" w:type="dxa"/>
            <w:bottom w:w="0" w:type="dxa"/>
            <w:right w:w="108" w:type="dxa"/>
          </w:tblCellMar>
        </w:tblPrEx>
        <w:trPr>
          <w:trHeight w:val="624" w:hRule="atLeast"/>
        </w:trPr>
        <w:tc>
          <w:tcPr>
            <w:tcW w:w="574" w:type="pct"/>
            <w:vMerge w:val="continue"/>
            <w:tcBorders>
              <w:top w:val="single" w:color="auto" w:sz="4" w:space="0"/>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b/>
                <w:bCs/>
                <w:color w:val="000000"/>
                <w:kern w:val="0"/>
                <w:sz w:val="22"/>
              </w:rPr>
            </w:pPr>
          </w:p>
        </w:tc>
        <w:tc>
          <w:tcPr>
            <w:tcW w:w="1614" w:type="pct"/>
            <w:vMerge w:val="continue"/>
            <w:tcBorders>
              <w:top w:val="single" w:color="auto" w:sz="4" w:space="0"/>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b/>
                <w:bCs/>
                <w:color w:val="000000"/>
                <w:kern w:val="0"/>
                <w:sz w:val="22"/>
              </w:rPr>
            </w:pPr>
          </w:p>
        </w:tc>
        <w:tc>
          <w:tcPr>
            <w:tcW w:w="478" w:type="pct"/>
            <w:vMerge w:val="continue"/>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b/>
                <w:bCs/>
                <w:color w:val="000000"/>
                <w:kern w:val="0"/>
                <w:sz w:val="22"/>
              </w:rPr>
            </w:pPr>
          </w:p>
        </w:tc>
        <w:tc>
          <w:tcPr>
            <w:tcW w:w="478"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小计</w:t>
            </w:r>
          </w:p>
        </w:tc>
        <w:tc>
          <w:tcPr>
            <w:tcW w:w="628"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人员经费</w:t>
            </w:r>
          </w:p>
        </w:tc>
        <w:tc>
          <w:tcPr>
            <w:tcW w:w="612"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公用经费</w:t>
            </w:r>
          </w:p>
        </w:tc>
        <w:tc>
          <w:tcPr>
            <w:tcW w:w="612" w:type="pct"/>
            <w:vMerge w:val="continue"/>
            <w:tcBorders>
              <w:top w:val="single" w:color="auto" w:sz="4" w:space="0"/>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b/>
                <w:bCs/>
                <w:color w:val="000000"/>
                <w:kern w:val="0"/>
                <w:sz w:val="22"/>
              </w:rPr>
            </w:pPr>
          </w:p>
        </w:tc>
      </w:tr>
      <w:tr>
        <w:tblPrEx>
          <w:tblCellMar>
            <w:top w:w="0" w:type="dxa"/>
            <w:left w:w="108" w:type="dxa"/>
            <w:bottom w:w="0" w:type="dxa"/>
            <w:right w:w="108" w:type="dxa"/>
          </w:tblCellMar>
        </w:tblPrEx>
        <w:trPr>
          <w:trHeight w:val="624" w:hRule="atLeast"/>
        </w:trPr>
        <w:tc>
          <w:tcPr>
            <w:tcW w:w="57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201</w:t>
            </w:r>
          </w:p>
        </w:tc>
        <w:tc>
          <w:tcPr>
            <w:tcW w:w="1614" w:type="pct"/>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一般公共服务支出</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653.43</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391.19</w:t>
            </w:r>
          </w:p>
        </w:tc>
        <w:tc>
          <w:tcPr>
            <w:tcW w:w="62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360.74</w:t>
            </w:r>
          </w:p>
        </w:tc>
        <w:tc>
          <w:tcPr>
            <w:tcW w:w="612"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30.45</w:t>
            </w:r>
          </w:p>
        </w:tc>
        <w:tc>
          <w:tcPr>
            <w:tcW w:w="612" w:type="pct"/>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262.24</w:t>
            </w:r>
          </w:p>
        </w:tc>
      </w:tr>
      <w:tr>
        <w:tblPrEx>
          <w:tblCellMar>
            <w:top w:w="0" w:type="dxa"/>
            <w:left w:w="108" w:type="dxa"/>
            <w:bottom w:w="0" w:type="dxa"/>
            <w:right w:w="108" w:type="dxa"/>
          </w:tblCellMar>
        </w:tblPrEx>
        <w:trPr>
          <w:trHeight w:val="624" w:hRule="atLeast"/>
        </w:trPr>
        <w:tc>
          <w:tcPr>
            <w:tcW w:w="574"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20138</w:t>
            </w:r>
          </w:p>
        </w:tc>
        <w:tc>
          <w:tcPr>
            <w:tcW w:w="1614"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市场监督管理事务</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653.43</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391.19</w:t>
            </w:r>
          </w:p>
        </w:tc>
        <w:tc>
          <w:tcPr>
            <w:tcW w:w="62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360.74</w:t>
            </w:r>
          </w:p>
        </w:tc>
        <w:tc>
          <w:tcPr>
            <w:tcW w:w="612"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30.45</w:t>
            </w:r>
          </w:p>
        </w:tc>
        <w:tc>
          <w:tcPr>
            <w:tcW w:w="612"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262.24</w:t>
            </w:r>
          </w:p>
        </w:tc>
      </w:tr>
      <w:tr>
        <w:tblPrEx>
          <w:tblCellMar>
            <w:top w:w="0" w:type="dxa"/>
            <w:left w:w="108" w:type="dxa"/>
            <w:bottom w:w="0" w:type="dxa"/>
            <w:right w:w="108" w:type="dxa"/>
          </w:tblCellMar>
        </w:tblPrEx>
        <w:trPr>
          <w:trHeight w:val="624" w:hRule="atLeast"/>
        </w:trPr>
        <w:tc>
          <w:tcPr>
            <w:tcW w:w="574"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2013812</w:t>
            </w:r>
          </w:p>
        </w:tc>
        <w:tc>
          <w:tcPr>
            <w:tcW w:w="1614"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药品事务</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211.20</w:t>
            </w:r>
          </w:p>
        </w:tc>
        <w:tc>
          <w:tcPr>
            <w:tcW w:w="478"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628"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61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612"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211.20</w:t>
            </w:r>
          </w:p>
        </w:tc>
      </w:tr>
      <w:tr>
        <w:tblPrEx>
          <w:tblCellMar>
            <w:top w:w="0" w:type="dxa"/>
            <w:left w:w="108" w:type="dxa"/>
            <w:bottom w:w="0" w:type="dxa"/>
            <w:right w:w="108" w:type="dxa"/>
          </w:tblCellMar>
        </w:tblPrEx>
        <w:trPr>
          <w:trHeight w:val="624" w:hRule="atLeast"/>
        </w:trPr>
        <w:tc>
          <w:tcPr>
            <w:tcW w:w="574"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2013850</w:t>
            </w:r>
          </w:p>
        </w:tc>
        <w:tc>
          <w:tcPr>
            <w:tcW w:w="1614"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TimesNewRoman" w:hAnsi="TimesNewRoman" w:eastAsia="仿宋_GB2312" w:cs="TimesNewRoman"/>
                <w:color w:val="000000"/>
                <w:kern w:val="0"/>
                <w:sz w:val="22"/>
                <w:lang w:eastAsia="zh-CN"/>
              </w:rPr>
            </w:pPr>
            <w:r>
              <w:rPr>
                <w:rFonts w:hint="eastAsia" w:ascii="宋体" w:hAnsi="宋体" w:eastAsia="宋体" w:cs="宋体"/>
                <w:i w:val="0"/>
                <w:iCs w:val="0"/>
                <w:color w:val="000000"/>
                <w:kern w:val="0"/>
                <w:sz w:val="20"/>
                <w:szCs w:val="20"/>
                <w:u w:val="none"/>
                <w:lang w:val="en-US" w:eastAsia="zh-CN" w:bidi="ar"/>
              </w:rPr>
              <w:t>　　事业运行</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391.19</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391.19</w:t>
            </w:r>
          </w:p>
        </w:tc>
        <w:tc>
          <w:tcPr>
            <w:tcW w:w="62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360.74</w:t>
            </w:r>
          </w:p>
        </w:tc>
        <w:tc>
          <w:tcPr>
            <w:tcW w:w="612"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30.45</w:t>
            </w:r>
          </w:p>
        </w:tc>
        <w:tc>
          <w:tcPr>
            <w:tcW w:w="61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624" w:hRule="atLeast"/>
        </w:trPr>
        <w:tc>
          <w:tcPr>
            <w:tcW w:w="574"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2013899</w:t>
            </w:r>
          </w:p>
        </w:tc>
        <w:tc>
          <w:tcPr>
            <w:tcW w:w="1614"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其他市场监督管理事务</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51.04</w:t>
            </w:r>
          </w:p>
        </w:tc>
        <w:tc>
          <w:tcPr>
            <w:tcW w:w="478"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628"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61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612"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51.04</w:t>
            </w:r>
          </w:p>
        </w:tc>
      </w:tr>
      <w:tr>
        <w:tblPrEx>
          <w:tblCellMar>
            <w:top w:w="0" w:type="dxa"/>
            <w:left w:w="108" w:type="dxa"/>
            <w:bottom w:w="0" w:type="dxa"/>
            <w:right w:w="108" w:type="dxa"/>
          </w:tblCellMar>
        </w:tblPrEx>
        <w:trPr>
          <w:trHeight w:val="624" w:hRule="atLeast"/>
        </w:trPr>
        <w:tc>
          <w:tcPr>
            <w:tcW w:w="574"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208</w:t>
            </w:r>
          </w:p>
        </w:tc>
        <w:tc>
          <w:tcPr>
            <w:tcW w:w="1614"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71.57</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71.57</w:t>
            </w:r>
          </w:p>
        </w:tc>
        <w:tc>
          <w:tcPr>
            <w:tcW w:w="62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71.46</w:t>
            </w:r>
          </w:p>
        </w:tc>
        <w:tc>
          <w:tcPr>
            <w:tcW w:w="612"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0.11</w:t>
            </w:r>
          </w:p>
        </w:tc>
        <w:tc>
          <w:tcPr>
            <w:tcW w:w="61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624" w:hRule="atLeast"/>
        </w:trPr>
        <w:tc>
          <w:tcPr>
            <w:tcW w:w="574"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20805</w:t>
            </w:r>
          </w:p>
        </w:tc>
        <w:tc>
          <w:tcPr>
            <w:tcW w:w="1614"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行政事业单位养老支出</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71.57</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71.57</w:t>
            </w:r>
          </w:p>
        </w:tc>
        <w:tc>
          <w:tcPr>
            <w:tcW w:w="62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71.46</w:t>
            </w:r>
          </w:p>
        </w:tc>
        <w:tc>
          <w:tcPr>
            <w:tcW w:w="612"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0.11</w:t>
            </w:r>
          </w:p>
        </w:tc>
        <w:tc>
          <w:tcPr>
            <w:tcW w:w="61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624" w:hRule="atLeast"/>
        </w:trPr>
        <w:tc>
          <w:tcPr>
            <w:tcW w:w="574"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2080502</w:t>
            </w:r>
          </w:p>
        </w:tc>
        <w:tc>
          <w:tcPr>
            <w:tcW w:w="1614"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事业单位离退休</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0.75</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0.75</w:t>
            </w:r>
          </w:p>
        </w:tc>
        <w:tc>
          <w:tcPr>
            <w:tcW w:w="62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0.64</w:t>
            </w:r>
          </w:p>
        </w:tc>
        <w:tc>
          <w:tcPr>
            <w:tcW w:w="612"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0.11</w:t>
            </w:r>
          </w:p>
        </w:tc>
        <w:tc>
          <w:tcPr>
            <w:tcW w:w="61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624" w:hRule="atLeast"/>
        </w:trPr>
        <w:tc>
          <w:tcPr>
            <w:tcW w:w="574"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2080505</w:t>
            </w:r>
          </w:p>
        </w:tc>
        <w:tc>
          <w:tcPr>
            <w:tcW w:w="1614"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机关事业单位基本养老保险缴费支出</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47.22</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47.22</w:t>
            </w:r>
          </w:p>
        </w:tc>
        <w:tc>
          <w:tcPr>
            <w:tcW w:w="62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47.22</w:t>
            </w:r>
          </w:p>
        </w:tc>
        <w:tc>
          <w:tcPr>
            <w:tcW w:w="61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61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624" w:hRule="atLeast"/>
        </w:trPr>
        <w:tc>
          <w:tcPr>
            <w:tcW w:w="574"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2080506</w:t>
            </w:r>
          </w:p>
        </w:tc>
        <w:tc>
          <w:tcPr>
            <w:tcW w:w="1614"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机关事业单位职业年金缴费支出</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23.61</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23.61</w:t>
            </w:r>
          </w:p>
        </w:tc>
        <w:tc>
          <w:tcPr>
            <w:tcW w:w="62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23.61</w:t>
            </w:r>
          </w:p>
        </w:tc>
        <w:tc>
          <w:tcPr>
            <w:tcW w:w="61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61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624" w:hRule="atLeast"/>
        </w:trPr>
        <w:tc>
          <w:tcPr>
            <w:tcW w:w="574"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210</w:t>
            </w:r>
          </w:p>
        </w:tc>
        <w:tc>
          <w:tcPr>
            <w:tcW w:w="1614"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卫生健康支出</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14.85</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14.85</w:t>
            </w:r>
          </w:p>
        </w:tc>
        <w:tc>
          <w:tcPr>
            <w:tcW w:w="62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14.85</w:t>
            </w:r>
          </w:p>
        </w:tc>
        <w:tc>
          <w:tcPr>
            <w:tcW w:w="61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61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624" w:hRule="atLeast"/>
        </w:trPr>
        <w:tc>
          <w:tcPr>
            <w:tcW w:w="574"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21011</w:t>
            </w:r>
          </w:p>
        </w:tc>
        <w:tc>
          <w:tcPr>
            <w:tcW w:w="1614"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行政事业单位医疗</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14.85</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14.85</w:t>
            </w:r>
          </w:p>
        </w:tc>
        <w:tc>
          <w:tcPr>
            <w:tcW w:w="62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14.85</w:t>
            </w:r>
          </w:p>
        </w:tc>
        <w:tc>
          <w:tcPr>
            <w:tcW w:w="61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61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624" w:hRule="atLeast"/>
        </w:trPr>
        <w:tc>
          <w:tcPr>
            <w:tcW w:w="574"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2101102</w:t>
            </w:r>
          </w:p>
        </w:tc>
        <w:tc>
          <w:tcPr>
            <w:tcW w:w="1614"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事业单位医疗</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14.85</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14.85</w:t>
            </w:r>
          </w:p>
        </w:tc>
        <w:tc>
          <w:tcPr>
            <w:tcW w:w="62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14.85</w:t>
            </w:r>
          </w:p>
        </w:tc>
        <w:tc>
          <w:tcPr>
            <w:tcW w:w="61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61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624" w:hRule="atLeast"/>
        </w:trPr>
        <w:tc>
          <w:tcPr>
            <w:tcW w:w="574"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221</w:t>
            </w:r>
          </w:p>
        </w:tc>
        <w:tc>
          <w:tcPr>
            <w:tcW w:w="1614"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住房保障支出</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58.21</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58.21</w:t>
            </w:r>
          </w:p>
        </w:tc>
        <w:tc>
          <w:tcPr>
            <w:tcW w:w="62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58.21</w:t>
            </w:r>
          </w:p>
        </w:tc>
        <w:tc>
          <w:tcPr>
            <w:tcW w:w="61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61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624" w:hRule="atLeast"/>
        </w:trPr>
        <w:tc>
          <w:tcPr>
            <w:tcW w:w="574"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22102</w:t>
            </w:r>
          </w:p>
        </w:tc>
        <w:tc>
          <w:tcPr>
            <w:tcW w:w="1614"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住房改革支出</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58.21</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58.21</w:t>
            </w:r>
          </w:p>
        </w:tc>
        <w:tc>
          <w:tcPr>
            <w:tcW w:w="62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58.21</w:t>
            </w:r>
          </w:p>
        </w:tc>
        <w:tc>
          <w:tcPr>
            <w:tcW w:w="61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61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624" w:hRule="atLeast"/>
        </w:trPr>
        <w:tc>
          <w:tcPr>
            <w:tcW w:w="574"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2210201</w:t>
            </w:r>
          </w:p>
        </w:tc>
        <w:tc>
          <w:tcPr>
            <w:tcW w:w="1614"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住房公积金</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35.41</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35.41</w:t>
            </w:r>
          </w:p>
        </w:tc>
        <w:tc>
          <w:tcPr>
            <w:tcW w:w="62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35.41</w:t>
            </w:r>
          </w:p>
        </w:tc>
        <w:tc>
          <w:tcPr>
            <w:tcW w:w="61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61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624" w:hRule="atLeast"/>
        </w:trPr>
        <w:tc>
          <w:tcPr>
            <w:tcW w:w="574" w:type="pc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2210202</w:t>
            </w:r>
          </w:p>
        </w:tc>
        <w:tc>
          <w:tcPr>
            <w:tcW w:w="1614" w:type="pct"/>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　　提租补贴</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22.80</w:t>
            </w:r>
          </w:p>
        </w:tc>
        <w:tc>
          <w:tcPr>
            <w:tcW w:w="47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22.80</w:t>
            </w:r>
          </w:p>
        </w:tc>
        <w:tc>
          <w:tcPr>
            <w:tcW w:w="628"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22.80</w:t>
            </w:r>
          </w:p>
        </w:tc>
        <w:tc>
          <w:tcPr>
            <w:tcW w:w="61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61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624" w:hRule="atLeast"/>
        </w:trPr>
        <w:tc>
          <w:tcPr>
            <w:tcW w:w="2189" w:type="pct"/>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eastAsia" w:ascii="TimesNewRoman" w:hAnsi="TimesNewRoman" w:cs="TimesNewRoman"/>
                <w:b/>
                <w:bCs/>
                <w:color w:val="000000"/>
                <w:kern w:val="0"/>
                <w:sz w:val="22"/>
                <w:lang w:eastAsia="zh-CN"/>
              </w:rPr>
              <w:t>合</w:t>
            </w:r>
            <w:r>
              <w:rPr>
                <w:rFonts w:hint="default" w:ascii="TimesNewRoman" w:hAnsi="TimesNewRoman" w:cs="TimesNewRoman"/>
                <w:b/>
                <w:bCs/>
                <w:color w:val="000000"/>
                <w:kern w:val="0"/>
                <w:sz w:val="22"/>
              </w:rPr>
              <w:t xml:space="preserve"> 计</w:t>
            </w:r>
          </w:p>
        </w:tc>
        <w:tc>
          <w:tcPr>
            <w:tcW w:w="816"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b/>
                <w:bCs/>
                <w:color w:val="000000"/>
                <w:kern w:val="0"/>
                <w:sz w:val="22"/>
              </w:rPr>
            </w:pPr>
            <w:r>
              <w:rPr>
                <w:rFonts w:hint="eastAsia" w:ascii="宋体" w:hAnsi="宋体" w:eastAsia="宋体" w:cs="宋体"/>
                <w:i w:val="0"/>
                <w:iCs w:val="0"/>
                <w:color w:val="000000"/>
                <w:kern w:val="0"/>
                <w:sz w:val="20"/>
                <w:szCs w:val="20"/>
                <w:u w:val="none"/>
                <w:lang w:val="en-US" w:eastAsia="zh-CN" w:bidi="ar"/>
              </w:rPr>
              <w:t>798.06</w:t>
            </w:r>
          </w:p>
        </w:tc>
        <w:tc>
          <w:tcPr>
            <w:tcW w:w="816"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b/>
                <w:bCs/>
                <w:color w:val="000000"/>
                <w:kern w:val="0"/>
                <w:sz w:val="22"/>
              </w:rPr>
            </w:pPr>
            <w:r>
              <w:rPr>
                <w:rFonts w:hint="eastAsia" w:ascii="宋体" w:hAnsi="宋体" w:eastAsia="宋体" w:cs="宋体"/>
                <w:i w:val="0"/>
                <w:iCs w:val="0"/>
                <w:color w:val="000000"/>
                <w:kern w:val="0"/>
                <w:sz w:val="20"/>
                <w:szCs w:val="20"/>
                <w:u w:val="none"/>
                <w:lang w:val="en-US" w:eastAsia="zh-CN" w:bidi="ar"/>
              </w:rPr>
              <w:t>535.82</w:t>
            </w:r>
          </w:p>
        </w:tc>
        <w:tc>
          <w:tcPr>
            <w:tcW w:w="1071"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b/>
                <w:bCs/>
                <w:color w:val="000000"/>
                <w:kern w:val="0"/>
                <w:sz w:val="22"/>
              </w:rPr>
            </w:pPr>
            <w:r>
              <w:rPr>
                <w:rFonts w:hint="eastAsia" w:ascii="宋体" w:hAnsi="宋体" w:eastAsia="宋体" w:cs="宋体"/>
                <w:i w:val="0"/>
                <w:iCs w:val="0"/>
                <w:color w:val="000000"/>
                <w:kern w:val="0"/>
                <w:sz w:val="20"/>
                <w:szCs w:val="20"/>
                <w:u w:val="none"/>
                <w:lang w:val="en-US" w:eastAsia="zh-CN" w:bidi="ar"/>
              </w:rPr>
              <w:t>505.26</w:t>
            </w:r>
          </w:p>
        </w:tc>
        <w:tc>
          <w:tcPr>
            <w:tcW w:w="1045"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b/>
                <w:bCs/>
                <w:color w:val="000000"/>
                <w:kern w:val="0"/>
                <w:sz w:val="22"/>
              </w:rPr>
            </w:pPr>
            <w:r>
              <w:rPr>
                <w:rFonts w:hint="eastAsia" w:ascii="宋体" w:hAnsi="宋体" w:eastAsia="宋体" w:cs="宋体"/>
                <w:i w:val="0"/>
                <w:iCs w:val="0"/>
                <w:color w:val="000000"/>
                <w:kern w:val="0"/>
                <w:sz w:val="20"/>
                <w:szCs w:val="20"/>
                <w:u w:val="none"/>
                <w:lang w:val="en-US" w:eastAsia="zh-CN" w:bidi="ar"/>
              </w:rPr>
              <w:t>30.56</w:t>
            </w:r>
          </w:p>
        </w:tc>
        <w:tc>
          <w:tcPr>
            <w:tcW w:w="1044"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b/>
                <w:bCs/>
                <w:color w:val="000000"/>
                <w:kern w:val="0"/>
                <w:sz w:val="22"/>
              </w:rPr>
            </w:pPr>
            <w:r>
              <w:rPr>
                <w:rFonts w:hint="eastAsia" w:ascii="宋体" w:hAnsi="宋体" w:eastAsia="宋体" w:cs="宋体"/>
                <w:i w:val="0"/>
                <w:iCs w:val="0"/>
                <w:color w:val="000000"/>
                <w:kern w:val="0"/>
                <w:sz w:val="20"/>
                <w:szCs w:val="20"/>
                <w:u w:val="none"/>
                <w:lang w:val="en-US" w:eastAsia="zh-CN" w:bidi="ar"/>
              </w:rPr>
              <w:t>262.24</w:t>
            </w:r>
          </w:p>
        </w:tc>
      </w:tr>
    </w:tbl>
    <w:p>
      <w:pPr>
        <w:keepNext w:val="0"/>
        <w:keepLines w:val="0"/>
        <w:pageBreakBefore w:val="0"/>
        <w:kinsoku/>
        <w:overflowPunct/>
        <w:topLinePunct w:val="0"/>
        <w:autoSpaceDE/>
        <w:autoSpaceDN/>
        <w:bidi w:val="0"/>
        <w:spacing w:line="560" w:lineRule="exact"/>
        <w:ind w:left="903" w:leftChars="430"/>
        <w:jc w:val="right"/>
        <w:rPr>
          <w:rFonts w:hint="eastAsia" w:ascii="TimesNewRoman" w:hAnsi="TimesNewRoman" w:cs="TimesNewRoman"/>
          <w:color w:val="000000"/>
          <w:kern w:val="0"/>
          <w:sz w:val="20"/>
          <w:lang w:eastAsia="zh-CN"/>
        </w:rPr>
      </w:pPr>
    </w:p>
    <w:p>
      <w:pPr>
        <w:keepNext w:val="0"/>
        <w:keepLines w:val="0"/>
        <w:pageBreakBefore w:val="0"/>
        <w:kinsoku/>
        <w:overflowPunct/>
        <w:topLinePunct w:val="0"/>
        <w:autoSpaceDE/>
        <w:autoSpaceDN/>
        <w:bidi w:val="0"/>
        <w:spacing w:line="560" w:lineRule="exact"/>
        <w:ind w:left="903" w:leftChars="430"/>
        <w:jc w:val="right"/>
        <w:rPr>
          <w:rFonts w:hint="default" w:ascii="TimesNewRoman" w:hAnsi="TimesNewRoman" w:cs="TimesNewRoman"/>
          <w:color w:val="000000"/>
          <w:kern w:val="0"/>
          <w:sz w:val="20"/>
        </w:rPr>
      </w:pPr>
      <w:r>
        <w:rPr>
          <w:rFonts w:hint="eastAsia" w:ascii="TimesNewRoman" w:hAnsi="TimesNewRoman" w:cs="TimesNewRoman"/>
          <w:color w:val="000000"/>
          <w:kern w:val="0"/>
          <w:sz w:val="20"/>
          <w:lang w:eastAsia="zh-CN"/>
        </w:rPr>
        <w:t>单位公开表</w:t>
      </w:r>
      <w:r>
        <w:rPr>
          <w:rFonts w:hint="default" w:ascii="TimesNewRoman" w:hAnsi="TimesNewRoman" w:cs="TimesNewRoman"/>
          <w:color w:val="000000"/>
          <w:kern w:val="0"/>
          <w:sz w:val="20"/>
        </w:rPr>
        <w:t>6</w:t>
      </w:r>
    </w:p>
    <w:p>
      <w:pPr>
        <w:keepNext w:val="0"/>
        <w:keepLines w:val="0"/>
        <w:pageBreakBefore w:val="0"/>
        <w:widowControl/>
        <w:kinsoku/>
        <w:wordWrap/>
        <w:overflowPunct/>
        <w:topLinePunct w:val="0"/>
        <w:autoSpaceDE/>
        <w:autoSpaceDN/>
        <w:bidi w:val="0"/>
        <w:adjustRightInd/>
        <w:snapToGrid/>
        <w:spacing w:before="157" w:beforeLines="50" w:after="157" w:afterLines="50" w:line="560" w:lineRule="exact"/>
        <w:jc w:val="center"/>
        <w:textAlignment w:val="auto"/>
        <w:rPr>
          <w:rFonts w:hint="default" w:ascii="TimesNewRoman" w:hAnsi="TimesNewRoman" w:eastAsia="华文中宋" w:cs="TimesNewRoman"/>
          <w:b/>
          <w:bCs/>
          <w:color w:val="000000"/>
          <w:kern w:val="0"/>
          <w:sz w:val="28"/>
          <w:szCs w:val="28"/>
        </w:rPr>
      </w:pPr>
      <w:r>
        <w:rPr>
          <w:rFonts w:hint="eastAsia" w:ascii="TimesNewRoman" w:hAnsi="TimesNewRoman" w:eastAsia="华文中宋" w:cs="TimesNewRoman"/>
          <w:b/>
          <w:bCs/>
          <w:color w:val="000000"/>
          <w:kern w:val="0"/>
          <w:sz w:val="28"/>
          <w:szCs w:val="28"/>
          <w:lang w:eastAsia="zh-CN"/>
        </w:rPr>
        <w:t>淮南市食品药品检验中心</w:t>
      </w:r>
      <w:r>
        <w:rPr>
          <w:rFonts w:hint="default" w:ascii="TimesNewRoman" w:hAnsi="TimesNewRoman" w:eastAsia="华文中宋" w:cs="TimesNewRoman"/>
          <w:b/>
          <w:bCs/>
          <w:color w:val="000000"/>
          <w:kern w:val="0"/>
          <w:sz w:val="28"/>
          <w:szCs w:val="28"/>
          <w:lang w:val="en"/>
        </w:rPr>
        <w:t>2024</w:t>
      </w:r>
      <w:r>
        <w:rPr>
          <w:rFonts w:hint="default" w:ascii="TimesNewRoman" w:hAnsi="TimesNewRoman" w:eastAsia="华文中宋" w:cs="TimesNewRoman"/>
          <w:b/>
          <w:bCs/>
          <w:color w:val="000000"/>
          <w:kern w:val="0"/>
          <w:sz w:val="28"/>
          <w:szCs w:val="28"/>
        </w:rPr>
        <w:t>年一般公共预算基本支出表</w:t>
      </w:r>
    </w:p>
    <w:p>
      <w:pPr>
        <w:keepNext w:val="0"/>
        <w:keepLines w:val="0"/>
        <w:pageBreakBefore w:val="0"/>
        <w:kinsoku/>
        <w:overflowPunct/>
        <w:topLinePunct w:val="0"/>
        <w:autoSpaceDE/>
        <w:autoSpaceDN/>
        <w:bidi w:val="0"/>
        <w:spacing w:line="560" w:lineRule="exact"/>
        <w:ind w:left="7400" w:hanging="7400" w:hangingChars="3700"/>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单位：万元</w:t>
      </w:r>
    </w:p>
    <w:tbl>
      <w:tblPr>
        <w:tblStyle w:val="5"/>
        <w:tblW w:w="4999" w:type="pct"/>
        <w:tblInd w:w="0" w:type="dxa"/>
        <w:tblLayout w:type="autofit"/>
        <w:tblCellMar>
          <w:top w:w="0" w:type="dxa"/>
          <w:left w:w="108" w:type="dxa"/>
          <w:bottom w:w="0" w:type="dxa"/>
          <w:right w:w="108" w:type="dxa"/>
        </w:tblCellMar>
      </w:tblPr>
      <w:tblGrid>
        <w:gridCol w:w="1783"/>
        <w:gridCol w:w="2647"/>
        <w:gridCol w:w="930"/>
        <w:gridCol w:w="1600"/>
        <w:gridCol w:w="1566"/>
      </w:tblGrid>
      <w:tr>
        <w:tblPrEx>
          <w:tblCellMar>
            <w:top w:w="0" w:type="dxa"/>
            <w:left w:w="108" w:type="dxa"/>
            <w:bottom w:w="0" w:type="dxa"/>
            <w:right w:w="108" w:type="dxa"/>
          </w:tblCellMar>
        </w:tblPrEx>
        <w:trPr>
          <w:trHeight w:val="624" w:hRule="atLeast"/>
        </w:trPr>
        <w:tc>
          <w:tcPr>
            <w:tcW w:w="259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szCs w:val="20"/>
              </w:rPr>
            </w:pPr>
            <w:r>
              <w:rPr>
                <w:rFonts w:hint="default" w:ascii="TimesNewRoman" w:hAnsi="TimesNewRoman" w:cs="TimesNewRoman"/>
                <w:b/>
                <w:bCs/>
                <w:color w:val="000000"/>
                <w:kern w:val="0"/>
                <w:sz w:val="20"/>
                <w:szCs w:val="20"/>
              </w:rPr>
              <w:t>部门预算支出经济分类科目</w:t>
            </w:r>
          </w:p>
        </w:tc>
        <w:tc>
          <w:tcPr>
            <w:tcW w:w="2401" w:type="pct"/>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szCs w:val="20"/>
              </w:rPr>
            </w:pPr>
            <w:r>
              <w:rPr>
                <w:rFonts w:hint="default" w:ascii="TimesNewRoman" w:hAnsi="TimesNewRoman" w:cs="TimesNewRoman"/>
                <w:b/>
                <w:bCs/>
                <w:color w:val="000000"/>
                <w:kern w:val="0"/>
                <w:sz w:val="20"/>
                <w:szCs w:val="20"/>
              </w:rPr>
              <w:t>本年一般公共预算基本支出</w:t>
            </w:r>
          </w:p>
        </w:tc>
      </w:tr>
      <w:tr>
        <w:tblPrEx>
          <w:tblCellMar>
            <w:top w:w="0" w:type="dxa"/>
            <w:left w:w="108" w:type="dxa"/>
            <w:bottom w:w="0" w:type="dxa"/>
            <w:right w:w="108" w:type="dxa"/>
          </w:tblCellMar>
        </w:tblPrEx>
        <w:trPr>
          <w:trHeight w:val="624" w:hRule="atLeast"/>
        </w:trPr>
        <w:tc>
          <w:tcPr>
            <w:tcW w:w="104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szCs w:val="20"/>
              </w:rPr>
            </w:pPr>
            <w:r>
              <w:rPr>
                <w:rFonts w:hint="default" w:ascii="TimesNewRoman" w:hAnsi="TimesNewRoman" w:cs="TimesNewRoman"/>
                <w:b/>
                <w:bCs/>
                <w:color w:val="000000"/>
                <w:kern w:val="0"/>
                <w:sz w:val="20"/>
                <w:szCs w:val="20"/>
              </w:rPr>
              <w:t>科目编码</w:t>
            </w:r>
          </w:p>
        </w:tc>
        <w:tc>
          <w:tcPr>
            <w:tcW w:w="1552"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szCs w:val="20"/>
              </w:rPr>
            </w:pPr>
            <w:r>
              <w:rPr>
                <w:rFonts w:hint="default" w:ascii="TimesNewRoman" w:hAnsi="TimesNewRoman" w:cs="TimesNewRoman"/>
                <w:b/>
                <w:bCs/>
                <w:color w:val="000000"/>
                <w:kern w:val="0"/>
                <w:sz w:val="20"/>
                <w:szCs w:val="20"/>
              </w:rPr>
              <w:t>科目名称</w:t>
            </w:r>
          </w:p>
        </w:tc>
        <w:tc>
          <w:tcPr>
            <w:tcW w:w="545"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szCs w:val="20"/>
              </w:rPr>
            </w:pPr>
            <w:r>
              <w:rPr>
                <w:rFonts w:hint="default" w:ascii="TimesNewRoman" w:hAnsi="TimesNewRoman" w:cs="TimesNewRoman"/>
                <w:b/>
                <w:bCs/>
                <w:color w:val="000000"/>
                <w:kern w:val="0"/>
                <w:sz w:val="20"/>
                <w:szCs w:val="20"/>
              </w:rPr>
              <w:t>合计</w:t>
            </w:r>
          </w:p>
        </w:tc>
        <w:tc>
          <w:tcPr>
            <w:tcW w:w="938"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szCs w:val="20"/>
              </w:rPr>
            </w:pPr>
            <w:r>
              <w:rPr>
                <w:rFonts w:hint="default" w:ascii="TimesNewRoman" w:hAnsi="TimesNewRoman" w:cs="TimesNewRoman"/>
                <w:b/>
                <w:bCs/>
                <w:color w:val="000000"/>
                <w:kern w:val="0"/>
                <w:sz w:val="20"/>
                <w:szCs w:val="20"/>
              </w:rPr>
              <w:t>人员经费</w:t>
            </w:r>
          </w:p>
        </w:tc>
        <w:tc>
          <w:tcPr>
            <w:tcW w:w="916"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szCs w:val="20"/>
              </w:rPr>
            </w:pPr>
            <w:r>
              <w:rPr>
                <w:rFonts w:hint="default" w:ascii="TimesNewRoman" w:hAnsi="TimesNewRoman" w:cs="TimesNewRoman"/>
                <w:b/>
                <w:bCs/>
                <w:color w:val="000000"/>
                <w:kern w:val="0"/>
                <w:sz w:val="20"/>
                <w:szCs w:val="20"/>
              </w:rPr>
              <w:t>公用经费</w:t>
            </w: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301</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工资福利支出</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436.26</w:t>
            </w:r>
          </w:p>
        </w:tc>
        <w:tc>
          <w:tcPr>
            <w:tcW w:w="160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436.26</w:t>
            </w:r>
          </w:p>
        </w:tc>
        <w:tc>
          <w:tcPr>
            <w:tcW w:w="1566"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30101</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基本工资</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139.43</w:t>
            </w:r>
          </w:p>
        </w:tc>
        <w:tc>
          <w:tcPr>
            <w:tcW w:w="160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139.43</w:t>
            </w:r>
          </w:p>
        </w:tc>
        <w:tc>
          <w:tcPr>
            <w:tcW w:w="1566"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30102</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津贴补贴</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14.51</w:t>
            </w:r>
          </w:p>
        </w:tc>
        <w:tc>
          <w:tcPr>
            <w:tcW w:w="160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14.51</w:t>
            </w:r>
          </w:p>
        </w:tc>
        <w:tc>
          <w:tcPr>
            <w:tcW w:w="1566"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30103</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奖金</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80.62</w:t>
            </w:r>
          </w:p>
        </w:tc>
        <w:tc>
          <w:tcPr>
            <w:tcW w:w="160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80.62</w:t>
            </w:r>
          </w:p>
        </w:tc>
        <w:tc>
          <w:tcPr>
            <w:tcW w:w="1566"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30107</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绩效工资</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75.75</w:t>
            </w:r>
          </w:p>
        </w:tc>
        <w:tc>
          <w:tcPr>
            <w:tcW w:w="160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75.75</w:t>
            </w:r>
          </w:p>
        </w:tc>
        <w:tc>
          <w:tcPr>
            <w:tcW w:w="1566"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30108</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机关事业单位基本养老保险缴费</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47.22</w:t>
            </w:r>
          </w:p>
        </w:tc>
        <w:tc>
          <w:tcPr>
            <w:tcW w:w="160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47.22</w:t>
            </w:r>
          </w:p>
        </w:tc>
        <w:tc>
          <w:tcPr>
            <w:tcW w:w="1566"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30109</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职业年金缴费</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23.61</w:t>
            </w:r>
          </w:p>
        </w:tc>
        <w:tc>
          <w:tcPr>
            <w:tcW w:w="160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23.61</w:t>
            </w:r>
          </w:p>
        </w:tc>
        <w:tc>
          <w:tcPr>
            <w:tcW w:w="1566"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30110</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职工基本医疗保险缴费</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14.85</w:t>
            </w:r>
          </w:p>
        </w:tc>
        <w:tc>
          <w:tcPr>
            <w:tcW w:w="160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14.85</w:t>
            </w:r>
          </w:p>
        </w:tc>
        <w:tc>
          <w:tcPr>
            <w:tcW w:w="1566"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30112</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其他社会保障缴费</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1.51</w:t>
            </w:r>
          </w:p>
        </w:tc>
        <w:tc>
          <w:tcPr>
            <w:tcW w:w="160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1.51</w:t>
            </w:r>
          </w:p>
        </w:tc>
        <w:tc>
          <w:tcPr>
            <w:tcW w:w="1566"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30113</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住房公积金</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35.41</w:t>
            </w:r>
          </w:p>
        </w:tc>
        <w:tc>
          <w:tcPr>
            <w:tcW w:w="160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35.41</w:t>
            </w:r>
          </w:p>
        </w:tc>
        <w:tc>
          <w:tcPr>
            <w:tcW w:w="1566"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30199</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其他工资福利支出</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3.36</w:t>
            </w:r>
          </w:p>
        </w:tc>
        <w:tc>
          <w:tcPr>
            <w:tcW w:w="160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3.36</w:t>
            </w:r>
          </w:p>
        </w:tc>
        <w:tc>
          <w:tcPr>
            <w:tcW w:w="1566"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302</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商品和服务支出</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27.46</w:t>
            </w:r>
          </w:p>
        </w:tc>
        <w:tc>
          <w:tcPr>
            <w:tcW w:w="1600"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c>
          <w:tcPr>
            <w:tcW w:w="1566"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27.46</w:t>
            </w: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30216</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培训费</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3.23</w:t>
            </w:r>
          </w:p>
        </w:tc>
        <w:tc>
          <w:tcPr>
            <w:tcW w:w="1600"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c>
          <w:tcPr>
            <w:tcW w:w="1566"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3.23</w:t>
            </w: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30217</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公务接待费</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0.48</w:t>
            </w:r>
          </w:p>
        </w:tc>
        <w:tc>
          <w:tcPr>
            <w:tcW w:w="1600"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c>
          <w:tcPr>
            <w:tcW w:w="1566"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0.48</w:t>
            </w: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30228</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工会经费</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6.99</w:t>
            </w:r>
          </w:p>
        </w:tc>
        <w:tc>
          <w:tcPr>
            <w:tcW w:w="1600"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c>
          <w:tcPr>
            <w:tcW w:w="1566"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6.99</w:t>
            </w: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30229</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福利费</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3.34</w:t>
            </w:r>
          </w:p>
        </w:tc>
        <w:tc>
          <w:tcPr>
            <w:tcW w:w="1600"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c>
          <w:tcPr>
            <w:tcW w:w="1566"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3.34</w:t>
            </w: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30231</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公务用车运行维护费</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2.00</w:t>
            </w:r>
          </w:p>
        </w:tc>
        <w:tc>
          <w:tcPr>
            <w:tcW w:w="1600"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c>
          <w:tcPr>
            <w:tcW w:w="1566"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2.00</w:t>
            </w: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30239</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其他交通费用</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3.50</w:t>
            </w:r>
          </w:p>
        </w:tc>
        <w:tc>
          <w:tcPr>
            <w:tcW w:w="1600"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c>
          <w:tcPr>
            <w:tcW w:w="1566"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3.50</w:t>
            </w: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30299</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其他商品和服务支出</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7.93</w:t>
            </w:r>
          </w:p>
        </w:tc>
        <w:tc>
          <w:tcPr>
            <w:tcW w:w="1600"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c>
          <w:tcPr>
            <w:tcW w:w="1566"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7.93</w:t>
            </w: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303</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对个人和家庭的补助</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69.00</w:t>
            </w:r>
          </w:p>
        </w:tc>
        <w:tc>
          <w:tcPr>
            <w:tcW w:w="160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69.00</w:t>
            </w:r>
          </w:p>
        </w:tc>
        <w:tc>
          <w:tcPr>
            <w:tcW w:w="1566"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30302</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退休费</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8.92</w:t>
            </w:r>
          </w:p>
        </w:tc>
        <w:tc>
          <w:tcPr>
            <w:tcW w:w="160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8.92</w:t>
            </w:r>
          </w:p>
        </w:tc>
        <w:tc>
          <w:tcPr>
            <w:tcW w:w="1566"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30309</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奖励金</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0.16</w:t>
            </w:r>
          </w:p>
        </w:tc>
        <w:tc>
          <w:tcPr>
            <w:tcW w:w="160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0.16</w:t>
            </w:r>
          </w:p>
        </w:tc>
        <w:tc>
          <w:tcPr>
            <w:tcW w:w="1566"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30399</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　其他对个人和家庭的补助</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59.91</w:t>
            </w:r>
          </w:p>
        </w:tc>
        <w:tc>
          <w:tcPr>
            <w:tcW w:w="160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59.91</w:t>
            </w:r>
          </w:p>
        </w:tc>
        <w:tc>
          <w:tcPr>
            <w:tcW w:w="1566"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资本性支出</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w:t>
            </w:r>
          </w:p>
        </w:tc>
        <w:tc>
          <w:tcPr>
            <w:tcW w:w="1600"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c>
          <w:tcPr>
            <w:tcW w:w="1566"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szCs w:val="20"/>
              </w:rPr>
            </w:pPr>
            <w:r>
              <w:rPr>
                <w:rFonts w:hint="eastAsia" w:ascii="宋体" w:hAnsi="宋体" w:eastAsia="宋体" w:cs="宋体"/>
                <w:i w:val="0"/>
                <w:iCs w:val="0"/>
                <w:color w:val="000000"/>
                <w:kern w:val="0"/>
                <w:sz w:val="20"/>
                <w:szCs w:val="20"/>
                <w:u w:val="none"/>
                <w:lang w:val="en-US" w:eastAsia="zh-CN" w:bidi="ar"/>
              </w:rPr>
              <w:t>3.10</w:t>
            </w:r>
          </w:p>
        </w:tc>
      </w:tr>
      <w:tr>
        <w:tblPrEx>
          <w:tblCellMar>
            <w:top w:w="0" w:type="dxa"/>
            <w:left w:w="108" w:type="dxa"/>
            <w:bottom w:w="0" w:type="dxa"/>
            <w:right w:w="108" w:type="dxa"/>
          </w:tblCellMar>
        </w:tblPrEx>
        <w:trPr>
          <w:trHeight w:val="624" w:hRule="atLeast"/>
        </w:trPr>
        <w:tc>
          <w:tcPr>
            <w:tcW w:w="1783"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31002</w:t>
            </w:r>
          </w:p>
        </w:tc>
        <w:tc>
          <w:tcPr>
            <w:tcW w:w="2647"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办公设备购置</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w:t>
            </w:r>
          </w:p>
        </w:tc>
        <w:tc>
          <w:tcPr>
            <w:tcW w:w="1600" w:type="dxa"/>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0"/>
                <w:szCs w:val="20"/>
              </w:rPr>
            </w:pPr>
          </w:p>
        </w:tc>
        <w:tc>
          <w:tcPr>
            <w:tcW w:w="1566"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3.10</w:t>
            </w:r>
          </w:p>
        </w:tc>
      </w:tr>
      <w:tr>
        <w:tblPrEx>
          <w:tblCellMar>
            <w:top w:w="0" w:type="dxa"/>
            <w:left w:w="108" w:type="dxa"/>
            <w:bottom w:w="0" w:type="dxa"/>
            <w:right w:w="108" w:type="dxa"/>
          </w:tblCellMar>
        </w:tblPrEx>
        <w:trPr>
          <w:trHeight w:val="624" w:hRule="atLeast"/>
        </w:trPr>
        <w:tc>
          <w:tcPr>
            <w:tcW w:w="2598" w:type="pct"/>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szCs w:val="20"/>
              </w:rPr>
            </w:pPr>
            <w:r>
              <w:rPr>
                <w:rFonts w:hint="eastAsia" w:ascii="TimesNewRoman" w:hAnsi="TimesNewRoman" w:cs="TimesNewRoman"/>
                <w:b/>
                <w:bCs/>
                <w:color w:val="000000"/>
                <w:kern w:val="0"/>
                <w:sz w:val="22"/>
                <w:szCs w:val="22"/>
                <w:lang w:eastAsia="zh-CN"/>
              </w:rPr>
              <w:t>合</w:t>
            </w:r>
            <w:r>
              <w:rPr>
                <w:rFonts w:hint="default" w:ascii="TimesNewRoman" w:hAnsi="TimesNewRoman" w:cs="TimesNewRoman"/>
                <w:b/>
                <w:bCs/>
                <w:color w:val="000000"/>
                <w:kern w:val="0"/>
                <w:sz w:val="22"/>
                <w:szCs w:val="22"/>
              </w:rPr>
              <w:t xml:space="preserve"> 计</w:t>
            </w:r>
          </w:p>
        </w:tc>
        <w:tc>
          <w:tcPr>
            <w:tcW w:w="93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535.82</w:t>
            </w:r>
          </w:p>
        </w:tc>
        <w:tc>
          <w:tcPr>
            <w:tcW w:w="160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505.26</w:t>
            </w:r>
          </w:p>
        </w:tc>
        <w:tc>
          <w:tcPr>
            <w:tcW w:w="1566"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b/>
                <w:bCs/>
                <w:color w:val="000000"/>
                <w:kern w:val="0"/>
                <w:sz w:val="20"/>
                <w:szCs w:val="20"/>
              </w:rPr>
            </w:pPr>
            <w:r>
              <w:rPr>
                <w:rFonts w:hint="eastAsia" w:ascii="宋体" w:hAnsi="宋体" w:eastAsia="宋体" w:cs="宋体"/>
                <w:i w:val="0"/>
                <w:iCs w:val="0"/>
                <w:color w:val="000000"/>
                <w:kern w:val="0"/>
                <w:sz w:val="20"/>
                <w:szCs w:val="20"/>
                <w:u w:val="none"/>
                <w:lang w:val="en-US" w:eastAsia="zh-CN" w:bidi="ar"/>
              </w:rPr>
              <w:t>30.56</w:t>
            </w:r>
          </w:p>
        </w:tc>
      </w:tr>
    </w:tbl>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rPr>
      </w:pPr>
    </w:p>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w:t>
      </w:r>
    </w:p>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kern w:val="0"/>
          <w:sz w:val="20"/>
        </w:rPr>
      </w:pPr>
    </w:p>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kern w:val="0"/>
          <w:sz w:val="20"/>
        </w:rPr>
      </w:pPr>
    </w:p>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kern w:val="0"/>
          <w:sz w:val="20"/>
        </w:rPr>
      </w:pPr>
    </w:p>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kern w:val="0"/>
          <w:sz w:val="20"/>
        </w:rPr>
      </w:pPr>
    </w:p>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kern w:val="0"/>
          <w:sz w:val="20"/>
        </w:rPr>
      </w:pPr>
    </w:p>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kern w:val="0"/>
          <w:sz w:val="20"/>
        </w:rPr>
      </w:pPr>
    </w:p>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kern w:val="0"/>
          <w:sz w:val="20"/>
        </w:rPr>
      </w:pPr>
    </w:p>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kern w:val="0"/>
          <w:sz w:val="20"/>
        </w:rPr>
      </w:pPr>
    </w:p>
    <w:p>
      <w:pPr>
        <w:keepNext w:val="0"/>
        <w:keepLines w:val="0"/>
        <w:pageBreakBefore w:val="0"/>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w:t>
      </w:r>
      <w:r>
        <w:rPr>
          <w:rFonts w:hint="eastAsia" w:ascii="TimesNewRoman" w:hAnsi="TimesNewRoman" w:cs="TimesNewRoman"/>
          <w:color w:val="000000"/>
          <w:kern w:val="0"/>
          <w:sz w:val="20"/>
          <w:lang w:val="en-US" w:eastAsia="zh-CN"/>
        </w:rPr>
        <w:t xml:space="preserve">     </w:t>
      </w:r>
      <w:r>
        <w:rPr>
          <w:rFonts w:hint="eastAsia" w:ascii="TimesNewRoman" w:hAnsi="TimesNewRoman" w:cs="TimesNewRoman"/>
          <w:color w:val="000000"/>
          <w:kern w:val="0"/>
          <w:sz w:val="20"/>
          <w:lang w:eastAsia="zh-CN"/>
        </w:rPr>
        <w:t>单位公开表</w:t>
      </w:r>
      <w:r>
        <w:rPr>
          <w:rFonts w:hint="default" w:ascii="TimesNewRoman" w:hAnsi="TimesNewRoman" w:cs="TimesNewRoman"/>
          <w:color w:val="000000"/>
          <w:kern w:val="0"/>
          <w:sz w:val="20"/>
        </w:rPr>
        <w:t>7</w:t>
      </w:r>
    </w:p>
    <w:p>
      <w:pPr>
        <w:keepNext w:val="0"/>
        <w:keepLines w:val="0"/>
        <w:pageBreakBefore w:val="0"/>
        <w:widowControl/>
        <w:kinsoku/>
        <w:wordWrap/>
        <w:overflowPunct/>
        <w:topLinePunct w:val="0"/>
        <w:autoSpaceDE/>
        <w:autoSpaceDN/>
        <w:bidi w:val="0"/>
        <w:adjustRightInd/>
        <w:snapToGrid/>
        <w:spacing w:before="157" w:beforeLines="50" w:after="157" w:afterLines="50" w:line="560" w:lineRule="exact"/>
        <w:jc w:val="center"/>
        <w:textAlignment w:val="auto"/>
        <w:rPr>
          <w:rFonts w:hint="default" w:ascii="TimesNewRoman" w:hAnsi="TimesNewRoman" w:eastAsia="华文中宋" w:cs="TimesNewRoman"/>
          <w:b/>
          <w:bCs/>
          <w:color w:val="000000"/>
          <w:kern w:val="0"/>
          <w:sz w:val="30"/>
          <w:szCs w:val="30"/>
        </w:rPr>
      </w:pPr>
      <w:r>
        <w:rPr>
          <w:rFonts w:hint="eastAsia" w:ascii="TimesNewRoman" w:hAnsi="TimesNewRoman" w:eastAsia="华文中宋" w:cs="TimesNewRoman"/>
          <w:b/>
          <w:bCs/>
          <w:color w:val="000000"/>
          <w:kern w:val="0"/>
          <w:sz w:val="30"/>
          <w:szCs w:val="30"/>
          <w:lang w:eastAsia="zh-CN"/>
        </w:rPr>
        <w:t>淮南市食品药品检验中心</w:t>
      </w:r>
      <w:r>
        <w:rPr>
          <w:rFonts w:hint="default" w:ascii="TimesNewRoman" w:hAnsi="TimesNewRoman" w:eastAsia="华文中宋" w:cs="TimesNewRoman"/>
          <w:b/>
          <w:bCs/>
          <w:color w:val="000000"/>
          <w:kern w:val="0"/>
          <w:sz w:val="30"/>
          <w:szCs w:val="30"/>
          <w:lang w:val="en"/>
        </w:rPr>
        <w:t>2024</w:t>
      </w:r>
      <w:r>
        <w:rPr>
          <w:rFonts w:hint="default" w:ascii="TimesNewRoman" w:hAnsi="TimesNewRoman" w:eastAsia="华文中宋" w:cs="TimesNewRoman"/>
          <w:b/>
          <w:bCs/>
          <w:color w:val="000000"/>
          <w:kern w:val="0"/>
          <w:sz w:val="30"/>
          <w:szCs w:val="30"/>
        </w:rPr>
        <w:t>年政府性基金预算支出表</w:t>
      </w:r>
    </w:p>
    <w:p>
      <w:pPr>
        <w:keepNext w:val="0"/>
        <w:keepLines w:val="0"/>
        <w:pageBreakBefore w:val="0"/>
        <w:kinsoku/>
        <w:overflowPunct/>
        <w:topLinePunct w:val="0"/>
        <w:autoSpaceDE/>
        <w:autoSpaceDN/>
        <w:bidi w:val="0"/>
        <w:spacing w:line="560" w:lineRule="exact"/>
        <w:ind w:left="7400" w:hanging="7400" w:hangingChars="3700"/>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单位：万元</w:t>
      </w:r>
    </w:p>
    <w:tbl>
      <w:tblPr>
        <w:tblStyle w:val="5"/>
        <w:tblW w:w="8505" w:type="dxa"/>
        <w:tblInd w:w="0" w:type="dxa"/>
        <w:tblLayout w:type="fixed"/>
        <w:tblCellMar>
          <w:top w:w="0" w:type="dxa"/>
          <w:left w:w="108" w:type="dxa"/>
          <w:bottom w:w="0" w:type="dxa"/>
          <w:right w:w="108" w:type="dxa"/>
        </w:tblCellMar>
      </w:tblPr>
      <w:tblGrid>
        <w:gridCol w:w="1165"/>
        <w:gridCol w:w="3820"/>
        <w:gridCol w:w="1000"/>
        <w:gridCol w:w="1230"/>
        <w:gridCol w:w="1290"/>
      </w:tblGrid>
      <w:tr>
        <w:tblPrEx>
          <w:tblCellMar>
            <w:top w:w="0" w:type="dxa"/>
            <w:left w:w="108" w:type="dxa"/>
            <w:bottom w:w="0" w:type="dxa"/>
            <w:right w:w="108" w:type="dxa"/>
          </w:tblCellMar>
        </w:tblPrEx>
        <w:trPr>
          <w:trHeight w:val="465" w:hRule="atLeast"/>
        </w:trPr>
        <w:tc>
          <w:tcPr>
            <w:tcW w:w="116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科目编码</w:t>
            </w:r>
          </w:p>
        </w:tc>
        <w:tc>
          <w:tcPr>
            <w:tcW w:w="382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科目名称</w:t>
            </w:r>
          </w:p>
        </w:tc>
        <w:tc>
          <w:tcPr>
            <w:tcW w:w="3520"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本年政府性基金预算支出</w:t>
            </w:r>
          </w:p>
        </w:tc>
      </w:tr>
      <w:tr>
        <w:tblPrEx>
          <w:tblCellMar>
            <w:top w:w="0" w:type="dxa"/>
            <w:left w:w="108" w:type="dxa"/>
            <w:bottom w:w="0" w:type="dxa"/>
            <w:right w:w="108" w:type="dxa"/>
          </w:tblCellMar>
        </w:tblPrEx>
        <w:trPr>
          <w:trHeight w:val="465" w:hRule="atLeast"/>
        </w:trPr>
        <w:tc>
          <w:tcPr>
            <w:tcW w:w="116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b/>
                <w:bCs/>
                <w:color w:val="000000"/>
                <w:kern w:val="0"/>
                <w:sz w:val="22"/>
              </w:rPr>
            </w:pPr>
          </w:p>
        </w:tc>
        <w:tc>
          <w:tcPr>
            <w:tcW w:w="382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b/>
                <w:bCs/>
                <w:color w:val="000000"/>
                <w:kern w:val="0"/>
                <w:sz w:val="22"/>
              </w:rPr>
            </w:pPr>
          </w:p>
        </w:tc>
        <w:tc>
          <w:tcPr>
            <w:tcW w:w="100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合计</w:t>
            </w:r>
          </w:p>
        </w:tc>
        <w:tc>
          <w:tcPr>
            <w:tcW w:w="123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基本支出</w:t>
            </w:r>
          </w:p>
        </w:tc>
        <w:tc>
          <w:tcPr>
            <w:tcW w:w="129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项目支出</w:t>
            </w:r>
          </w:p>
        </w:tc>
      </w:tr>
      <w:tr>
        <w:tblPrEx>
          <w:tblCellMar>
            <w:top w:w="0" w:type="dxa"/>
            <w:left w:w="108" w:type="dxa"/>
            <w:bottom w:w="0" w:type="dxa"/>
            <w:right w:w="108" w:type="dxa"/>
          </w:tblCellMar>
        </w:tblPrEx>
        <w:trPr>
          <w:trHeight w:val="360" w:hRule="atLeast"/>
        </w:trPr>
        <w:tc>
          <w:tcPr>
            <w:tcW w:w="116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2"/>
              </w:rPr>
            </w:pPr>
            <w:r>
              <w:rPr>
                <w:rFonts w:hint="default" w:ascii="TimesNewRoman" w:hAnsi="TimesNewRoman" w:cs="TimesNewRoman"/>
                <w:color w:val="000000"/>
                <w:kern w:val="0"/>
                <w:sz w:val="22"/>
              </w:rPr>
              <w:t>　</w:t>
            </w:r>
          </w:p>
        </w:tc>
        <w:tc>
          <w:tcPr>
            <w:tcW w:w="382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2"/>
              </w:rPr>
            </w:pPr>
            <w:r>
              <w:rPr>
                <w:rFonts w:hint="default" w:ascii="TimesNewRoman" w:hAnsi="TimesNewRoman" w:cs="TimesNewRoman"/>
                <w:color w:val="000000"/>
                <w:kern w:val="0"/>
                <w:sz w:val="22"/>
              </w:rPr>
              <w:t>　</w:t>
            </w:r>
          </w:p>
        </w:tc>
        <w:tc>
          <w:tcPr>
            <w:tcW w:w="100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2"/>
              </w:rPr>
            </w:pPr>
            <w:r>
              <w:rPr>
                <w:rFonts w:hint="default" w:ascii="TimesNewRoman" w:hAnsi="TimesNewRoman" w:cs="TimesNewRoman"/>
                <w:color w:val="000000"/>
                <w:kern w:val="0"/>
                <w:sz w:val="22"/>
              </w:rPr>
              <w:t>　</w:t>
            </w:r>
          </w:p>
        </w:tc>
        <w:tc>
          <w:tcPr>
            <w:tcW w:w="123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2"/>
              </w:rPr>
            </w:pPr>
            <w:r>
              <w:rPr>
                <w:rFonts w:hint="default" w:ascii="TimesNewRoman" w:hAnsi="TimesNewRoman" w:cs="TimesNewRoman"/>
                <w:color w:val="000000"/>
                <w:kern w:val="0"/>
                <w:sz w:val="22"/>
              </w:rPr>
              <w:t>　</w:t>
            </w:r>
          </w:p>
        </w:tc>
        <w:tc>
          <w:tcPr>
            <w:tcW w:w="129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2"/>
              </w:rPr>
            </w:pPr>
            <w:r>
              <w:rPr>
                <w:rFonts w:hint="default" w:ascii="TimesNewRoman" w:hAnsi="TimesNewRoman" w:cs="TimesNewRoman"/>
                <w:color w:val="000000"/>
                <w:kern w:val="0"/>
                <w:sz w:val="22"/>
              </w:rPr>
              <w:t>　</w:t>
            </w:r>
          </w:p>
        </w:tc>
      </w:tr>
      <w:tr>
        <w:tblPrEx>
          <w:tblCellMar>
            <w:top w:w="0" w:type="dxa"/>
            <w:left w:w="108" w:type="dxa"/>
            <w:bottom w:w="0" w:type="dxa"/>
            <w:right w:w="108" w:type="dxa"/>
          </w:tblCellMar>
        </w:tblPrEx>
        <w:trPr>
          <w:trHeight w:val="360" w:hRule="atLeast"/>
        </w:trPr>
        <w:tc>
          <w:tcPr>
            <w:tcW w:w="4985" w:type="dxa"/>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eastAsia" w:ascii="TimesNewRoman" w:hAnsi="TimesNewRoman" w:cs="TimesNewRoman"/>
                <w:b/>
                <w:bCs/>
                <w:color w:val="000000"/>
                <w:kern w:val="0"/>
                <w:sz w:val="22"/>
                <w:lang w:eastAsia="zh-CN"/>
              </w:rPr>
              <w:t>合</w:t>
            </w:r>
            <w:r>
              <w:rPr>
                <w:rFonts w:hint="default" w:ascii="TimesNewRoman" w:hAnsi="TimesNewRoman" w:cs="TimesNewRoman"/>
                <w:b/>
                <w:bCs/>
                <w:color w:val="000000"/>
                <w:kern w:val="0"/>
                <w:sz w:val="22"/>
              </w:rPr>
              <w:t xml:space="preserve"> 计</w:t>
            </w:r>
          </w:p>
        </w:tc>
        <w:tc>
          <w:tcPr>
            <w:tcW w:w="100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　</w:t>
            </w:r>
          </w:p>
        </w:tc>
        <w:tc>
          <w:tcPr>
            <w:tcW w:w="123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　</w:t>
            </w:r>
          </w:p>
        </w:tc>
        <w:tc>
          <w:tcPr>
            <w:tcW w:w="129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　</w:t>
            </w:r>
          </w:p>
        </w:tc>
      </w:tr>
    </w:tbl>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rPr>
      </w:pPr>
      <w:r>
        <w:rPr>
          <w:rFonts w:hint="default" w:ascii="TimesNewRoman" w:hAnsi="TimesNewRoman" w:cs="TimesNewRoman"/>
          <w:color w:val="000000"/>
          <w:kern w:val="0"/>
          <w:sz w:val="24"/>
        </w:rPr>
        <w:t>“</w:t>
      </w:r>
      <w:r>
        <w:rPr>
          <w:rFonts w:hint="eastAsia" w:ascii="TimesNewRoman" w:hAnsi="TimesNewRoman" w:cs="TimesNewRoman"/>
          <w:color w:val="000000"/>
          <w:kern w:val="0"/>
          <w:sz w:val="24"/>
          <w:lang w:eastAsia="zh-CN"/>
        </w:rPr>
        <w:t>淮南市食品药品检验中心</w:t>
      </w:r>
      <w:r>
        <w:rPr>
          <w:rFonts w:hint="default" w:ascii="TimesNewRoman" w:hAnsi="TimesNewRoman" w:cs="TimesNewRoman"/>
          <w:color w:val="000000"/>
          <w:kern w:val="0"/>
          <w:sz w:val="24"/>
        </w:rPr>
        <w:t>没有政府性基金预算拨款收入，也没有政府性基金预算拨款安排的支出，故本表无数据”。</w:t>
      </w:r>
    </w:p>
    <w:p>
      <w:pPr>
        <w:pStyle w:val="4"/>
        <w:keepNext w:val="0"/>
        <w:keepLines w:val="0"/>
        <w:pageBreakBefore w:val="0"/>
        <w:widowControl w:val="0"/>
        <w:kinsoku/>
        <w:wordWrap/>
        <w:overflowPunct/>
        <w:topLinePunct w:val="0"/>
        <w:autoSpaceDE/>
        <w:autoSpaceDN/>
        <w:bidi w:val="0"/>
        <w:adjustRightInd w:val="0"/>
        <w:snapToGrid w:val="0"/>
        <w:spacing w:after="157" w:afterLines="50" w:line="560" w:lineRule="exact"/>
        <w:ind w:right="102"/>
        <w:jc w:val="right"/>
        <w:textAlignment w:val="auto"/>
        <w:rPr>
          <w:rFonts w:hint="default" w:ascii="TimesNewRoman" w:hAnsi="TimesNewRoman" w:eastAsia="黑体" w:cs="TimesNewRoman"/>
          <w:bCs/>
          <w:color w:val="000000"/>
          <w:sz w:val="36"/>
          <w:szCs w:val="36"/>
        </w:rPr>
      </w:pPr>
      <w:r>
        <w:rPr>
          <w:rFonts w:hint="default" w:ascii="TimesNewRoman" w:hAnsi="TimesNewRoman" w:cs="TimesNewRoman"/>
          <w:color w:val="000000"/>
          <w:sz w:val="20"/>
          <w:szCs w:val="20"/>
        </w:rPr>
        <w:t xml:space="preserve"> </w:t>
      </w:r>
      <w:r>
        <w:rPr>
          <w:rFonts w:hint="default" w:ascii="TimesNewRoman" w:hAnsi="TimesNewRoman" w:eastAsia="仿宋_GB2312" w:cs="TimesNewRoman"/>
          <w:color w:val="000000"/>
          <w:kern w:val="0"/>
          <w:sz w:val="20"/>
          <w:szCs w:val="20"/>
          <w:lang w:val="en-US" w:eastAsia="zh-CN" w:bidi="ar-SA"/>
        </w:rPr>
        <w:t xml:space="preserve"> </w:t>
      </w:r>
      <w:r>
        <w:rPr>
          <w:rFonts w:hint="eastAsia" w:ascii="TimesNewRoman" w:hAnsi="TimesNewRoman" w:eastAsia="仿宋_GB2312" w:cs="TimesNewRoman"/>
          <w:color w:val="000000"/>
          <w:kern w:val="0"/>
          <w:sz w:val="20"/>
          <w:szCs w:val="20"/>
          <w:lang w:val="en-US" w:eastAsia="zh-CN" w:bidi="ar-SA"/>
        </w:rPr>
        <w:t>单位公开表</w:t>
      </w:r>
      <w:r>
        <w:rPr>
          <w:rFonts w:hint="default" w:ascii="TimesNewRoman" w:hAnsi="TimesNewRoman" w:eastAsia="仿宋_GB2312" w:cs="TimesNewRoman"/>
          <w:color w:val="000000"/>
          <w:kern w:val="0"/>
          <w:sz w:val="20"/>
          <w:szCs w:val="20"/>
          <w:lang w:val="en-US" w:eastAsia="zh-CN" w:bidi="ar-SA"/>
        </w:rPr>
        <w:t>8</w:t>
      </w:r>
    </w:p>
    <w:tbl>
      <w:tblPr>
        <w:tblStyle w:val="5"/>
        <w:tblW w:w="9280" w:type="dxa"/>
        <w:tblInd w:w="0" w:type="dxa"/>
        <w:tblLayout w:type="fixed"/>
        <w:tblCellMar>
          <w:top w:w="0" w:type="dxa"/>
          <w:left w:w="108" w:type="dxa"/>
          <w:bottom w:w="0" w:type="dxa"/>
          <w:right w:w="108" w:type="dxa"/>
        </w:tblCellMar>
      </w:tblPr>
      <w:tblGrid>
        <w:gridCol w:w="491"/>
        <w:gridCol w:w="623"/>
        <w:gridCol w:w="3970"/>
        <w:gridCol w:w="236"/>
        <w:gridCol w:w="1094"/>
        <w:gridCol w:w="1390"/>
        <w:gridCol w:w="161"/>
        <w:gridCol w:w="1143"/>
        <w:gridCol w:w="172"/>
      </w:tblGrid>
      <w:tr>
        <w:tblPrEx>
          <w:tblCellMar>
            <w:top w:w="0" w:type="dxa"/>
            <w:left w:w="108" w:type="dxa"/>
            <w:bottom w:w="0" w:type="dxa"/>
            <w:right w:w="108" w:type="dxa"/>
          </w:tblCellMar>
        </w:tblPrEx>
        <w:trPr>
          <w:gridAfter w:val="1"/>
          <w:wAfter w:w="172" w:type="dxa"/>
          <w:trHeight w:val="553" w:hRule="atLeast"/>
        </w:trPr>
        <w:tc>
          <w:tcPr>
            <w:tcW w:w="9108" w:type="dxa"/>
            <w:gridSpan w:val="8"/>
            <w:tcBorders>
              <w:top w:val="nil"/>
              <w:left w:val="nil"/>
              <w:bottom w:val="nil"/>
              <w:right w:val="nil"/>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eastAsia="华文中宋" w:cs="TimesNewRoman"/>
                <w:b/>
                <w:bCs/>
                <w:color w:val="000000"/>
                <w:kern w:val="0"/>
                <w:sz w:val="30"/>
                <w:szCs w:val="30"/>
              </w:rPr>
            </w:pPr>
            <w:r>
              <w:rPr>
                <w:rFonts w:hint="eastAsia" w:ascii="TimesNewRoman" w:hAnsi="TimesNewRoman" w:eastAsia="华文中宋" w:cs="TimesNewRoman"/>
                <w:b/>
                <w:bCs/>
                <w:color w:val="000000"/>
                <w:kern w:val="0"/>
                <w:sz w:val="30"/>
                <w:szCs w:val="30"/>
                <w:lang w:eastAsia="zh-CN"/>
              </w:rPr>
              <w:t>淮南市食品药品检验中心</w:t>
            </w:r>
            <w:r>
              <w:rPr>
                <w:rFonts w:hint="default" w:ascii="TimesNewRoman" w:hAnsi="TimesNewRoman" w:eastAsia="华文中宋" w:cs="TimesNewRoman"/>
                <w:b/>
                <w:bCs/>
                <w:color w:val="000000"/>
                <w:kern w:val="0"/>
                <w:sz w:val="30"/>
                <w:szCs w:val="30"/>
                <w:lang w:val="en"/>
              </w:rPr>
              <w:t>2024</w:t>
            </w:r>
            <w:r>
              <w:rPr>
                <w:rFonts w:hint="default" w:ascii="TimesNewRoman" w:hAnsi="TimesNewRoman" w:eastAsia="华文中宋" w:cs="TimesNewRoman"/>
                <w:b/>
                <w:bCs/>
                <w:color w:val="000000"/>
                <w:kern w:val="0"/>
                <w:sz w:val="30"/>
                <w:szCs w:val="30"/>
              </w:rPr>
              <w:t>年国有资本经营预算支出表</w:t>
            </w:r>
          </w:p>
        </w:tc>
      </w:tr>
      <w:tr>
        <w:tblPrEx>
          <w:tblCellMar>
            <w:top w:w="0" w:type="dxa"/>
            <w:left w:w="108" w:type="dxa"/>
            <w:bottom w:w="0" w:type="dxa"/>
            <w:right w:w="108" w:type="dxa"/>
          </w:tblCellMar>
        </w:tblPrEx>
        <w:trPr>
          <w:trHeight w:val="375" w:hRule="atLeast"/>
        </w:trPr>
        <w:tc>
          <w:tcPr>
            <w:tcW w:w="491" w:type="dxa"/>
            <w:tcBorders>
              <w:top w:val="nil"/>
              <w:left w:val="nil"/>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18"/>
                <w:szCs w:val="18"/>
              </w:rPr>
            </w:pPr>
          </w:p>
        </w:tc>
        <w:tc>
          <w:tcPr>
            <w:tcW w:w="623" w:type="dxa"/>
            <w:tcBorders>
              <w:top w:val="nil"/>
              <w:left w:val="nil"/>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p>
        </w:tc>
        <w:tc>
          <w:tcPr>
            <w:tcW w:w="3970" w:type="dxa"/>
            <w:tcBorders>
              <w:top w:val="nil"/>
              <w:left w:val="nil"/>
              <w:bottom w:val="single" w:color="auto" w:sz="4" w:space="0"/>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p>
        </w:tc>
        <w:tc>
          <w:tcPr>
            <w:tcW w:w="236" w:type="dxa"/>
            <w:tcBorders>
              <w:top w:val="nil"/>
              <w:left w:val="nil"/>
              <w:bottom w:val="nil"/>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p>
        </w:tc>
        <w:tc>
          <w:tcPr>
            <w:tcW w:w="2645" w:type="dxa"/>
            <w:gridSpan w:val="3"/>
            <w:tcBorders>
              <w:top w:val="nil"/>
              <w:left w:val="nil"/>
              <w:bottom w:val="nil"/>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0"/>
              </w:rPr>
            </w:pPr>
          </w:p>
        </w:tc>
        <w:tc>
          <w:tcPr>
            <w:tcW w:w="1315" w:type="dxa"/>
            <w:gridSpan w:val="2"/>
            <w:tcBorders>
              <w:top w:val="nil"/>
              <w:left w:val="nil"/>
              <w:bottom w:val="nil"/>
              <w:right w:val="nil"/>
            </w:tcBorders>
            <w:noWrap w:val="0"/>
            <w:vAlign w:val="center"/>
          </w:tcPr>
          <w:p>
            <w:pPr>
              <w:keepNext w:val="0"/>
              <w:keepLines w:val="0"/>
              <w:pageBreakBefore w:val="0"/>
              <w:widowControl/>
              <w:kinsoku/>
              <w:overflowPunct/>
              <w:topLinePunct w:val="0"/>
              <w:autoSpaceDE/>
              <w:autoSpaceDN/>
              <w:bidi w:val="0"/>
              <w:spacing w:line="560" w:lineRule="exact"/>
              <w:ind w:right="100"/>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单位：万元</w:t>
            </w:r>
          </w:p>
        </w:tc>
      </w:tr>
      <w:tr>
        <w:tblPrEx>
          <w:tblCellMar>
            <w:top w:w="0" w:type="dxa"/>
            <w:left w:w="108" w:type="dxa"/>
            <w:bottom w:w="0" w:type="dxa"/>
            <w:right w:w="108" w:type="dxa"/>
          </w:tblCellMar>
        </w:tblPrEx>
        <w:trPr>
          <w:gridAfter w:val="1"/>
          <w:wAfter w:w="172" w:type="dxa"/>
          <w:trHeight w:val="405" w:hRule="atLeast"/>
        </w:trPr>
        <w:tc>
          <w:tcPr>
            <w:tcW w:w="508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color w:val="000000"/>
                <w:kern w:val="0"/>
                <w:sz w:val="24"/>
              </w:rPr>
            </w:pPr>
            <w:r>
              <w:rPr>
                <w:rFonts w:hint="default" w:ascii="TimesNewRoman" w:hAnsi="TimesNewRoman" w:cs="TimesNewRoman"/>
                <w:b/>
                <w:color w:val="000000"/>
                <w:kern w:val="0"/>
                <w:sz w:val="22"/>
              </w:rPr>
              <w:t>功能分类科目</w:t>
            </w:r>
          </w:p>
        </w:tc>
        <w:tc>
          <w:tcPr>
            <w:tcW w:w="4024"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color w:val="000000"/>
                <w:kern w:val="0"/>
                <w:sz w:val="24"/>
              </w:rPr>
            </w:pPr>
            <w:r>
              <w:rPr>
                <w:rFonts w:hint="default" w:ascii="TimesNewRoman" w:hAnsi="TimesNewRoman" w:cs="TimesNewRoman"/>
                <w:b/>
                <w:bCs/>
                <w:color w:val="000000"/>
                <w:kern w:val="0"/>
                <w:sz w:val="22"/>
              </w:rPr>
              <w:t>国有资本经营预算拨款支出</w:t>
            </w:r>
          </w:p>
        </w:tc>
      </w:tr>
      <w:tr>
        <w:tblPrEx>
          <w:tblCellMar>
            <w:top w:w="0" w:type="dxa"/>
            <w:left w:w="108" w:type="dxa"/>
            <w:bottom w:w="0" w:type="dxa"/>
            <w:right w:w="108" w:type="dxa"/>
          </w:tblCellMar>
        </w:tblPrEx>
        <w:trPr>
          <w:gridAfter w:val="1"/>
          <w:wAfter w:w="172" w:type="dxa"/>
          <w:trHeight w:val="405" w:hRule="atLeast"/>
        </w:trPr>
        <w:tc>
          <w:tcPr>
            <w:tcW w:w="111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科目编码</w:t>
            </w:r>
          </w:p>
        </w:tc>
        <w:tc>
          <w:tcPr>
            <w:tcW w:w="397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科目名称</w:t>
            </w:r>
          </w:p>
        </w:tc>
        <w:tc>
          <w:tcPr>
            <w:tcW w:w="133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合计</w:t>
            </w:r>
          </w:p>
        </w:tc>
        <w:tc>
          <w:tcPr>
            <w:tcW w:w="139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基本支出</w:t>
            </w:r>
          </w:p>
        </w:tc>
        <w:tc>
          <w:tcPr>
            <w:tcW w:w="1304"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项目支出</w:t>
            </w:r>
          </w:p>
        </w:tc>
      </w:tr>
      <w:tr>
        <w:tblPrEx>
          <w:tblCellMar>
            <w:top w:w="0" w:type="dxa"/>
            <w:left w:w="108" w:type="dxa"/>
            <w:bottom w:w="0" w:type="dxa"/>
            <w:right w:w="108" w:type="dxa"/>
          </w:tblCellMar>
        </w:tblPrEx>
        <w:trPr>
          <w:gridAfter w:val="1"/>
          <w:wAfter w:w="172" w:type="dxa"/>
          <w:trHeight w:val="405" w:hRule="atLeast"/>
        </w:trPr>
        <w:tc>
          <w:tcPr>
            <w:tcW w:w="111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color w:val="000000"/>
                <w:kern w:val="0"/>
                <w:sz w:val="24"/>
              </w:rPr>
            </w:pPr>
            <w:r>
              <w:rPr>
                <w:rFonts w:hint="default" w:ascii="TimesNewRoman" w:hAnsi="TimesNewRoman" w:cs="TimesNewRoman"/>
                <w:color w:val="000000"/>
                <w:kern w:val="0"/>
                <w:sz w:val="24"/>
              </w:rPr>
              <w:t>　</w:t>
            </w:r>
          </w:p>
        </w:tc>
        <w:tc>
          <w:tcPr>
            <w:tcW w:w="397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4"/>
              </w:rPr>
            </w:pPr>
            <w:r>
              <w:rPr>
                <w:rFonts w:hint="default" w:ascii="TimesNewRoman" w:hAnsi="TimesNewRoman" w:cs="TimesNewRoman"/>
                <w:color w:val="000000"/>
                <w:kern w:val="0"/>
                <w:sz w:val="24"/>
              </w:rPr>
              <w:t>　</w:t>
            </w:r>
          </w:p>
        </w:tc>
        <w:tc>
          <w:tcPr>
            <w:tcW w:w="1330"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4"/>
              </w:rPr>
            </w:pPr>
            <w:r>
              <w:rPr>
                <w:rFonts w:hint="default" w:ascii="TimesNewRoman" w:hAnsi="TimesNewRoman" w:cs="TimesNewRoman"/>
                <w:color w:val="000000"/>
                <w:kern w:val="0"/>
                <w:sz w:val="24"/>
              </w:rPr>
              <w:t>　</w:t>
            </w:r>
          </w:p>
        </w:tc>
        <w:tc>
          <w:tcPr>
            <w:tcW w:w="139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4"/>
              </w:rPr>
            </w:pPr>
            <w:r>
              <w:rPr>
                <w:rFonts w:hint="default" w:ascii="TimesNewRoman" w:hAnsi="TimesNewRoman" w:cs="TimesNewRoman"/>
                <w:color w:val="000000"/>
                <w:kern w:val="0"/>
                <w:sz w:val="24"/>
              </w:rPr>
              <w:t>　</w:t>
            </w:r>
          </w:p>
        </w:tc>
        <w:tc>
          <w:tcPr>
            <w:tcW w:w="1304"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4"/>
              </w:rPr>
            </w:pPr>
            <w:r>
              <w:rPr>
                <w:rFonts w:hint="default" w:ascii="TimesNewRoman" w:hAnsi="TimesNewRoman" w:cs="TimesNewRoman"/>
                <w:color w:val="000000"/>
                <w:kern w:val="0"/>
                <w:sz w:val="24"/>
              </w:rPr>
              <w:t>　</w:t>
            </w:r>
          </w:p>
        </w:tc>
      </w:tr>
      <w:tr>
        <w:tblPrEx>
          <w:tblCellMar>
            <w:top w:w="0" w:type="dxa"/>
            <w:left w:w="108" w:type="dxa"/>
            <w:bottom w:w="0" w:type="dxa"/>
            <w:right w:w="108" w:type="dxa"/>
          </w:tblCellMar>
        </w:tblPrEx>
        <w:trPr>
          <w:gridAfter w:val="1"/>
          <w:wAfter w:w="172" w:type="dxa"/>
          <w:trHeight w:val="405" w:hRule="atLeast"/>
        </w:trPr>
        <w:tc>
          <w:tcPr>
            <w:tcW w:w="508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color w:val="000000"/>
                <w:kern w:val="0"/>
                <w:sz w:val="24"/>
              </w:rPr>
            </w:pPr>
            <w:r>
              <w:rPr>
                <w:rFonts w:hint="eastAsia" w:ascii="TimesNewRoman" w:hAnsi="TimesNewRoman" w:cs="TimesNewRoman"/>
                <w:b/>
                <w:bCs/>
                <w:color w:val="000000"/>
                <w:kern w:val="0"/>
                <w:sz w:val="22"/>
                <w:lang w:eastAsia="zh-CN"/>
              </w:rPr>
              <w:t>合</w:t>
            </w:r>
            <w:r>
              <w:rPr>
                <w:rFonts w:hint="default" w:ascii="TimesNewRoman" w:hAnsi="TimesNewRoman" w:cs="TimesNewRoman"/>
                <w:b/>
                <w:bCs/>
                <w:color w:val="000000"/>
                <w:kern w:val="0"/>
                <w:sz w:val="22"/>
              </w:rPr>
              <w:t xml:space="preserve"> 计</w:t>
            </w:r>
          </w:p>
        </w:tc>
        <w:tc>
          <w:tcPr>
            <w:tcW w:w="1330"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color w:val="000000"/>
                <w:kern w:val="0"/>
                <w:sz w:val="24"/>
              </w:rPr>
            </w:pPr>
            <w:r>
              <w:rPr>
                <w:rFonts w:hint="default" w:ascii="TimesNewRoman" w:hAnsi="TimesNewRoman" w:cs="TimesNewRoman"/>
                <w:color w:val="000000"/>
                <w:kern w:val="0"/>
                <w:sz w:val="24"/>
              </w:rPr>
              <w:t>　</w:t>
            </w:r>
          </w:p>
        </w:tc>
        <w:tc>
          <w:tcPr>
            <w:tcW w:w="139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color w:val="000000"/>
                <w:kern w:val="0"/>
                <w:sz w:val="24"/>
              </w:rPr>
            </w:pPr>
            <w:r>
              <w:rPr>
                <w:rFonts w:hint="default" w:ascii="TimesNewRoman" w:hAnsi="TimesNewRoman" w:cs="TimesNewRoman"/>
                <w:color w:val="000000"/>
                <w:kern w:val="0"/>
                <w:sz w:val="24"/>
              </w:rPr>
              <w:t>　</w:t>
            </w:r>
          </w:p>
        </w:tc>
        <w:tc>
          <w:tcPr>
            <w:tcW w:w="1304"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color w:val="000000"/>
                <w:kern w:val="0"/>
                <w:sz w:val="24"/>
              </w:rPr>
            </w:pPr>
            <w:r>
              <w:rPr>
                <w:rFonts w:hint="default" w:ascii="TimesNewRoman" w:hAnsi="TimesNewRoman" w:cs="TimesNewRoman"/>
                <w:color w:val="000000"/>
                <w:kern w:val="0"/>
                <w:sz w:val="24"/>
              </w:rPr>
              <w:t>　</w:t>
            </w:r>
          </w:p>
        </w:tc>
      </w:tr>
      <w:tr>
        <w:tblPrEx>
          <w:tblCellMar>
            <w:top w:w="0" w:type="dxa"/>
            <w:left w:w="108" w:type="dxa"/>
            <w:bottom w:w="0" w:type="dxa"/>
            <w:right w:w="108" w:type="dxa"/>
          </w:tblCellMar>
        </w:tblPrEx>
        <w:trPr>
          <w:gridAfter w:val="1"/>
          <w:wAfter w:w="172" w:type="dxa"/>
          <w:trHeight w:val="795" w:hRule="atLeast"/>
        </w:trPr>
        <w:tc>
          <w:tcPr>
            <w:tcW w:w="9108" w:type="dxa"/>
            <w:gridSpan w:val="8"/>
            <w:tcBorders>
              <w:top w:val="single" w:color="auto" w:sz="4" w:space="0"/>
              <w:left w:val="nil"/>
              <w:bottom w:val="nil"/>
              <w:right w:val="nil"/>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4"/>
              </w:rPr>
            </w:pPr>
            <w:r>
              <w:rPr>
                <w:rFonts w:hint="default" w:ascii="TimesNewRoman" w:hAnsi="TimesNewRoman" w:cs="TimesNewRoman"/>
                <w:color w:val="000000"/>
                <w:kern w:val="0"/>
                <w:sz w:val="24"/>
              </w:rPr>
              <w:t>“</w:t>
            </w:r>
            <w:r>
              <w:rPr>
                <w:rFonts w:hint="eastAsia" w:ascii="TimesNewRoman" w:hAnsi="TimesNewRoman" w:cs="TimesNewRoman"/>
                <w:color w:val="000000"/>
                <w:kern w:val="0"/>
                <w:sz w:val="24"/>
                <w:lang w:eastAsia="zh-CN"/>
              </w:rPr>
              <w:t>淮南市食品药品检验中心</w:t>
            </w:r>
            <w:r>
              <w:rPr>
                <w:rFonts w:hint="default" w:ascii="TimesNewRoman" w:hAnsi="TimesNewRoman" w:cs="TimesNewRoman"/>
                <w:color w:val="000000"/>
                <w:kern w:val="0"/>
                <w:sz w:val="24"/>
              </w:rPr>
              <w:t>没有国有资本经营预算拨款收入，也没有国有资本经营预算拨款安排的支出，故本表无数据”。</w:t>
            </w:r>
          </w:p>
        </w:tc>
      </w:tr>
    </w:tbl>
    <w:p>
      <w:pPr>
        <w:pStyle w:val="4"/>
        <w:keepNext w:val="0"/>
        <w:keepLines w:val="0"/>
        <w:pageBreakBefore w:val="0"/>
        <w:kinsoku/>
        <w:overflowPunct/>
        <w:topLinePunct w:val="0"/>
        <w:autoSpaceDE/>
        <w:autoSpaceDN/>
        <w:bidi w:val="0"/>
        <w:adjustRightInd w:val="0"/>
        <w:snapToGrid w:val="0"/>
        <w:spacing w:line="560" w:lineRule="exact"/>
        <w:ind w:right="400"/>
        <w:rPr>
          <w:rFonts w:hint="default" w:ascii="TimesNewRoman" w:hAnsi="TimesNewRoman" w:cs="TimesNewRoman"/>
          <w:color w:val="000000"/>
          <w:sz w:val="20"/>
          <w:szCs w:val="20"/>
        </w:rPr>
      </w:pPr>
    </w:p>
    <w:p>
      <w:pPr>
        <w:keepNext w:val="0"/>
        <w:keepLines w:val="0"/>
        <w:pageBreakBefore w:val="0"/>
        <w:kinsoku/>
        <w:overflowPunct/>
        <w:topLinePunct w:val="0"/>
        <w:autoSpaceDE/>
        <w:autoSpaceDN/>
        <w:bidi w:val="0"/>
        <w:spacing w:line="560" w:lineRule="exact"/>
        <w:jc w:val="right"/>
        <w:rPr>
          <w:rFonts w:hint="default" w:ascii="TimesNewRoman" w:hAnsi="TimesNewRoman" w:cs="TimesNewRoman"/>
          <w:color w:val="000000"/>
          <w:kern w:val="0"/>
          <w:sz w:val="20"/>
        </w:rPr>
        <w:sectPr>
          <w:pgSz w:w="11906" w:h="16838"/>
          <w:pgMar w:top="1440" w:right="1797" w:bottom="1440" w:left="1797" w:header="851" w:footer="992" w:gutter="0"/>
          <w:pgBorders>
            <w:top w:val="none" w:sz="0" w:space="0"/>
            <w:left w:val="none" w:sz="0" w:space="0"/>
            <w:bottom w:val="none" w:sz="0" w:space="0"/>
            <w:right w:val="none" w:sz="0" w:space="0"/>
          </w:pgBorders>
          <w:pgNumType w:fmt="numberInDash"/>
          <w:cols w:space="720" w:num="1"/>
          <w:docGrid w:type="linesAndChars" w:linePitch="312" w:charSpace="0"/>
        </w:sectPr>
      </w:pPr>
    </w:p>
    <w:p>
      <w:pPr>
        <w:keepNext w:val="0"/>
        <w:keepLines w:val="0"/>
        <w:pageBreakBefore w:val="0"/>
        <w:kinsoku/>
        <w:overflowPunct/>
        <w:topLinePunct w:val="0"/>
        <w:autoSpaceDE/>
        <w:autoSpaceDN/>
        <w:bidi w:val="0"/>
        <w:spacing w:line="560" w:lineRule="exact"/>
        <w:jc w:val="center"/>
        <w:rPr>
          <w:rFonts w:hint="default" w:ascii="TimesNewRoman" w:hAnsi="TimesNewRoman" w:cs="TimesNewRoman"/>
          <w:color w:val="000000"/>
          <w:kern w:val="0"/>
          <w:sz w:val="20"/>
        </w:rPr>
      </w:pPr>
      <w:r>
        <w:rPr>
          <w:rFonts w:hint="eastAsia" w:ascii="TimesNewRoman" w:hAnsi="TimesNewRoman" w:cs="TimesNewRoman"/>
          <w:color w:val="000000"/>
          <w:kern w:val="0"/>
          <w:sz w:val="20"/>
          <w:lang w:val="en-US" w:eastAsia="zh-CN"/>
        </w:rPr>
        <w:t xml:space="preserve">                                                                                                          </w:t>
      </w:r>
      <w:r>
        <w:rPr>
          <w:rFonts w:hint="eastAsia" w:ascii="TimesNewRoman" w:hAnsi="TimesNewRoman" w:cs="TimesNewRoman"/>
          <w:color w:val="000000"/>
          <w:kern w:val="0"/>
          <w:sz w:val="20"/>
          <w:lang w:eastAsia="zh-CN"/>
        </w:rPr>
        <w:t>单位公开表</w:t>
      </w:r>
      <w:r>
        <w:rPr>
          <w:rFonts w:hint="default" w:ascii="TimesNewRoman" w:hAnsi="TimesNewRoman" w:cs="TimesNewRoman"/>
          <w:color w:val="000000"/>
          <w:kern w:val="0"/>
          <w:sz w:val="20"/>
        </w:rPr>
        <w:t>9</w:t>
      </w:r>
    </w:p>
    <w:p>
      <w:pPr>
        <w:keepNext w:val="0"/>
        <w:keepLines w:val="0"/>
        <w:pageBreakBefore w:val="0"/>
        <w:widowControl/>
        <w:kinsoku/>
        <w:overflowPunct/>
        <w:topLinePunct w:val="0"/>
        <w:autoSpaceDE/>
        <w:autoSpaceDN/>
        <w:bidi w:val="0"/>
        <w:spacing w:line="560" w:lineRule="exact"/>
        <w:jc w:val="center"/>
        <w:rPr>
          <w:rFonts w:hint="default" w:ascii="TimesNewRoman" w:hAnsi="TimesNewRoman" w:eastAsia="华文中宋" w:cs="TimesNewRoman"/>
          <w:b/>
          <w:bCs/>
          <w:color w:val="000000"/>
          <w:kern w:val="0"/>
          <w:sz w:val="30"/>
          <w:szCs w:val="30"/>
        </w:rPr>
      </w:pPr>
      <w:r>
        <w:rPr>
          <w:rFonts w:hint="eastAsia" w:ascii="TimesNewRoman" w:hAnsi="TimesNewRoman" w:eastAsia="华文中宋" w:cs="TimesNewRoman"/>
          <w:b/>
          <w:bCs/>
          <w:color w:val="000000"/>
          <w:kern w:val="0"/>
          <w:sz w:val="30"/>
          <w:szCs w:val="30"/>
          <w:lang w:eastAsia="zh-CN"/>
        </w:rPr>
        <w:t>淮南市食品药品检验中心</w:t>
      </w:r>
      <w:r>
        <w:rPr>
          <w:rFonts w:hint="default" w:ascii="TimesNewRoman" w:hAnsi="TimesNewRoman" w:eastAsia="华文中宋" w:cs="TimesNewRoman"/>
          <w:b/>
          <w:bCs/>
          <w:color w:val="000000"/>
          <w:kern w:val="0"/>
          <w:sz w:val="30"/>
          <w:szCs w:val="30"/>
          <w:lang w:val="en"/>
        </w:rPr>
        <w:t>2024</w:t>
      </w:r>
      <w:r>
        <w:rPr>
          <w:rFonts w:hint="default" w:ascii="TimesNewRoman" w:hAnsi="TimesNewRoman" w:eastAsia="华文中宋" w:cs="TimesNewRoman"/>
          <w:b/>
          <w:bCs/>
          <w:color w:val="000000"/>
          <w:kern w:val="0"/>
          <w:sz w:val="30"/>
          <w:szCs w:val="30"/>
        </w:rPr>
        <w:t>年项目支出表</w:t>
      </w:r>
    </w:p>
    <w:tbl>
      <w:tblPr>
        <w:tblStyle w:val="5"/>
        <w:tblpPr w:leftFromText="180" w:rightFromText="180" w:vertAnchor="text" w:horzAnchor="page" w:tblpX="1432" w:tblpY="538"/>
        <w:tblOverlap w:val="never"/>
        <w:tblW w:w="4997" w:type="pct"/>
        <w:tblInd w:w="0" w:type="dxa"/>
        <w:tblLayout w:type="autofit"/>
        <w:tblCellMar>
          <w:top w:w="0" w:type="dxa"/>
          <w:left w:w="108" w:type="dxa"/>
          <w:bottom w:w="0" w:type="dxa"/>
          <w:right w:w="108" w:type="dxa"/>
        </w:tblCellMar>
      </w:tblPr>
      <w:tblGrid>
        <w:gridCol w:w="1198"/>
        <w:gridCol w:w="1439"/>
        <w:gridCol w:w="1366"/>
        <w:gridCol w:w="921"/>
        <w:gridCol w:w="1222"/>
        <w:gridCol w:w="1222"/>
        <w:gridCol w:w="1225"/>
        <w:gridCol w:w="1222"/>
        <w:gridCol w:w="1222"/>
        <w:gridCol w:w="1225"/>
        <w:gridCol w:w="1021"/>
        <w:gridCol w:w="882"/>
      </w:tblGrid>
      <w:tr>
        <w:tblPrEx>
          <w:tblCellMar>
            <w:top w:w="0" w:type="dxa"/>
            <w:left w:w="108" w:type="dxa"/>
            <w:bottom w:w="0" w:type="dxa"/>
            <w:right w:w="108" w:type="dxa"/>
          </w:tblCellMar>
        </w:tblPrEx>
        <w:trPr>
          <w:trHeight w:val="762" w:hRule="atLeast"/>
        </w:trPr>
        <w:tc>
          <w:tcPr>
            <w:tcW w:w="423"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类型</w:t>
            </w:r>
          </w:p>
        </w:tc>
        <w:tc>
          <w:tcPr>
            <w:tcW w:w="508" w:type="pct"/>
            <w:vMerge w:val="restart"/>
            <w:tcBorders>
              <w:top w:val="single" w:color="auto" w:sz="4" w:space="0"/>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项目名称</w:t>
            </w:r>
          </w:p>
        </w:tc>
        <w:tc>
          <w:tcPr>
            <w:tcW w:w="481"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项目单位</w:t>
            </w:r>
          </w:p>
        </w:tc>
        <w:tc>
          <w:tcPr>
            <w:tcW w:w="325" w:type="pct"/>
            <w:vMerge w:val="restart"/>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合计</w:t>
            </w:r>
          </w:p>
        </w:tc>
        <w:tc>
          <w:tcPr>
            <w:tcW w:w="1294" w:type="pct"/>
            <w:gridSpan w:val="3"/>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本年财政拨款</w:t>
            </w:r>
          </w:p>
        </w:tc>
        <w:tc>
          <w:tcPr>
            <w:tcW w:w="1294" w:type="pct"/>
            <w:gridSpan w:val="3"/>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财政拨款结转结余</w:t>
            </w:r>
          </w:p>
        </w:tc>
        <w:tc>
          <w:tcPr>
            <w:tcW w:w="360" w:type="pct"/>
            <w:vMerge w:val="restart"/>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财政专户管理资金</w:t>
            </w:r>
          </w:p>
        </w:tc>
        <w:tc>
          <w:tcPr>
            <w:tcW w:w="311" w:type="pct"/>
            <w:vMerge w:val="restart"/>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单位</w:t>
            </w:r>
          </w:p>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资金</w:t>
            </w:r>
          </w:p>
        </w:tc>
      </w:tr>
      <w:tr>
        <w:tblPrEx>
          <w:tblCellMar>
            <w:top w:w="0" w:type="dxa"/>
            <w:left w:w="108" w:type="dxa"/>
            <w:bottom w:w="0" w:type="dxa"/>
            <w:right w:w="108" w:type="dxa"/>
          </w:tblCellMar>
        </w:tblPrEx>
        <w:trPr>
          <w:trHeight w:val="762" w:hRule="atLeast"/>
        </w:trPr>
        <w:tc>
          <w:tcPr>
            <w:tcW w:w="423"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b/>
                <w:bCs/>
                <w:color w:val="000000"/>
                <w:kern w:val="0"/>
                <w:sz w:val="22"/>
              </w:rPr>
            </w:pPr>
          </w:p>
        </w:tc>
        <w:tc>
          <w:tcPr>
            <w:tcW w:w="508" w:type="pct"/>
            <w:vMerge w:val="continue"/>
            <w:tcBorders>
              <w:top w:val="single" w:color="auto" w:sz="4" w:space="0"/>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b/>
                <w:bCs/>
                <w:color w:val="000000"/>
                <w:kern w:val="0"/>
                <w:sz w:val="22"/>
              </w:rPr>
            </w:pPr>
          </w:p>
        </w:tc>
        <w:tc>
          <w:tcPr>
            <w:tcW w:w="481"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b/>
                <w:bCs/>
                <w:color w:val="000000"/>
                <w:kern w:val="0"/>
                <w:sz w:val="22"/>
              </w:rPr>
            </w:pPr>
          </w:p>
        </w:tc>
        <w:tc>
          <w:tcPr>
            <w:tcW w:w="325" w:type="pct"/>
            <w:vMerge w:val="continue"/>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b/>
                <w:bCs/>
                <w:color w:val="000000"/>
                <w:kern w:val="0"/>
                <w:sz w:val="22"/>
              </w:rPr>
            </w:pPr>
          </w:p>
        </w:tc>
        <w:tc>
          <w:tcPr>
            <w:tcW w:w="431" w:type="pct"/>
            <w:tcBorders>
              <w:top w:val="nil"/>
              <w:left w:val="nil"/>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一般公共预算</w:t>
            </w:r>
          </w:p>
        </w:tc>
        <w:tc>
          <w:tcPr>
            <w:tcW w:w="431" w:type="pct"/>
            <w:tcBorders>
              <w:top w:val="nil"/>
              <w:left w:val="nil"/>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政府性</w:t>
            </w:r>
          </w:p>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基金预算</w:t>
            </w:r>
          </w:p>
        </w:tc>
        <w:tc>
          <w:tcPr>
            <w:tcW w:w="432" w:type="pct"/>
            <w:tcBorders>
              <w:top w:val="nil"/>
              <w:left w:val="nil"/>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国有资本经营预算</w:t>
            </w:r>
          </w:p>
        </w:tc>
        <w:tc>
          <w:tcPr>
            <w:tcW w:w="431" w:type="pct"/>
            <w:tcBorders>
              <w:top w:val="nil"/>
              <w:left w:val="nil"/>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一般公共预算</w:t>
            </w:r>
          </w:p>
        </w:tc>
        <w:tc>
          <w:tcPr>
            <w:tcW w:w="431" w:type="pct"/>
            <w:tcBorders>
              <w:top w:val="nil"/>
              <w:left w:val="nil"/>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政府性</w:t>
            </w:r>
          </w:p>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基金预算</w:t>
            </w:r>
          </w:p>
        </w:tc>
        <w:tc>
          <w:tcPr>
            <w:tcW w:w="432" w:type="pct"/>
            <w:tcBorders>
              <w:top w:val="nil"/>
              <w:left w:val="nil"/>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国有资本经营预算</w:t>
            </w:r>
          </w:p>
        </w:tc>
        <w:tc>
          <w:tcPr>
            <w:tcW w:w="360" w:type="pct"/>
            <w:vMerge w:val="continue"/>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b/>
                <w:bCs/>
                <w:color w:val="000000"/>
                <w:kern w:val="0"/>
                <w:sz w:val="22"/>
              </w:rPr>
            </w:pPr>
          </w:p>
        </w:tc>
        <w:tc>
          <w:tcPr>
            <w:tcW w:w="311" w:type="pct"/>
            <w:vMerge w:val="continue"/>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b/>
                <w:bCs/>
                <w:color w:val="000000"/>
                <w:kern w:val="0"/>
                <w:sz w:val="22"/>
              </w:rPr>
            </w:pPr>
          </w:p>
        </w:tc>
      </w:tr>
      <w:tr>
        <w:tblPrEx>
          <w:tblCellMar>
            <w:top w:w="0" w:type="dxa"/>
            <w:left w:w="108" w:type="dxa"/>
            <w:bottom w:w="0" w:type="dxa"/>
            <w:right w:w="108" w:type="dxa"/>
          </w:tblCellMar>
        </w:tblPrEx>
        <w:trPr>
          <w:trHeight w:val="360" w:hRule="atLeast"/>
        </w:trPr>
        <w:tc>
          <w:tcPr>
            <w:tcW w:w="1201"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b/>
                <w:bCs/>
                <w:color w:val="000000"/>
                <w:kern w:val="0"/>
                <w:sz w:val="22"/>
              </w:rPr>
            </w:pPr>
            <w:r>
              <w:rPr>
                <w:rFonts w:hint="eastAsia" w:ascii="宋体" w:hAnsi="宋体" w:eastAsia="宋体" w:cs="宋体"/>
                <w:i w:val="0"/>
                <w:iCs w:val="0"/>
                <w:color w:val="000000"/>
                <w:kern w:val="0"/>
                <w:sz w:val="20"/>
                <w:szCs w:val="20"/>
                <w:u w:val="none"/>
                <w:lang w:val="en-US" w:eastAsia="zh-CN" w:bidi="ar"/>
              </w:rPr>
              <w:t>特定目标类</w:t>
            </w:r>
          </w:p>
        </w:tc>
        <w:tc>
          <w:tcPr>
            <w:tcW w:w="1442"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乳制品抽检专项经费</w:t>
            </w:r>
          </w:p>
        </w:tc>
        <w:tc>
          <w:tcPr>
            <w:tcW w:w="1363"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b/>
                <w:bCs/>
                <w:color w:val="000000"/>
                <w:kern w:val="0"/>
                <w:sz w:val="22"/>
              </w:rPr>
            </w:pPr>
            <w:r>
              <w:rPr>
                <w:rFonts w:hint="eastAsia" w:ascii="宋体" w:hAnsi="宋体" w:eastAsia="宋体" w:cs="宋体"/>
                <w:i w:val="0"/>
                <w:iCs w:val="0"/>
                <w:color w:val="000000"/>
                <w:kern w:val="0"/>
                <w:sz w:val="20"/>
                <w:szCs w:val="20"/>
                <w:u w:val="none"/>
                <w:lang w:val="en-US" w:eastAsia="zh-CN" w:bidi="ar"/>
              </w:rPr>
              <w:t>淮南市食品药品检验中心</w:t>
            </w:r>
          </w:p>
        </w:tc>
        <w:tc>
          <w:tcPr>
            <w:tcW w:w="921"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b/>
                <w:bCs/>
                <w:color w:val="000000"/>
                <w:kern w:val="0"/>
                <w:sz w:val="22"/>
              </w:rPr>
            </w:pPr>
            <w:r>
              <w:rPr>
                <w:rFonts w:hint="eastAsia" w:ascii="宋体" w:hAnsi="宋体" w:eastAsia="宋体" w:cs="宋体"/>
                <w:i w:val="0"/>
                <w:iCs w:val="0"/>
                <w:color w:val="000000"/>
                <w:kern w:val="0"/>
                <w:sz w:val="20"/>
                <w:szCs w:val="20"/>
                <w:u w:val="none"/>
                <w:lang w:val="en-US" w:eastAsia="zh-CN" w:bidi="ar"/>
              </w:rPr>
              <w:t>12.00</w:t>
            </w:r>
          </w:p>
        </w:tc>
        <w:tc>
          <w:tcPr>
            <w:tcW w:w="1222"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b/>
                <w:bCs/>
                <w:color w:val="000000"/>
                <w:kern w:val="0"/>
                <w:sz w:val="22"/>
              </w:rPr>
            </w:pPr>
            <w:r>
              <w:rPr>
                <w:rFonts w:hint="eastAsia" w:ascii="宋体" w:hAnsi="宋体" w:eastAsia="宋体" w:cs="宋体"/>
                <w:i w:val="0"/>
                <w:iCs w:val="0"/>
                <w:color w:val="000000"/>
                <w:kern w:val="0"/>
                <w:sz w:val="20"/>
                <w:szCs w:val="20"/>
                <w:u w:val="none"/>
                <w:lang w:val="en-US" w:eastAsia="zh-CN" w:bidi="ar"/>
              </w:rPr>
              <w:t>12.00</w:t>
            </w:r>
          </w:p>
        </w:tc>
        <w:tc>
          <w:tcPr>
            <w:tcW w:w="431" w:type="pct"/>
            <w:tcBorders>
              <w:top w:val="single" w:color="auto" w:sz="4" w:space="0"/>
              <w:left w:val="nil"/>
              <w:bottom w:val="single" w:color="auto" w:sz="4" w:space="0"/>
              <w:right w:val="single" w:color="auto" w:sz="4" w:space="0"/>
            </w:tcBorders>
            <w:noWrap w:val="0"/>
            <w:vAlign w:val="center"/>
          </w:tcPr>
          <w:p>
            <w:pPr>
              <w:jc w:val="right"/>
              <w:rPr>
                <w:rFonts w:hint="default" w:ascii="TimesNewRoman" w:hAnsi="TimesNewRoman" w:cs="TimesNewRoman"/>
                <w:b/>
                <w:bCs/>
                <w:color w:val="000000"/>
                <w:kern w:val="0"/>
                <w:sz w:val="22"/>
              </w:rPr>
            </w:pPr>
          </w:p>
        </w:tc>
        <w:tc>
          <w:tcPr>
            <w:tcW w:w="432" w:type="pct"/>
            <w:tcBorders>
              <w:top w:val="single" w:color="auto" w:sz="4" w:space="0"/>
              <w:left w:val="nil"/>
              <w:bottom w:val="single" w:color="auto" w:sz="4" w:space="0"/>
              <w:right w:val="single" w:color="auto" w:sz="4" w:space="0"/>
            </w:tcBorders>
            <w:noWrap w:val="0"/>
            <w:vAlign w:val="center"/>
          </w:tcPr>
          <w:p>
            <w:pPr>
              <w:jc w:val="right"/>
              <w:rPr>
                <w:rFonts w:hint="default" w:ascii="TimesNewRoman" w:hAnsi="TimesNewRoman" w:cs="TimesNewRoman"/>
                <w:b/>
                <w:bCs/>
                <w:color w:val="000000"/>
                <w:kern w:val="0"/>
                <w:sz w:val="22"/>
              </w:rPr>
            </w:pPr>
          </w:p>
        </w:tc>
        <w:tc>
          <w:tcPr>
            <w:tcW w:w="431" w:type="pct"/>
            <w:tcBorders>
              <w:top w:val="single" w:color="auto" w:sz="4" w:space="0"/>
              <w:left w:val="nil"/>
              <w:bottom w:val="single" w:color="auto" w:sz="4" w:space="0"/>
              <w:right w:val="single" w:color="auto" w:sz="4" w:space="0"/>
            </w:tcBorders>
            <w:noWrap w:val="0"/>
            <w:vAlign w:val="center"/>
          </w:tcPr>
          <w:p>
            <w:pPr>
              <w:jc w:val="right"/>
              <w:rPr>
                <w:rFonts w:hint="default" w:ascii="TimesNewRoman" w:hAnsi="TimesNewRoman" w:cs="TimesNewRoman"/>
                <w:b/>
                <w:bCs/>
                <w:color w:val="000000"/>
                <w:kern w:val="0"/>
                <w:sz w:val="22"/>
              </w:rPr>
            </w:pPr>
          </w:p>
        </w:tc>
        <w:tc>
          <w:tcPr>
            <w:tcW w:w="431"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　</w:t>
            </w:r>
          </w:p>
        </w:tc>
        <w:tc>
          <w:tcPr>
            <w:tcW w:w="432"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　</w:t>
            </w:r>
          </w:p>
        </w:tc>
        <w:tc>
          <w:tcPr>
            <w:tcW w:w="360"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　</w:t>
            </w:r>
          </w:p>
        </w:tc>
        <w:tc>
          <w:tcPr>
            <w:tcW w:w="311"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　</w:t>
            </w:r>
          </w:p>
        </w:tc>
      </w:tr>
      <w:tr>
        <w:tblPrEx>
          <w:tblCellMar>
            <w:top w:w="0" w:type="dxa"/>
            <w:left w:w="108" w:type="dxa"/>
            <w:bottom w:w="0" w:type="dxa"/>
            <w:right w:w="108" w:type="dxa"/>
          </w:tblCellMar>
        </w:tblPrEx>
        <w:trPr>
          <w:trHeight w:val="360" w:hRule="atLeast"/>
        </w:trPr>
        <w:tc>
          <w:tcPr>
            <w:tcW w:w="1201"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b/>
                <w:bCs/>
                <w:color w:val="000000"/>
                <w:kern w:val="0"/>
                <w:sz w:val="22"/>
              </w:rPr>
            </w:pPr>
            <w:r>
              <w:rPr>
                <w:rFonts w:hint="eastAsia" w:ascii="宋体" w:hAnsi="宋体" w:eastAsia="宋体" w:cs="宋体"/>
                <w:i w:val="0"/>
                <w:iCs w:val="0"/>
                <w:color w:val="000000"/>
                <w:kern w:val="0"/>
                <w:sz w:val="20"/>
                <w:szCs w:val="20"/>
                <w:u w:val="none"/>
                <w:lang w:val="en-US" w:eastAsia="zh-CN" w:bidi="ar"/>
              </w:rPr>
              <w:t>特定目标类</w:t>
            </w:r>
          </w:p>
        </w:tc>
        <w:tc>
          <w:tcPr>
            <w:tcW w:w="1442"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食品、药品、保健品、医疗器械、药包材抽检运转经费</w:t>
            </w:r>
          </w:p>
        </w:tc>
        <w:tc>
          <w:tcPr>
            <w:tcW w:w="1363"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b/>
                <w:bCs/>
                <w:color w:val="000000"/>
                <w:kern w:val="0"/>
                <w:sz w:val="22"/>
              </w:rPr>
            </w:pPr>
            <w:r>
              <w:rPr>
                <w:rFonts w:hint="eastAsia" w:ascii="宋体" w:hAnsi="宋体" w:eastAsia="宋体" w:cs="宋体"/>
                <w:i w:val="0"/>
                <w:iCs w:val="0"/>
                <w:color w:val="000000"/>
                <w:kern w:val="0"/>
                <w:sz w:val="20"/>
                <w:szCs w:val="20"/>
                <w:u w:val="none"/>
                <w:lang w:val="en-US" w:eastAsia="zh-CN" w:bidi="ar"/>
              </w:rPr>
              <w:t>淮南市食品药品检验中心</w:t>
            </w:r>
          </w:p>
        </w:tc>
        <w:tc>
          <w:tcPr>
            <w:tcW w:w="921"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b/>
                <w:bCs/>
                <w:color w:val="000000"/>
                <w:kern w:val="0"/>
                <w:sz w:val="22"/>
              </w:rPr>
            </w:pPr>
            <w:r>
              <w:rPr>
                <w:rFonts w:hint="eastAsia" w:ascii="宋体" w:hAnsi="宋体" w:eastAsia="宋体" w:cs="宋体"/>
                <w:i w:val="0"/>
                <w:iCs w:val="0"/>
                <w:color w:val="000000"/>
                <w:kern w:val="0"/>
                <w:sz w:val="20"/>
                <w:szCs w:val="20"/>
                <w:u w:val="none"/>
                <w:lang w:val="en-US" w:eastAsia="zh-CN" w:bidi="ar"/>
              </w:rPr>
              <w:t>17.14</w:t>
            </w:r>
          </w:p>
        </w:tc>
        <w:tc>
          <w:tcPr>
            <w:tcW w:w="1222"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b/>
                <w:bCs/>
                <w:color w:val="000000"/>
                <w:kern w:val="0"/>
                <w:sz w:val="22"/>
              </w:rPr>
            </w:pPr>
            <w:r>
              <w:rPr>
                <w:rFonts w:hint="eastAsia" w:ascii="宋体" w:hAnsi="宋体" w:eastAsia="宋体" w:cs="宋体"/>
                <w:i w:val="0"/>
                <w:iCs w:val="0"/>
                <w:color w:val="000000"/>
                <w:kern w:val="0"/>
                <w:sz w:val="20"/>
                <w:szCs w:val="20"/>
                <w:u w:val="none"/>
                <w:lang w:val="en-US" w:eastAsia="zh-CN" w:bidi="ar"/>
              </w:rPr>
              <w:t>17.14</w:t>
            </w:r>
          </w:p>
        </w:tc>
        <w:tc>
          <w:tcPr>
            <w:tcW w:w="431"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b/>
                <w:bCs/>
                <w:color w:val="000000"/>
                <w:kern w:val="0"/>
                <w:sz w:val="22"/>
              </w:rPr>
            </w:pPr>
          </w:p>
        </w:tc>
        <w:tc>
          <w:tcPr>
            <w:tcW w:w="43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b/>
                <w:bCs/>
                <w:color w:val="000000"/>
                <w:kern w:val="0"/>
                <w:sz w:val="22"/>
              </w:rPr>
            </w:pPr>
          </w:p>
        </w:tc>
        <w:tc>
          <w:tcPr>
            <w:tcW w:w="431"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b/>
                <w:bCs/>
                <w:color w:val="000000"/>
                <w:kern w:val="0"/>
                <w:sz w:val="22"/>
              </w:rPr>
            </w:pPr>
          </w:p>
        </w:tc>
        <w:tc>
          <w:tcPr>
            <w:tcW w:w="431"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　</w:t>
            </w:r>
          </w:p>
        </w:tc>
        <w:tc>
          <w:tcPr>
            <w:tcW w:w="432"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　</w:t>
            </w:r>
          </w:p>
        </w:tc>
        <w:tc>
          <w:tcPr>
            <w:tcW w:w="360"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　</w:t>
            </w:r>
          </w:p>
        </w:tc>
        <w:tc>
          <w:tcPr>
            <w:tcW w:w="311"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　</w:t>
            </w:r>
          </w:p>
        </w:tc>
      </w:tr>
      <w:tr>
        <w:tblPrEx>
          <w:tblCellMar>
            <w:top w:w="0" w:type="dxa"/>
            <w:left w:w="108" w:type="dxa"/>
            <w:bottom w:w="0" w:type="dxa"/>
            <w:right w:w="108" w:type="dxa"/>
          </w:tblCellMar>
        </w:tblPrEx>
        <w:trPr>
          <w:trHeight w:val="360" w:hRule="atLeast"/>
        </w:trPr>
        <w:tc>
          <w:tcPr>
            <w:tcW w:w="1201"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特定目标类</w:t>
            </w:r>
          </w:p>
        </w:tc>
        <w:tc>
          <w:tcPr>
            <w:tcW w:w="1442"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食品药品监管补助资金中央</w:t>
            </w:r>
          </w:p>
        </w:tc>
        <w:tc>
          <w:tcPr>
            <w:tcW w:w="1363"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淮南市食品药品检验中心</w:t>
            </w:r>
          </w:p>
        </w:tc>
        <w:tc>
          <w:tcPr>
            <w:tcW w:w="921"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34.00</w:t>
            </w:r>
          </w:p>
        </w:tc>
        <w:tc>
          <w:tcPr>
            <w:tcW w:w="1222"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34.00</w:t>
            </w:r>
          </w:p>
        </w:tc>
        <w:tc>
          <w:tcPr>
            <w:tcW w:w="431"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3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31"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p>
        </w:tc>
        <w:tc>
          <w:tcPr>
            <w:tcW w:w="431"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left"/>
              <w:rPr>
                <w:rFonts w:hint="default" w:ascii="TimesNewRoman" w:hAnsi="TimesNewRoman" w:cs="TimesNewRoman"/>
                <w:color w:val="000000"/>
                <w:kern w:val="0"/>
                <w:sz w:val="22"/>
              </w:rPr>
            </w:pPr>
          </w:p>
        </w:tc>
        <w:tc>
          <w:tcPr>
            <w:tcW w:w="432"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2"/>
              </w:rPr>
            </w:pPr>
            <w:r>
              <w:rPr>
                <w:rFonts w:hint="default" w:ascii="TimesNewRoman" w:hAnsi="TimesNewRoman" w:cs="TimesNewRoman"/>
                <w:color w:val="000000"/>
                <w:kern w:val="0"/>
                <w:sz w:val="22"/>
              </w:rPr>
              <w:t>　</w:t>
            </w:r>
          </w:p>
        </w:tc>
        <w:tc>
          <w:tcPr>
            <w:tcW w:w="360"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2"/>
              </w:rPr>
            </w:pPr>
            <w:r>
              <w:rPr>
                <w:rFonts w:hint="default" w:ascii="TimesNewRoman" w:hAnsi="TimesNewRoman" w:cs="TimesNewRoman"/>
                <w:color w:val="000000"/>
                <w:kern w:val="0"/>
                <w:sz w:val="22"/>
              </w:rPr>
              <w:t>　</w:t>
            </w:r>
          </w:p>
        </w:tc>
        <w:tc>
          <w:tcPr>
            <w:tcW w:w="311"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2"/>
              </w:rPr>
            </w:pPr>
            <w:r>
              <w:rPr>
                <w:rFonts w:hint="default" w:ascii="TimesNewRoman" w:hAnsi="TimesNewRoman" w:cs="TimesNewRoman"/>
                <w:color w:val="000000"/>
                <w:kern w:val="0"/>
                <w:sz w:val="22"/>
              </w:rPr>
              <w:t>　</w:t>
            </w:r>
          </w:p>
        </w:tc>
      </w:tr>
      <w:tr>
        <w:tblPrEx>
          <w:tblCellMar>
            <w:top w:w="0" w:type="dxa"/>
            <w:left w:w="108" w:type="dxa"/>
            <w:bottom w:w="0" w:type="dxa"/>
            <w:right w:w="108" w:type="dxa"/>
          </w:tblCellMar>
        </w:tblPrEx>
        <w:trPr>
          <w:trHeight w:val="360" w:hRule="atLeast"/>
        </w:trPr>
        <w:tc>
          <w:tcPr>
            <w:tcW w:w="1201"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特定目标类</w:t>
            </w:r>
          </w:p>
        </w:tc>
        <w:tc>
          <w:tcPr>
            <w:tcW w:w="1442"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物业管理费</w:t>
            </w:r>
          </w:p>
        </w:tc>
        <w:tc>
          <w:tcPr>
            <w:tcW w:w="1363"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淮南市食品药品检验中心</w:t>
            </w:r>
          </w:p>
        </w:tc>
        <w:tc>
          <w:tcPr>
            <w:tcW w:w="921"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21.90</w:t>
            </w:r>
          </w:p>
        </w:tc>
        <w:tc>
          <w:tcPr>
            <w:tcW w:w="1222"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21.90</w:t>
            </w:r>
          </w:p>
        </w:tc>
        <w:tc>
          <w:tcPr>
            <w:tcW w:w="431"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3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31"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31"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2"/>
              </w:rPr>
            </w:pPr>
            <w:r>
              <w:rPr>
                <w:rFonts w:hint="default" w:ascii="TimesNewRoman" w:hAnsi="TimesNewRoman" w:cs="TimesNewRoman"/>
                <w:color w:val="000000"/>
                <w:kern w:val="0"/>
                <w:sz w:val="22"/>
              </w:rPr>
              <w:t>　</w:t>
            </w:r>
          </w:p>
        </w:tc>
        <w:tc>
          <w:tcPr>
            <w:tcW w:w="432"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2"/>
              </w:rPr>
            </w:pPr>
            <w:r>
              <w:rPr>
                <w:rFonts w:hint="default" w:ascii="TimesNewRoman" w:hAnsi="TimesNewRoman" w:cs="TimesNewRoman"/>
                <w:color w:val="000000"/>
                <w:kern w:val="0"/>
                <w:sz w:val="22"/>
              </w:rPr>
              <w:t>　</w:t>
            </w:r>
          </w:p>
        </w:tc>
        <w:tc>
          <w:tcPr>
            <w:tcW w:w="360"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2"/>
              </w:rPr>
            </w:pPr>
            <w:r>
              <w:rPr>
                <w:rFonts w:hint="default" w:ascii="TimesNewRoman" w:hAnsi="TimesNewRoman" w:cs="TimesNewRoman"/>
                <w:color w:val="000000"/>
                <w:kern w:val="0"/>
                <w:sz w:val="22"/>
              </w:rPr>
              <w:t>　</w:t>
            </w:r>
          </w:p>
        </w:tc>
        <w:tc>
          <w:tcPr>
            <w:tcW w:w="311"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2"/>
              </w:rPr>
            </w:pPr>
            <w:r>
              <w:rPr>
                <w:rFonts w:hint="default" w:ascii="TimesNewRoman" w:hAnsi="TimesNewRoman" w:cs="TimesNewRoman"/>
                <w:color w:val="000000"/>
                <w:kern w:val="0"/>
                <w:sz w:val="22"/>
              </w:rPr>
              <w:t>　</w:t>
            </w:r>
          </w:p>
        </w:tc>
      </w:tr>
      <w:tr>
        <w:tblPrEx>
          <w:tblCellMar>
            <w:top w:w="0" w:type="dxa"/>
            <w:left w:w="108" w:type="dxa"/>
            <w:bottom w:w="0" w:type="dxa"/>
            <w:right w:w="108" w:type="dxa"/>
          </w:tblCellMar>
        </w:tblPrEx>
        <w:trPr>
          <w:trHeight w:val="360" w:hRule="atLeast"/>
        </w:trPr>
        <w:tc>
          <w:tcPr>
            <w:tcW w:w="1201"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特定目标类</w:t>
            </w:r>
          </w:p>
        </w:tc>
        <w:tc>
          <w:tcPr>
            <w:tcW w:w="1442"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药品(含医疗器械、化妆品)抽验经费</w:t>
            </w:r>
          </w:p>
        </w:tc>
        <w:tc>
          <w:tcPr>
            <w:tcW w:w="1363"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淮南市食品药品检验中心</w:t>
            </w:r>
          </w:p>
        </w:tc>
        <w:tc>
          <w:tcPr>
            <w:tcW w:w="921"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172.70</w:t>
            </w:r>
          </w:p>
        </w:tc>
        <w:tc>
          <w:tcPr>
            <w:tcW w:w="1222"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2"/>
              </w:rPr>
            </w:pPr>
            <w:r>
              <w:rPr>
                <w:rFonts w:hint="eastAsia" w:ascii="宋体" w:hAnsi="宋体" w:eastAsia="宋体" w:cs="宋体"/>
                <w:i w:val="0"/>
                <w:iCs w:val="0"/>
                <w:color w:val="000000"/>
                <w:kern w:val="0"/>
                <w:sz w:val="20"/>
                <w:szCs w:val="20"/>
                <w:u w:val="none"/>
                <w:lang w:val="en-US" w:eastAsia="zh-CN" w:bidi="ar"/>
              </w:rPr>
              <w:t>172.70</w:t>
            </w:r>
          </w:p>
        </w:tc>
        <w:tc>
          <w:tcPr>
            <w:tcW w:w="431"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3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31"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31"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2"/>
              </w:rPr>
            </w:pPr>
            <w:r>
              <w:rPr>
                <w:rFonts w:hint="default" w:ascii="TimesNewRoman" w:hAnsi="TimesNewRoman" w:cs="TimesNewRoman"/>
                <w:color w:val="000000"/>
                <w:kern w:val="0"/>
                <w:sz w:val="22"/>
              </w:rPr>
              <w:t>　</w:t>
            </w:r>
          </w:p>
        </w:tc>
        <w:tc>
          <w:tcPr>
            <w:tcW w:w="432"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2"/>
              </w:rPr>
            </w:pPr>
            <w:r>
              <w:rPr>
                <w:rFonts w:hint="default" w:ascii="TimesNewRoman" w:hAnsi="TimesNewRoman" w:cs="TimesNewRoman"/>
                <w:color w:val="000000"/>
                <w:kern w:val="0"/>
                <w:sz w:val="22"/>
              </w:rPr>
              <w:t>　</w:t>
            </w:r>
          </w:p>
        </w:tc>
        <w:tc>
          <w:tcPr>
            <w:tcW w:w="360"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2"/>
              </w:rPr>
            </w:pPr>
            <w:r>
              <w:rPr>
                <w:rFonts w:hint="default" w:ascii="TimesNewRoman" w:hAnsi="TimesNewRoman" w:cs="TimesNewRoman"/>
                <w:color w:val="000000"/>
                <w:kern w:val="0"/>
                <w:sz w:val="22"/>
              </w:rPr>
              <w:t>　</w:t>
            </w:r>
          </w:p>
        </w:tc>
        <w:tc>
          <w:tcPr>
            <w:tcW w:w="311"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2"/>
              </w:rPr>
            </w:pPr>
            <w:r>
              <w:rPr>
                <w:rFonts w:hint="default" w:ascii="TimesNewRoman" w:hAnsi="TimesNewRoman" w:cs="TimesNewRoman"/>
                <w:color w:val="000000"/>
                <w:kern w:val="0"/>
                <w:sz w:val="22"/>
              </w:rPr>
              <w:t>　</w:t>
            </w:r>
          </w:p>
        </w:tc>
      </w:tr>
      <w:tr>
        <w:tblPrEx>
          <w:tblCellMar>
            <w:top w:w="0" w:type="dxa"/>
            <w:left w:w="108" w:type="dxa"/>
            <w:bottom w:w="0" w:type="dxa"/>
            <w:right w:w="108" w:type="dxa"/>
          </w:tblCellMar>
        </w:tblPrEx>
        <w:trPr>
          <w:trHeight w:val="360" w:hRule="atLeast"/>
        </w:trPr>
        <w:tc>
          <w:tcPr>
            <w:tcW w:w="1201"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特定目标类</w:t>
            </w:r>
          </w:p>
        </w:tc>
        <w:tc>
          <w:tcPr>
            <w:tcW w:w="1442"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药品安全监管城乡一体化建设经费</w:t>
            </w:r>
          </w:p>
        </w:tc>
        <w:tc>
          <w:tcPr>
            <w:tcW w:w="1363" w:type="dxa"/>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淮南市食品药品检验中心</w:t>
            </w:r>
          </w:p>
        </w:tc>
        <w:tc>
          <w:tcPr>
            <w:tcW w:w="921"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4.50</w:t>
            </w:r>
          </w:p>
        </w:tc>
        <w:tc>
          <w:tcPr>
            <w:tcW w:w="1222"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4.50</w:t>
            </w:r>
          </w:p>
        </w:tc>
        <w:tc>
          <w:tcPr>
            <w:tcW w:w="431"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3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31"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color w:val="000000"/>
                <w:kern w:val="0"/>
                <w:sz w:val="22"/>
              </w:rPr>
            </w:pPr>
          </w:p>
        </w:tc>
        <w:tc>
          <w:tcPr>
            <w:tcW w:w="431"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2"/>
              </w:rPr>
            </w:pPr>
          </w:p>
        </w:tc>
        <w:tc>
          <w:tcPr>
            <w:tcW w:w="432"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2"/>
              </w:rPr>
            </w:pPr>
          </w:p>
        </w:tc>
        <w:tc>
          <w:tcPr>
            <w:tcW w:w="360"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2"/>
              </w:rPr>
            </w:pPr>
          </w:p>
        </w:tc>
        <w:tc>
          <w:tcPr>
            <w:tcW w:w="311"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2"/>
              </w:rPr>
            </w:pPr>
          </w:p>
        </w:tc>
      </w:tr>
      <w:tr>
        <w:tblPrEx>
          <w:tblCellMar>
            <w:top w:w="0" w:type="dxa"/>
            <w:left w:w="108" w:type="dxa"/>
            <w:bottom w:w="0" w:type="dxa"/>
            <w:right w:w="108" w:type="dxa"/>
          </w:tblCellMar>
        </w:tblPrEx>
        <w:trPr>
          <w:trHeight w:val="360" w:hRule="atLeast"/>
        </w:trPr>
        <w:tc>
          <w:tcPr>
            <w:tcW w:w="1413" w:type="pct"/>
            <w:gridSpan w:val="3"/>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2"/>
              </w:rPr>
            </w:pPr>
            <w:r>
              <w:rPr>
                <w:rFonts w:hint="eastAsia" w:ascii="TimesNewRoman" w:hAnsi="TimesNewRoman" w:cs="TimesNewRoman"/>
                <w:b/>
                <w:bCs/>
                <w:color w:val="000000"/>
                <w:kern w:val="0"/>
                <w:sz w:val="22"/>
                <w:lang w:eastAsia="zh-CN"/>
              </w:rPr>
              <w:t>合</w:t>
            </w:r>
            <w:r>
              <w:rPr>
                <w:rFonts w:hint="eastAsia" w:ascii="TimesNewRoman" w:hAnsi="TimesNewRoman" w:cs="TimesNewRoman"/>
                <w:b/>
                <w:bCs/>
                <w:color w:val="000000"/>
                <w:kern w:val="0"/>
                <w:sz w:val="22"/>
                <w:lang w:val="en-US" w:eastAsia="zh-CN"/>
              </w:rPr>
              <w:t xml:space="preserve"> </w:t>
            </w:r>
            <w:r>
              <w:rPr>
                <w:rFonts w:hint="default" w:ascii="TimesNewRoman" w:hAnsi="TimesNewRoman" w:cs="TimesNewRoman"/>
                <w:b/>
                <w:bCs/>
                <w:color w:val="000000"/>
                <w:kern w:val="0"/>
                <w:sz w:val="22"/>
              </w:rPr>
              <w:t>计　</w:t>
            </w:r>
          </w:p>
        </w:tc>
        <w:tc>
          <w:tcPr>
            <w:tcW w:w="325"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b/>
                <w:bCs/>
                <w:color w:val="000000"/>
                <w:kern w:val="0"/>
                <w:sz w:val="22"/>
              </w:rPr>
            </w:pPr>
            <w:r>
              <w:rPr>
                <w:rFonts w:hint="eastAsia" w:ascii="宋体" w:hAnsi="宋体" w:eastAsia="宋体" w:cs="宋体"/>
                <w:i w:val="0"/>
                <w:iCs w:val="0"/>
                <w:color w:val="000000"/>
                <w:kern w:val="0"/>
                <w:sz w:val="20"/>
                <w:szCs w:val="20"/>
                <w:u w:val="none"/>
                <w:lang w:val="en-US" w:eastAsia="zh-CN" w:bidi="ar"/>
              </w:rPr>
              <w:t>260.18</w:t>
            </w:r>
          </w:p>
        </w:tc>
        <w:tc>
          <w:tcPr>
            <w:tcW w:w="431"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b/>
                <w:bCs/>
                <w:color w:val="000000"/>
                <w:kern w:val="0"/>
                <w:sz w:val="22"/>
              </w:rPr>
            </w:pPr>
            <w:r>
              <w:rPr>
                <w:rFonts w:hint="eastAsia" w:ascii="宋体" w:hAnsi="宋体" w:eastAsia="宋体" w:cs="宋体"/>
                <w:i w:val="0"/>
                <w:iCs w:val="0"/>
                <w:color w:val="000000"/>
                <w:kern w:val="0"/>
                <w:sz w:val="20"/>
                <w:szCs w:val="20"/>
                <w:u w:val="none"/>
                <w:lang w:val="en-US" w:eastAsia="zh-CN" w:bidi="ar"/>
              </w:rPr>
              <w:t>260.18</w:t>
            </w:r>
          </w:p>
        </w:tc>
        <w:tc>
          <w:tcPr>
            <w:tcW w:w="431"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b/>
                <w:bCs/>
                <w:color w:val="000000"/>
                <w:kern w:val="0"/>
                <w:sz w:val="22"/>
              </w:rPr>
            </w:pPr>
          </w:p>
        </w:tc>
        <w:tc>
          <w:tcPr>
            <w:tcW w:w="432" w:type="pct"/>
            <w:tcBorders>
              <w:top w:val="nil"/>
              <w:left w:val="nil"/>
              <w:bottom w:val="single" w:color="auto" w:sz="4" w:space="0"/>
              <w:right w:val="single" w:color="auto" w:sz="4" w:space="0"/>
            </w:tcBorders>
            <w:noWrap w:val="0"/>
            <w:vAlign w:val="center"/>
          </w:tcPr>
          <w:p>
            <w:pPr>
              <w:jc w:val="right"/>
              <w:rPr>
                <w:rFonts w:hint="default" w:ascii="TimesNewRoman" w:hAnsi="TimesNewRoman" w:cs="TimesNewRoman"/>
                <w:b/>
                <w:bCs/>
                <w:color w:val="000000"/>
                <w:kern w:val="0"/>
                <w:sz w:val="22"/>
              </w:rPr>
            </w:pPr>
          </w:p>
        </w:tc>
        <w:tc>
          <w:tcPr>
            <w:tcW w:w="431" w:type="pct"/>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b/>
                <w:bCs/>
                <w:color w:val="000000"/>
                <w:kern w:val="0"/>
                <w:sz w:val="22"/>
              </w:rPr>
            </w:pPr>
          </w:p>
        </w:tc>
        <w:tc>
          <w:tcPr>
            <w:tcW w:w="431"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b/>
                <w:bCs/>
                <w:color w:val="000000"/>
                <w:kern w:val="0"/>
                <w:sz w:val="22"/>
              </w:rPr>
            </w:pPr>
          </w:p>
        </w:tc>
        <w:tc>
          <w:tcPr>
            <w:tcW w:w="432"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　</w:t>
            </w:r>
          </w:p>
        </w:tc>
        <w:tc>
          <w:tcPr>
            <w:tcW w:w="360"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　</w:t>
            </w:r>
          </w:p>
        </w:tc>
        <w:tc>
          <w:tcPr>
            <w:tcW w:w="311" w:type="pct"/>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b/>
                <w:bCs/>
                <w:color w:val="000000"/>
                <w:kern w:val="0"/>
                <w:sz w:val="22"/>
              </w:rPr>
            </w:pPr>
            <w:r>
              <w:rPr>
                <w:rFonts w:hint="default" w:ascii="TimesNewRoman" w:hAnsi="TimesNewRoman" w:cs="TimesNewRoman"/>
                <w:b/>
                <w:bCs/>
                <w:color w:val="000000"/>
                <w:kern w:val="0"/>
                <w:sz w:val="22"/>
              </w:rPr>
              <w:t>　</w:t>
            </w:r>
          </w:p>
        </w:tc>
      </w:tr>
    </w:tbl>
    <w:p>
      <w:pPr>
        <w:keepNext w:val="0"/>
        <w:keepLines w:val="0"/>
        <w:pageBreakBefore w:val="0"/>
        <w:kinsoku/>
        <w:overflowPunct/>
        <w:topLinePunct w:val="0"/>
        <w:autoSpaceDE/>
        <w:autoSpaceDN/>
        <w:bidi w:val="0"/>
        <w:spacing w:line="560" w:lineRule="exact"/>
        <w:ind w:left="7400" w:hanging="7807" w:hangingChars="3700"/>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单位：万元</w:t>
      </w:r>
    </w:p>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kern w:val="0"/>
          <w:sz w:val="22"/>
        </w:rPr>
        <w:sectPr>
          <w:pgSz w:w="16838" w:h="11906" w:orient="landscape"/>
          <w:pgMar w:top="1797" w:right="1440" w:bottom="1797" w:left="1440" w:header="850" w:footer="992" w:gutter="0"/>
          <w:pgBorders>
            <w:top w:val="none" w:sz="0" w:space="0"/>
            <w:left w:val="none" w:sz="0" w:space="0"/>
            <w:bottom w:val="none" w:sz="0" w:space="0"/>
            <w:right w:val="none" w:sz="0" w:space="0"/>
          </w:pgBorders>
          <w:pgNumType w:fmt="numberInDash"/>
          <w:cols w:space="720" w:num="1"/>
          <w:rtlGutter w:val="0"/>
          <w:docGrid w:type="linesAndChars" w:linePitch="437" w:charSpace="2457"/>
        </w:sectPr>
      </w:pPr>
    </w:p>
    <w:p>
      <w:pPr>
        <w:pStyle w:val="4"/>
        <w:keepNext w:val="0"/>
        <w:keepLines w:val="0"/>
        <w:pageBreakBefore w:val="0"/>
        <w:widowControl w:val="0"/>
        <w:kinsoku/>
        <w:wordWrap w:val="0"/>
        <w:overflowPunct/>
        <w:topLinePunct w:val="0"/>
        <w:autoSpaceDE/>
        <w:autoSpaceDN/>
        <w:bidi w:val="0"/>
        <w:adjustRightInd w:val="0"/>
        <w:snapToGrid w:val="0"/>
        <w:spacing w:after="220" w:afterLines="50" w:line="560" w:lineRule="exact"/>
        <w:jc w:val="center"/>
        <w:textAlignment w:val="auto"/>
        <w:rPr>
          <w:rFonts w:hint="default" w:ascii="TimesNewRoman" w:hAnsi="TimesNewRoman" w:cs="TimesNewRoman"/>
          <w:color w:val="000000"/>
          <w:sz w:val="20"/>
          <w:szCs w:val="20"/>
        </w:rPr>
      </w:pPr>
      <w:r>
        <w:rPr>
          <w:rFonts w:hint="eastAsia" w:ascii="TimesNewRoman" w:hAnsi="TimesNewRoman" w:cs="TimesNewRoman"/>
          <w:color w:val="000000"/>
          <w:sz w:val="20"/>
          <w:szCs w:val="20"/>
          <w:lang w:val="en-US" w:eastAsia="zh-CN"/>
        </w:rPr>
        <w:t xml:space="preserve">                                                 </w:t>
      </w:r>
      <w:r>
        <w:rPr>
          <w:rFonts w:hint="default" w:ascii="TimesNewRoman" w:hAnsi="TimesNewRoman" w:cs="TimesNewRoman"/>
          <w:color w:val="000000"/>
          <w:sz w:val="20"/>
          <w:szCs w:val="20"/>
        </w:rPr>
        <w:t xml:space="preserve">    </w:t>
      </w:r>
      <w:r>
        <w:rPr>
          <w:rFonts w:hint="eastAsia" w:ascii="TimesNewRoman" w:hAnsi="TimesNewRoman" w:cs="TimesNewRoman"/>
          <w:color w:val="000000"/>
          <w:sz w:val="20"/>
          <w:szCs w:val="20"/>
          <w:lang w:eastAsia="zh-CN"/>
        </w:rPr>
        <w:t>单位公开表</w:t>
      </w:r>
      <w:r>
        <w:rPr>
          <w:rFonts w:hint="default" w:ascii="TimesNewRoman" w:hAnsi="TimesNewRoman" w:cs="TimesNewRoman"/>
          <w:color w:val="000000"/>
          <w:sz w:val="20"/>
          <w:szCs w:val="20"/>
        </w:rPr>
        <w:t>10</w:t>
      </w:r>
    </w:p>
    <w:tbl>
      <w:tblPr>
        <w:tblStyle w:val="5"/>
        <w:tblW w:w="8879" w:type="dxa"/>
        <w:jc w:val="center"/>
        <w:tblLayout w:type="fixed"/>
        <w:tblCellMar>
          <w:top w:w="0" w:type="dxa"/>
          <w:left w:w="108" w:type="dxa"/>
          <w:bottom w:w="0" w:type="dxa"/>
          <w:right w:w="108" w:type="dxa"/>
        </w:tblCellMar>
      </w:tblPr>
      <w:tblGrid>
        <w:gridCol w:w="1200"/>
        <w:gridCol w:w="1150"/>
        <w:gridCol w:w="900"/>
        <w:gridCol w:w="1034"/>
        <w:gridCol w:w="1147"/>
        <w:gridCol w:w="1140"/>
        <w:gridCol w:w="1120"/>
        <w:gridCol w:w="1188"/>
      </w:tblGrid>
      <w:tr>
        <w:tblPrEx>
          <w:tblCellMar>
            <w:top w:w="0" w:type="dxa"/>
            <w:left w:w="108" w:type="dxa"/>
            <w:bottom w:w="0" w:type="dxa"/>
            <w:right w:w="108" w:type="dxa"/>
          </w:tblCellMar>
        </w:tblPrEx>
        <w:trPr>
          <w:trHeight w:val="525" w:hRule="atLeast"/>
          <w:jc w:val="center"/>
        </w:trPr>
        <w:tc>
          <w:tcPr>
            <w:tcW w:w="8879" w:type="dxa"/>
            <w:gridSpan w:val="8"/>
            <w:tcBorders>
              <w:top w:val="nil"/>
              <w:left w:val="nil"/>
              <w:bottom w:val="nil"/>
              <w:right w:val="nil"/>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eastAsia="华文中宋" w:cs="TimesNewRoman"/>
                <w:b/>
                <w:bCs/>
                <w:color w:val="000000"/>
                <w:kern w:val="0"/>
                <w:szCs w:val="32"/>
              </w:rPr>
            </w:pPr>
            <w:r>
              <w:rPr>
                <w:rFonts w:hint="eastAsia" w:ascii="TimesNewRoman" w:hAnsi="TimesNewRoman" w:eastAsia="华文中宋" w:cs="TimesNewRoman"/>
                <w:b/>
                <w:bCs/>
                <w:color w:val="000000"/>
                <w:kern w:val="0"/>
                <w:szCs w:val="32"/>
                <w:lang w:eastAsia="zh-CN"/>
              </w:rPr>
              <w:t>淮南市食品药品检验中心</w:t>
            </w:r>
            <w:r>
              <w:rPr>
                <w:rFonts w:hint="default" w:ascii="TimesNewRoman" w:hAnsi="TimesNewRoman" w:eastAsia="华文中宋" w:cs="TimesNewRoman"/>
                <w:b/>
                <w:bCs/>
                <w:color w:val="000000"/>
                <w:kern w:val="0"/>
                <w:szCs w:val="32"/>
                <w:lang w:val="en"/>
              </w:rPr>
              <w:t>2024</w:t>
            </w:r>
            <w:r>
              <w:rPr>
                <w:rFonts w:hint="default" w:ascii="TimesNewRoman" w:hAnsi="TimesNewRoman" w:eastAsia="华文中宋" w:cs="TimesNewRoman"/>
                <w:b/>
                <w:bCs/>
                <w:color w:val="000000"/>
                <w:kern w:val="0"/>
                <w:szCs w:val="32"/>
              </w:rPr>
              <w:t>年政府采购支出表</w:t>
            </w:r>
          </w:p>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Cs w:val="32"/>
              </w:rPr>
            </w:pPr>
            <w:r>
              <w:rPr>
                <w:rFonts w:hint="default" w:ascii="TimesNewRoman" w:hAnsi="TimesNewRoman" w:cs="TimesNewRoman"/>
                <w:color w:val="000000"/>
                <w:kern w:val="0"/>
                <w:sz w:val="20"/>
              </w:rPr>
              <w:t xml:space="preserve">                                                                      单位：万元</w:t>
            </w:r>
          </w:p>
        </w:tc>
      </w:tr>
      <w:tr>
        <w:tblPrEx>
          <w:tblCellMar>
            <w:top w:w="0" w:type="dxa"/>
            <w:left w:w="108" w:type="dxa"/>
            <w:bottom w:w="0" w:type="dxa"/>
            <w:right w:w="108" w:type="dxa"/>
          </w:tblCellMar>
        </w:tblPrEx>
        <w:trPr>
          <w:trHeight w:val="872" w:hRule="atLeast"/>
          <w:jc w:val="center"/>
        </w:trPr>
        <w:tc>
          <w:tcPr>
            <w:tcW w:w="1200" w:type="dxa"/>
            <w:tcBorders>
              <w:top w:val="single" w:color="auto" w:sz="4" w:space="0"/>
              <w:left w:val="single" w:color="auto" w:sz="4" w:space="0"/>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rPr>
            </w:pPr>
            <w:r>
              <w:rPr>
                <w:rFonts w:hint="default" w:ascii="TimesNewRoman" w:hAnsi="TimesNewRoman" w:cs="TimesNewRoman"/>
                <w:b/>
                <w:bCs/>
                <w:color w:val="000000"/>
                <w:kern w:val="0"/>
                <w:sz w:val="20"/>
              </w:rPr>
              <w:t>项目名称</w:t>
            </w:r>
          </w:p>
        </w:tc>
        <w:tc>
          <w:tcPr>
            <w:tcW w:w="1150" w:type="dxa"/>
            <w:tcBorders>
              <w:top w:val="single" w:color="auto" w:sz="4" w:space="0"/>
              <w:left w:val="nil"/>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rPr>
            </w:pPr>
            <w:r>
              <w:rPr>
                <w:rFonts w:hint="default" w:ascii="TimesNewRoman" w:hAnsi="TimesNewRoman" w:cs="TimesNewRoman"/>
                <w:b/>
                <w:bCs/>
                <w:color w:val="000000"/>
                <w:kern w:val="0"/>
                <w:sz w:val="20"/>
              </w:rPr>
              <w:t>政府采购品目</w:t>
            </w:r>
          </w:p>
        </w:tc>
        <w:tc>
          <w:tcPr>
            <w:tcW w:w="900" w:type="dxa"/>
            <w:tcBorders>
              <w:top w:val="single" w:color="auto" w:sz="4" w:space="0"/>
              <w:left w:val="nil"/>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rPr>
            </w:pPr>
            <w:r>
              <w:rPr>
                <w:rFonts w:hint="default" w:ascii="TimesNewRoman" w:hAnsi="TimesNewRoman" w:cs="TimesNewRoman"/>
                <w:b/>
                <w:bCs/>
                <w:color w:val="000000"/>
                <w:kern w:val="0"/>
                <w:sz w:val="20"/>
              </w:rPr>
              <w:t>合计</w:t>
            </w:r>
          </w:p>
        </w:tc>
        <w:tc>
          <w:tcPr>
            <w:tcW w:w="1034" w:type="dxa"/>
            <w:tcBorders>
              <w:top w:val="single" w:color="auto" w:sz="4" w:space="0"/>
              <w:left w:val="nil"/>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rPr>
            </w:pPr>
            <w:r>
              <w:rPr>
                <w:rFonts w:hint="default" w:ascii="TimesNewRoman" w:hAnsi="TimesNewRoman" w:cs="TimesNewRoman"/>
                <w:b/>
                <w:bCs/>
                <w:color w:val="000000"/>
                <w:kern w:val="0"/>
                <w:sz w:val="20"/>
              </w:rPr>
              <w:t>一般公共预算</w:t>
            </w:r>
          </w:p>
        </w:tc>
        <w:tc>
          <w:tcPr>
            <w:tcW w:w="1147" w:type="dxa"/>
            <w:tcBorders>
              <w:top w:val="single" w:color="auto" w:sz="4" w:space="0"/>
              <w:left w:val="nil"/>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rPr>
            </w:pPr>
            <w:r>
              <w:rPr>
                <w:rFonts w:hint="default" w:ascii="TimesNewRoman" w:hAnsi="TimesNewRoman" w:cs="TimesNewRoman"/>
                <w:b/>
                <w:bCs/>
                <w:color w:val="000000"/>
                <w:kern w:val="0"/>
                <w:sz w:val="20"/>
              </w:rPr>
              <w:t>政府性</w:t>
            </w:r>
          </w:p>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rPr>
            </w:pPr>
            <w:r>
              <w:rPr>
                <w:rFonts w:hint="default" w:ascii="TimesNewRoman" w:hAnsi="TimesNewRoman" w:cs="TimesNewRoman"/>
                <w:b/>
                <w:bCs/>
                <w:color w:val="000000"/>
                <w:kern w:val="0"/>
                <w:sz w:val="20"/>
              </w:rPr>
              <w:t>基金预算</w:t>
            </w:r>
          </w:p>
        </w:tc>
        <w:tc>
          <w:tcPr>
            <w:tcW w:w="1140" w:type="dxa"/>
            <w:tcBorders>
              <w:top w:val="single" w:color="auto" w:sz="4" w:space="0"/>
              <w:left w:val="nil"/>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rPr>
            </w:pPr>
            <w:r>
              <w:rPr>
                <w:rFonts w:hint="default" w:ascii="TimesNewRoman" w:hAnsi="TimesNewRoman" w:cs="TimesNewRoman"/>
                <w:b/>
                <w:bCs/>
                <w:color w:val="000000"/>
                <w:kern w:val="0"/>
                <w:sz w:val="20"/>
              </w:rPr>
              <w:t>国有资本经营预算</w:t>
            </w:r>
          </w:p>
        </w:tc>
        <w:tc>
          <w:tcPr>
            <w:tcW w:w="1120" w:type="dxa"/>
            <w:tcBorders>
              <w:top w:val="single" w:color="auto" w:sz="4" w:space="0"/>
              <w:left w:val="nil"/>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rPr>
            </w:pPr>
            <w:r>
              <w:rPr>
                <w:rFonts w:hint="default" w:ascii="TimesNewRoman" w:hAnsi="TimesNewRoman" w:cs="TimesNewRoman"/>
                <w:b/>
                <w:bCs/>
                <w:color w:val="000000"/>
                <w:kern w:val="0"/>
                <w:sz w:val="20"/>
              </w:rPr>
              <w:t>财政专户管理资金</w:t>
            </w:r>
          </w:p>
        </w:tc>
        <w:tc>
          <w:tcPr>
            <w:tcW w:w="1188" w:type="dxa"/>
            <w:tcBorders>
              <w:top w:val="single" w:color="auto" w:sz="4" w:space="0"/>
              <w:left w:val="nil"/>
              <w:bottom w:val="nil"/>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b/>
                <w:bCs/>
                <w:color w:val="000000"/>
                <w:kern w:val="0"/>
                <w:sz w:val="20"/>
              </w:rPr>
            </w:pPr>
            <w:r>
              <w:rPr>
                <w:rFonts w:hint="default" w:ascii="TimesNewRoman" w:hAnsi="TimesNewRoman" w:cs="TimesNewRoman"/>
                <w:b/>
                <w:bCs/>
                <w:color w:val="000000"/>
                <w:kern w:val="0"/>
                <w:sz w:val="20"/>
              </w:rPr>
              <w:t>单位资金</w:t>
            </w:r>
          </w:p>
        </w:tc>
      </w:tr>
      <w:tr>
        <w:tblPrEx>
          <w:tblCellMar>
            <w:top w:w="0" w:type="dxa"/>
            <w:left w:w="108" w:type="dxa"/>
            <w:bottom w:w="0" w:type="dxa"/>
            <w:right w:w="108" w:type="dxa"/>
          </w:tblCellMar>
        </w:tblPrEx>
        <w:trPr>
          <w:trHeight w:val="540" w:hRule="atLeas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rPr>
            </w:pPr>
            <w:r>
              <w:rPr>
                <w:rFonts w:hint="eastAsia" w:ascii="宋体" w:hAnsi="宋体" w:eastAsia="宋体" w:cs="宋体"/>
                <w:i w:val="0"/>
                <w:iCs w:val="0"/>
                <w:color w:val="000000"/>
                <w:kern w:val="0"/>
                <w:sz w:val="20"/>
                <w:szCs w:val="20"/>
                <w:u w:val="none"/>
                <w:lang w:val="en-US" w:eastAsia="zh-CN" w:bidi="ar"/>
              </w:rPr>
              <w:t>　淮南市食品药品检验中心_在职人员综合定额公务费（一）</w:t>
            </w:r>
          </w:p>
        </w:tc>
        <w:tc>
          <w:tcPr>
            <w:tcW w:w="115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default" w:ascii="TimesNewRoman" w:hAnsi="TimesNewRoman" w:cs="TimesNewRoman"/>
                <w:color w:val="000000"/>
                <w:kern w:val="0"/>
                <w:sz w:val="20"/>
              </w:rPr>
            </w:pPr>
            <w:r>
              <w:rPr>
                <w:rFonts w:hint="eastAsia" w:ascii="宋体" w:hAnsi="宋体" w:eastAsia="宋体" w:cs="宋体"/>
                <w:i w:val="0"/>
                <w:iCs w:val="0"/>
                <w:color w:val="000000"/>
                <w:kern w:val="0"/>
                <w:sz w:val="20"/>
                <w:szCs w:val="20"/>
                <w:u w:val="none"/>
                <w:lang w:val="en-US" w:eastAsia="zh-CN" w:bidi="ar"/>
              </w:rPr>
              <w:t>　　便携式计算机</w:t>
            </w:r>
          </w:p>
        </w:tc>
        <w:tc>
          <w:tcPr>
            <w:tcW w:w="90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rPr>
            </w:pPr>
            <w:r>
              <w:rPr>
                <w:rFonts w:hint="eastAsia" w:ascii="宋体" w:hAnsi="宋体" w:eastAsia="宋体" w:cs="宋体"/>
                <w:i w:val="0"/>
                <w:iCs w:val="0"/>
                <w:color w:val="000000"/>
                <w:kern w:val="0"/>
                <w:sz w:val="20"/>
                <w:szCs w:val="20"/>
                <w:u w:val="none"/>
                <w:lang w:val="en-US" w:eastAsia="zh-CN" w:bidi="ar"/>
              </w:rPr>
              <w:t>1.60</w:t>
            </w:r>
          </w:p>
        </w:tc>
        <w:tc>
          <w:tcPr>
            <w:tcW w:w="1034"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rPr>
            </w:pPr>
            <w:r>
              <w:rPr>
                <w:rFonts w:hint="eastAsia" w:ascii="宋体" w:hAnsi="宋体" w:eastAsia="宋体" w:cs="宋体"/>
                <w:i w:val="0"/>
                <w:iCs w:val="0"/>
                <w:color w:val="000000"/>
                <w:kern w:val="0"/>
                <w:sz w:val="20"/>
                <w:szCs w:val="20"/>
                <w:u w:val="none"/>
                <w:lang w:val="en-US" w:eastAsia="zh-CN" w:bidi="ar"/>
              </w:rPr>
              <w:t>1.60</w:t>
            </w:r>
          </w:p>
        </w:tc>
        <w:tc>
          <w:tcPr>
            <w:tcW w:w="114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14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1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18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r>
        <w:tblPrEx>
          <w:tblCellMar>
            <w:top w:w="0" w:type="dxa"/>
            <w:left w:w="108" w:type="dxa"/>
            <w:bottom w:w="0" w:type="dxa"/>
            <w:right w:w="108" w:type="dxa"/>
          </w:tblCellMar>
        </w:tblPrEx>
        <w:trPr>
          <w:trHeight w:val="540" w:hRule="atLeas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淮南市食品药品检验中心_在职人员综合定额公务费（一）</w:t>
            </w:r>
          </w:p>
        </w:tc>
        <w:tc>
          <w:tcPr>
            <w:tcW w:w="115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多功能一体机</w:t>
            </w:r>
          </w:p>
        </w:tc>
        <w:tc>
          <w:tcPr>
            <w:tcW w:w="90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0.90</w:t>
            </w:r>
          </w:p>
        </w:tc>
        <w:tc>
          <w:tcPr>
            <w:tcW w:w="1034"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0.90</w:t>
            </w:r>
          </w:p>
        </w:tc>
        <w:tc>
          <w:tcPr>
            <w:tcW w:w="114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p>
        </w:tc>
        <w:tc>
          <w:tcPr>
            <w:tcW w:w="114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p>
        </w:tc>
        <w:tc>
          <w:tcPr>
            <w:tcW w:w="11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p>
        </w:tc>
        <w:tc>
          <w:tcPr>
            <w:tcW w:w="118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p>
        </w:tc>
      </w:tr>
      <w:tr>
        <w:tblPrEx>
          <w:tblCellMar>
            <w:top w:w="0" w:type="dxa"/>
            <w:left w:w="108" w:type="dxa"/>
            <w:bottom w:w="0" w:type="dxa"/>
            <w:right w:w="108" w:type="dxa"/>
          </w:tblCellMar>
        </w:tblPrEx>
        <w:trPr>
          <w:trHeight w:val="540" w:hRule="atLeas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淮南市食品药品检验中心_在职人员综合定额公务费（一）</w:t>
            </w:r>
          </w:p>
        </w:tc>
        <w:tc>
          <w:tcPr>
            <w:tcW w:w="115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台式计算机</w:t>
            </w:r>
          </w:p>
        </w:tc>
        <w:tc>
          <w:tcPr>
            <w:tcW w:w="90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0.60</w:t>
            </w:r>
          </w:p>
        </w:tc>
        <w:tc>
          <w:tcPr>
            <w:tcW w:w="1034"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0.60</w:t>
            </w:r>
          </w:p>
        </w:tc>
        <w:tc>
          <w:tcPr>
            <w:tcW w:w="114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p>
        </w:tc>
        <w:tc>
          <w:tcPr>
            <w:tcW w:w="114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p>
        </w:tc>
        <w:tc>
          <w:tcPr>
            <w:tcW w:w="112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p>
        </w:tc>
        <w:tc>
          <w:tcPr>
            <w:tcW w:w="118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p>
        </w:tc>
      </w:tr>
      <w:tr>
        <w:tblPrEx>
          <w:tblCellMar>
            <w:top w:w="0" w:type="dxa"/>
            <w:left w:w="108" w:type="dxa"/>
            <w:bottom w:w="0" w:type="dxa"/>
            <w:right w:w="108" w:type="dxa"/>
          </w:tblCellMar>
        </w:tblPrEx>
        <w:trPr>
          <w:trHeight w:val="540" w:hRule="atLeast"/>
          <w:jc w:val="center"/>
        </w:trPr>
        <w:tc>
          <w:tcPr>
            <w:tcW w:w="2350" w:type="dxa"/>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color w:val="000000"/>
                <w:kern w:val="0"/>
                <w:sz w:val="20"/>
              </w:rPr>
            </w:pPr>
            <w:r>
              <w:rPr>
                <w:rFonts w:hint="eastAsia" w:ascii="TimesNewRoman" w:hAnsi="TimesNewRoman" w:cs="TimesNewRoman"/>
                <w:b/>
                <w:bCs/>
                <w:color w:val="000000"/>
                <w:kern w:val="0"/>
                <w:sz w:val="22"/>
                <w:lang w:eastAsia="zh-CN"/>
              </w:rPr>
              <w:t>合</w:t>
            </w:r>
            <w:r>
              <w:rPr>
                <w:rFonts w:hint="default" w:ascii="TimesNewRoman" w:hAnsi="TimesNewRoman" w:cs="TimesNewRoman"/>
                <w:b/>
                <w:color w:val="000000"/>
                <w:sz w:val="20"/>
              </w:rPr>
              <w:t xml:space="preserve"> 计</w:t>
            </w:r>
          </w:p>
        </w:tc>
        <w:tc>
          <w:tcPr>
            <w:tcW w:w="900"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rPr>
            </w:pPr>
            <w:r>
              <w:rPr>
                <w:rFonts w:hint="eastAsia" w:ascii="宋体" w:hAnsi="宋体" w:eastAsia="宋体" w:cs="宋体"/>
                <w:i w:val="0"/>
                <w:iCs w:val="0"/>
                <w:color w:val="000000"/>
                <w:kern w:val="0"/>
                <w:sz w:val="20"/>
                <w:szCs w:val="20"/>
                <w:u w:val="none"/>
                <w:lang w:val="en-US" w:eastAsia="zh-CN" w:bidi="ar"/>
              </w:rPr>
              <w:t>3.10</w:t>
            </w:r>
          </w:p>
        </w:tc>
        <w:tc>
          <w:tcPr>
            <w:tcW w:w="1034" w:type="dxa"/>
            <w:tcBorders>
              <w:top w:val="nil"/>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TimesNewRoman" w:hAnsi="TimesNewRoman" w:cs="TimesNewRoman"/>
                <w:color w:val="000000"/>
                <w:kern w:val="0"/>
                <w:sz w:val="20"/>
              </w:rPr>
            </w:pPr>
            <w:r>
              <w:rPr>
                <w:rFonts w:hint="eastAsia" w:ascii="宋体" w:hAnsi="宋体" w:eastAsia="宋体" w:cs="宋体"/>
                <w:i w:val="0"/>
                <w:iCs w:val="0"/>
                <w:color w:val="000000"/>
                <w:kern w:val="0"/>
                <w:sz w:val="20"/>
                <w:szCs w:val="20"/>
                <w:u w:val="none"/>
                <w:lang w:val="en-US" w:eastAsia="zh-CN" w:bidi="ar"/>
              </w:rPr>
              <w:t>3.10</w:t>
            </w:r>
          </w:p>
        </w:tc>
        <w:tc>
          <w:tcPr>
            <w:tcW w:w="1147"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14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120"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c>
          <w:tcPr>
            <w:tcW w:w="1188" w:type="dxa"/>
            <w:tcBorders>
              <w:top w:val="nil"/>
              <w:left w:val="nil"/>
              <w:bottom w:val="single" w:color="auto" w:sz="4" w:space="0"/>
              <w:right w:val="single" w:color="auto" w:sz="4" w:space="0"/>
            </w:tcBorders>
            <w:noWrap w:val="0"/>
            <w:vAlign w:val="center"/>
          </w:tcPr>
          <w:p>
            <w:pPr>
              <w:keepNext w:val="0"/>
              <w:keepLines w:val="0"/>
              <w:pageBreakBefore w:val="0"/>
              <w:widowControl/>
              <w:kinsoku/>
              <w:overflowPunct/>
              <w:topLinePunct w:val="0"/>
              <w:autoSpaceDE/>
              <w:autoSpaceDN/>
              <w:bidi w:val="0"/>
              <w:spacing w:line="560" w:lineRule="exact"/>
              <w:jc w:val="right"/>
              <w:rPr>
                <w:rFonts w:hint="default" w:ascii="TimesNewRoman" w:hAnsi="TimesNewRoman" w:cs="TimesNewRoman"/>
                <w:color w:val="000000"/>
                <w:kern w:val="0"/>
                <w:sz w:val="20"/>
              </w:rPr>
            </w:pPr>
            <w:r>
              <w:rPr>
                <w:rFonts w:hint="default" w:ascii="TimesNewRoman" w:hAnsi="TimesNewRoman" w:cs="TimesNewRoman"/>
                <w:color w:val="000000"/>
                <w:kern w:val="0"/>
                <w:sz w:val="20"/>
              </w:rPr>
              <w:t>　</w:t>
            </w:r>
          </w:p>
        </w:tc>
      </w:tr>
    </w:tbl>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rPr>
      </w:pPr>
    </w:p>
    <w:p>
      <w:pPr>
        <w:pStyle w:val="4"/>
        <w:keepNext w:val="0"/>
        <w:keepLines w:val="0"/>
        <w:pageBreakBefore w:val="0"/>
        <w:kinsoku/>
        <w:wordWrap w:val="0"/>
        <w:overflowPunct/>
        <w:topLinePunct w:val="0"/>
        <w:autoSpaceDE/>
        <w:autoSpaceDN/>
        <w:bidi w:val="0"/>
        <w:adjustRightInd w:val="0"/>
        <w:snapToGrid w:val="0"/>
        <w:spacing w:line="560" w:lineRule="exact"/>
        <w:jc w:val="both"/>
        <w:rPr>
          <w:rFonts w:hint="default" w:ascii="TimesNewRoman" w:hAnsi="TimesNewRoman" w:cs="TimesNewRoman"/>
          <w:color w:val="000000"/>
          <w:sz w:val="20"/>
          <w:szCs w:val="20"/>
        </w:rPr>
        <w:sectPr>
          <w:pgSz w:w="11906" w:h="16838"/>
          <w:pgMar w:top="1440" w:right="1797" w:bottom="1440" w:left="1797" w:header="850" w:footer="992" w:gutter="0"/>
          <w:pgBorders>
            <w:top w:val="none" w:sz="0" w:space="0"/>
            <w:left w:val="none" w:sz="0" w:space="0"/>
            <w:bottom w:val="none" w:sz="0" w:space="0"/>
            <w:right w:val="none" w:sz="0" w:space="0"/>
          </w:pgBorders>
          <w:pgNumType w:fmt="numberInDash"/>
          <w:cols w:space="720" w:num="1"/>
          <w:rtlGutter w:val="0"/>
          <w:docGrid w:type="linesAndChars" w:linePitch="437" w:charSpace="2555"/>
        </w:sectPr>
      </w:pPr>
    </w:p>
    <w:p>
      <w:pPr>
        <w:pStyle w:val="4"/>
        <w:keepNext w:val="0"/>
        <w:keepLines w:val="0"/>
        <w:pageBreakBefore w:val="0"/>
        <w:kinsoku/>
        <w:wordWrap w:val="0"/>
        <w:overflowPunct/>
        <w:topLinePunct w:val="0"/>
        <w:autoSpaceDE/>
        <w:autoSpaceDN/>
        <w:bidi w:val="0"/>
        <w:adjustRightInd w:val="0"/>
        <w:snapToGrid w:val="0"/>
        <w:spacing w:line="560" w:lineRule="exact"/>
        <w:jc w:val="center"/>
        <w:rPr>
          <w:rFonts w:hint="default" w:ascii="TimesNewRoman" w:hAnsi="TimesNewRoman" w:cs="TimesNewRoman"/>
          <w:color w:val="000000"/>
          <w:sz w:val="20"/>
          <w:szCs w:val="20"/>
        </w:rPr>
      </w:pPr>
      <w:r>
        <w:rPr>
          <w:rFonts w:hint="eastAsia" w:ascii="TimesNewRoman" w:hAnsi="TimesNewRoman" w:cs="TimesNewRoman"/>
          <w:color w:val="000000"/>
          <w:sz w:val="20"/>
          <w:szCs w:val="20"/>
          <w:lang w:val="en-US" w:eastAsia="zh-CN"/>
        </w:rPr>
        <w:t xml:space="preserve">                                                                                                          </w:t>
      </w:r>
      <w:r>
        <w:rPr>
          <w:rFonts w:hint="eastAsia" w:ascii="TimesNewRoman" w:hAnsi="TimesNewRoman" w:cs="TimesNewRoman"/>
          <w:color w:val="000000"/>
          <w:sz w:val="20"/>
          <w:szCs w:val="20"/>
          <w:lang w:eastAsia="zh-CN"/>
        </w:rPr>
        <w:t>单位公开表</w:t>
      </w:r>
      <w:r>
        <w:rPr>
          <w:rFonts w:hint="default" w:ascii="TimesNewRoman" w:hAnsi="TimesNewRoman" w:cs="TimesNewRoman"/>
          <w:color w:val="000000"/>
          <w:sz w:val="20"/>
          <w:szCs w:val="20"/>
        </w:rPr>
        <w:t>11</w:t>
      </w:r>
    </w:p>
    <w:tbl>
      <w:tblPr>
        <w:tblStyle w:val="5"/>
        <w:tblW w:w="13743" w:type="dxa"/>
        <w:jc w:val="center"/>
        <w:tblLayout w:type="fixed"/>
        <w:tblCellMar>
          <w:top w:w="0" w:type="dxa"/>
          <w:left w:w="108" w:type="dxa"/>
          <w:bottom w:w="0" w:type="dxa"/>
          <w:right w:w="108" w:type="dxa"/>
        </w:tblCellMar>
      </w:tblPr>
      <w:tblGrid>
        <w:gridCol w:w="2073"/>
        <w:gridCol w:w="1953"/>
        <w:gridCol w:w="1784"/>
        <w:gridCol w:w="1933"/>
        <w:gridCol w:w="2483"/>
        <w:gridCol w:w="1684"/>
        <w:gridCol w:w="1816"/>
        <w:gridCol w:w="17"/>
      </w:tblGrid>
      <w:tr>
        <w:tblPrEx>
          <w:tblCellMar>
            <w:top w:w="0" w:type="dxa"/>
            <w:left w:w="108" w:type="dxa"/>
            <w:bottom w:w="0" w:type="dxa"/>
            <w:right w:w="108" w:type="dxa"/>
          </w:tblCellMar>
        </w:tblPrEx>
        <w:trPr>
          <w:gridAfter w:val="1"/>
          <w:wAfter w:w="17" w:type="dxa"/>
          <w:trHeight w:val="525" w:hRule="atLeast"/>
          <w:jc w:val="center"/>
        </w:trPr>
        <w:tc>
          <w:tcPr>
            <w:tcW w:w="13726" w:type="dxa"/>
            <w:gridSpan w:val="7"/>
            <w:tcBorders>
              <w:top w:val="nil"/>
              <w:left w:val="nil"/>
              <w:bottom w:val="nil"/>
              <w:right w:val="nil"/>
            </w:tcBorders>
            <w:noWrap w:val="0"/>
            <w:vAlign w:val="center"/>
          </w:tcPr>
          <w:p>
            <w:pPr>
              <w:keepNext w:val="0"/>
              <w:keepLines w:val="0"/>
              <w:pageBreakBefore w:val="0"/>
              <w:widowControl/>
              <w:kinsoku/>
              <w:overflowPunct/>
              <w:topLinePunct w:val="0"/>
              <w:autoSpaceDE/>
              <w:autoSpaceDN/>
              <w:bidi w:val="0"/>
              <w:spacing w:line="560" w:lineRule="exact"/>
              <w:jc w:val="center"/>
              <w:rPr>
                <w:rFonts w:hint="default" w:ascii="TimesNewRoman" w:hAnsi="TimesNewRoman" w:eastAsia="华文中宋" w:cs="TimesNewRoman"/>
                <w:b/>
                <w:bCs/>
                <w:color w:val="000000"/>
                <w:kern w:val="0"/>
                <w:szCs w:val="32"/>
              </w:rPr>
            </w:pPr>
            <w:r>
              <w:rPr>
                <w:rFonts w:hint="eastAsia" w:ascii="TimesNewRoman" w:hAnsi="TimesNewRoman" w:eastAsia="华文中宋" w:cs="TimesNewRoman"/>
                <w:b/>
                <w:bCs/>
                <w:color w:val="000000"/>
                <w:kern w:val="0"/>
                <w:szCs w:val="32"/>
                <w:lang w:eastAsia="zh-CN"/>
              </w:rPr>
              <w:t>淮南市食品药品检验中心</w:t>
            </w:r>
            <w:r>
              <w:rPr>
                <w:rFonts w:hint="default" w:ascii="TimesNewRoman" w:hAnsi="TimesNewRoman" w:eastAsia="华文中宋" w:cs="TimesNewRoman"/>
                <w:b/>
                <w:bCs/>
                <w:color w:val="000000"/>
                <w:kern w:val="0"/>
                <w:szCs w:val="32"/>
                <w:lang w:val="en"/>
              </w:rPr>
              <w:t>2024</w:t>
            </w:r>
            <w:r>
              <w:rPr>
                <w:rFonts w:hint="default" w:ascii="TimesNewRoman" w:hAnsi="TimesNewRoman" w:eastAsia="华文中宋" w:cs="TimesNewRoman"/>
                <w:b/>
                <w:bCs/>
                <w:color w:val="000000"/>
                <w:kern w:val="0"/>
                <w:szCs w:val="32"/>
              </w:rPr>
              <w:t>年政府购买服务支出表</w:t>
            </w:r>
          </w:p>
          <w:p>
            <w:pPr>
              <w:keepNext w:val="0"/>
              <w:keepLines w:val="0"/>
              <w:pageBreakBefore w:val="0"/>
              <w:widowControl/>
              <w:kinsoku/>
              <w:overflowPunct/>
              <w:topLinePunct w:val="0"/>
              <w:autoSpaceDE/>
              <w:autoSpaceDN/>
              <w:bidi w:val="0"/>
              <w:spacing w:line="560" w:lineRule="exact"/>
              <w:jc w:val="center"/>
              <w:rPr>
                <w:rFonts w:hint="default" w:ascii="TimesNewRoman" w:hAnsi="TimesNewRoman" w:cs="TimesNewRoman"/>
                <w:color w:val="000000"/>
                <w:kern w:val="0"/>
                <w:sz w:val="20"/>
              </w:rPr>
            </w:pPr>
            <w:r>
              <w:rPr>
                <w:rFonts w:hint="default" w:ascii="TimesNewRoman" w:hAnsi="TimesNewRoman" w:cs="TimesNewRoman"/>
                <w:color w:val="000000"/>
                <w:kern w:val="0"/>
                <w:sz w:val="20"/>
              </w:rPr>
              <w:t xml:space="preserve">                                                                                                                    单位：万元</w:t>
            </w:r>
          </w:p>
        </w:tc>
      </w:tr>
      <w:tr>
        <w:tblPrEx>
          <w:tblCellMar>
            <w:top w:w="15" w:type="dxa"/>
            <w:left w:w="15" w:type="dxa"/>
            <w:bottom w:w="15" w:type="dxa"/>
            <w:right w:w="15" w:type="dxa"/>
          </w:tblCellMar>
        </w:tblPrEx>
        <w:trPr>
          <w:trHeight w:val="720" w:hRule="atLeast"/>
          <w:jc w:val="center"/>
        </w:trPr>
        <w:tc>
          <w:tcPr>
            <w:tcW w:w="20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overflowPunct/>
              <w:topLinePunct w:val="0"/>
              <w:autoSpaceDE/>
              <w:autoSpaceDN/>
              <w:bidi w:val="0"/>
              <w:spacing w:line="560" w:lineRule="exact"/>
              <w:jc w:val="center"/>
              <w:textAlignment w:val="center"/>
              <w:rPr>
                <w:rFonts w:hint="default" w:ascii="TimesNewRoman" w:hAnsi="TimesNewRoman" w:cs="TimesNewRoman"/>
                <w:b/>
                <w:color w:val="000000"/>
                <w:sz w:val="20"/>
              </w:rPr>
            </w:pPr>
            <w:r>
              <w:rPr>
                <w:rFonts w:hint="default" w:ascii="TimesNewRoman" w:hAnsi="TimesNewRoman" w:cs="TimesNewRoman"/>
                <w:b/>
                <w:color w:val="000000"/>
                <w:kern w:val="0"/>
                <w:sz w:val="20"/>
                <w:lang w:bidi="ar"/>
              </w:rPr>
              <w:t>项目名称</w:t>
            </w:r>
          </w:p>
        </w:tc>
        <w:tc>
          <w:tcPr>
            <w:tcW w:w="19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overflowPunct/>
              <w:topLinePunct w:val="0"/>
              <w:autoSpaceDE/>
              <w:autoSpaceDN/>
              <w:bidi w:val="0"/>
              <w:spacing w:line="560" w:lineRule="exact"/>
              <w:jc w:val="center"/>
              <w:textAlignment w:val="center"/>
              <w:rPr>
                <w:rFonts w:hint="default" w:ascii="TimesNewRoman" w:hAnsi="TimesNewRoman" w:cs="TimesNewRoman"/>
                <w:b/>
                <w:color w:val="000000"/>
                <w:sz w:val="20"/>
              </w:rPr>
            </w:pPr>
            <w:r>
              <w:rPr>
                <w:rFonts w:hint="default" w:ascii="TimesNewRoman" w:hAnsi="TimesNewRoman" w:cs="TimesNewRoman"/>
                <w:b/>
                <w:color w:val="000000"/>
                <w:kern w:val="0"/>
                <w:sz w:val="20"/>
                <w:lang w:bidi="ar"/>
              </w:rPr>
              <w:t>一级目录名称</w:t>
            </w:r>
          </w:p>
        </w:tc>
        <w:tc>
          <w:tcPr>
            <w:tcW w:w="17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overflowPunct/>
              <w:topLinePunct w:val="0"/>
              <w:autoSpaceDE/>
              <w:autoSpaceDN/>
              <w:bidi w:val="0"/>
              <w:spacing w:line="560" w:lineRule="exact"/>
              <w:jc w:val="center"/>
              <w:textAlignment w:val="center"/>
              <w:rPr>
                <w:rFonts w:hint="default" w:ascii="TimesNewRoman" w:hAnsi="TimesNewRoman" w:cs="TimesNewRoman"/>
                <w:b/>
                <w:color w:val="000000"/>
                <w:sz w:val="20"/>
              </w:rPr>
            </w:pPr>
            <w:r>
              <w:rPr>
                <w:rFonts w:hint="default" w:ascii="TimesNewRoman" w:hAnsi="TimesNewRoman" w:cs="TimesNewRoman"/>
                <w:b/>
                <w:color w:val="000000"/>
                <w:kern w:val="0"/>
                <w:sz w:val="20"/>
                <w:lang w:bidi="ar"/>
              </w:rPr>
              <w:t>二级目录名称</w:t>
            </w:r>
          </w:p>
        </w:tc>
        <w:tc>
          <w:tcPr>
            <w:tcW w:w="19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overflowPunct/>
              <w:topLinePunct w:val="0"/>
              <w:autoSpaceDE/>
              <w:autoSpaceDN/>
              <w:bidi w:val="0"/>
              <w:spacing w:line="560" w:lineRule="exact"/>
              <w:jc w:val="center"/>
              <w:textAlignment w:val="center"/>
              <w:rPr>
                <w:rFonts w:hint="default" w:ascii="TimesNewRoman" w:hAnsi="TimesNewRoman" w:cs="TimesNewRoman"/>
                <w:b/>
                <w:color w:val="000000"/>
                <w:sz w:val="20"/>
              </w:rPr>
            </w:pPr>
            <w:r>
              <w:rPr>
                <w:rFonts w:hint="default" w:ascii="TimesNewRoman" w:hAnsi="TimesNewRoman" w:cs="TimesNewRoman"/>
                <w:b/>
                <w:color w:val="000000"/>
                <w:kern w:val="0"/>
                <w:sz w:val="20"/>
                <w:lang w:bidi="ar"/>
              </w:rPr>
              <w:t>三级目录名称</w:t>
            </w:r>
          </w:p>
        </w:tc>
        <w:tc>
          <w:tcPr>
            <w:tcW w:w="2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overflowPunct/>
              <w:topLinePunct w:val="0"/>
              <w:autoSpaceDE/>
              <w:autoSpaceDN/>
              <w:bidi w:val="0"/>
              <w:spacing w:line="560" w:lineRule="exact"/>
              <w:jc w:val="center"/>
              <w:textAlignment w:val="center"/>
              <w:rPr>
                <w:rFonts w:hint="default" w:ascii="TimesNewRoman" w:hAnsi="TimesNewRoman" w:cs="TimesNewRoman"/>
                <w:b/>
                <w:color w:val="000000"/>
                <w:sz w:val="20"/>
              </w:rPr>
            </w:pPr>
            <w:r>
              <w:rPr>
                <w:rFonts w:hint="default" w:ascii="TimesNewRoman" w:hAnsi="TimesNewRoman" w:cs="TimesNewRoman"/>
                <w:b/>
                <w:color w:val="000000"/>
                <w:kern w:val="0"/>
                <w:sz w:val="20"/>
                <w:lang w:bidi="ar"/>
              </w:rPr>
              <w:t>政府购买服务内容</w:t>
            </w:r>
          </w:p>
        </w:tc>
        <w:tc>
          <w:tcPr>
            <w:tcW w:w="16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overflowPunct/>
              <w:topLinePunct w:val="0"/>
              <w:autoSpaceDE/>
              <w:autoSpaceDN/>
              <w:bidi w:val="0"/>
              <w:spacing w:line="560" w:lineRule="exact"/>
              <w:jc w:val="center"/>
              <w:textAlignment w:val="center"/>
              <w:rPr>
                <w:rFonts w:hint="default" w:ascii="TimesNewRoman" w:hAnsi="TimesNewRoman" w:cs="TimesNewRoman"/>
                <w:b/>
                <w:color w:val="000000"/>
                <w:sz w:val="20"/>
              </w:rPr>
            </w:pPr>
            <w:r>
              <w:rPr>
                <w:rFonts w:hint="default" w:ascii="TimesNewRoman" w:hAnsi="TimesNewRoman" w:cs="TimesNewRoman"/>
                <w:b/>
                <w:color w:val="000000"/>
                <w:kern w:val="0"/>
                <w:sz w:val="20"/>
                <w:lang w:bidi="ar"/>
              </w:rPr>
              <w:t>购买数量</w:t>
            </w:r>
          </w:p>
        </w:tc>
        <w:tc>
          <w:tcPr>
            <w:tcW w:w="183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overflowPunct/>
              <w:topLinePunct w:val="0"/>
              <w:autoSpaceDE/>
              <w:autoSpaceDN/>
              <w:bidi w:val="0"/>
              <w:spacing w:line="560" w:lineRule="exact"/>
              <w:jc w:val="center"/>
              <w:textAlignment w:val="center"/>
              <w:rPr>
                <w:rFonts w:hint="default" w:ascii="TimesNewRoman" w:hAnsi="TimesNewRoman" w:cs="TimesNewRoman"/>
                <w:b/>
                <w:color w:val="000000"/>
                <w:sz w:val="20"/>
              </w:rPr>
            </w:pPr>
            <w:r>
              <w:rPr>
                <w:rFonts w:hint="default" w:ascii="TimesNewRoman" w:hAnsi="TimesNewRoman" w:cs="TimesNewRoman"/>
                <w:b/>
                <w:color w:val="000000"/>
                <w:kern w:val="0"/>
                <w:sz w:val="20"/>
                <w:lang w:bidi="ar"/>
              </w:rPr>
              <w:t>购买金额</w:t>
            </w:r>
          </w:p>
        </w:tc>
      </w:tr>
      <w:tr>
        <w:tblPrEx>
          <w:tblCellMar>
            <w:top w:w="15" w:type="dxa"/>
            <w:left w:w="15" w:type="dxa"/>
            <w:bottom w:w="15" w:type="dxa"/>
            <w:right w:w="15" w:type="dxa"/>
          </w:tblCellMar>
        </w:tblPrEx>
        <w:trPr>
          <w:trHeight w:val="555" w:hRule="atLeast"/>
          <w:jc w:val="center"/>
        </w:trPr>
        <w:tc>
          <w:tcPr>
            <w:tcW w:w="20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overflowPunct/>
              <w:topLinePunct w:val="0"/>
              <w:autoSpaceDE/>
              <w:autoSpaceDN/>
              <w:bidi w:val="0"/>
              <w:spacing w:line="560" w:lineRule="exact"/>
              <w:jc w:val="center"/>
              <w:rPr>
                <w:rFonts w:hint="default" w:ascii="TimesNewRoman" w:hAnsi="TimesNewRoman" w:cs="TimesNewRoman"/>
                <w:b/>
                <w:color w:val="000000"/>
                <w:sz w:val="20"/>
              </w:rPr>
            </w:pPr>
          </w:p>
        </w:tc>
        <w:tc>
          <w:tcPr>
            <w:tcW w:w="195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overflowPunct/>
              <w:topLinePunct w:val="0"/>
              <w:autoSpaceDE/>
              <w:autoSpaceDN/>
              <w:bidi w:val="0"/>
              <w:spacing w:line="560" w:lineRule="exact"/>
              <w:jc w:val="left"/>
              <w:rPr>
                <w:rFonts w:hint="default" w:ascii="TimesNewRoman" w:hAnsi="TimesNewRoman" w:cs="TimesNewRoman"/>
                <w:color w:val="000000"/>
                <w:sz w:val="20"/>
              </w:rPr>
            </w:pPr>
          </w:p>
        </w:tc>
        <w:tc>
          <w:tcPr>
            <w:tcW w:w="17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overflowPunct/>
              <w:topLinePunct w:val="0"/>
              <w:autoSpaceDE/>
              <w:autoSpaceDN/>
              <w:bidi w:val="0"/>
              <w:spacing w:line="560" w:lineRule="exact"/>
              <w:jc w:val="left"/>
              <w:rPr>
                <w:rFonts w:hint="default" w:ascii="TimesNewRoman" w:hAnsi="TimesNewRoman" w:cs="TimesNewRoman"/>
                <w:color w:val="000000"/>
                <w:sz w:val="20"/>
              </w:rPr>
            </w:pPr>
          </w:p>
        </w:tc>
        <w:tc>
          <w:tcPr>
            <w:tcW w:w="19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overflowPunct/>
              <w:topLinePunct w:val="0"/>
              <w:autoSpaceDE/>
              <w:autoSpaceDN/>
              <w:bidi w:val="0"/>
              <w:spacing w:line="560" w:lineRule="exact"/>
              <w:jc w:val="left"/>
              <w:rPr>
                <w:rFonts w:hint="default" w:ascii="TimesNewRoman" w:hAnsi="TimesNewRoman" w:cs="TimesNewRoman"/>
                <w:color w:val="000000"/>
                <w:sz w:val="20"/>
              </w:rPr>
            </w:pPr>
          </w:p>
        </w:tc>
        <w:tc>
          <w:tcPr>
            <w:tcW w:w="248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overflowPunct/>
              <w:topLinePunct w:val="0"/>
              <w:autoSpaceDE/>
              <w:autoSpaceDN/>
              <w:bidi w:val="0"/>
              <w:spacing w:line="560" w:lineRule="exact"/>
              <w:jc w:val="left"/>
              <w:rPr>
                <w:rFonts w:hint="default" w:ascii="TimesNewRoman" w:hAnsi="TimesNewRoman" w:cs="TimesNewRoman"/>
                <w:color w:val="000000"/>
                <w:sz w:val="20"/>
              </w:rPr>
            </w:pPr>
          </w:p>
        </w:tc>
        <w:tc>
          <w:tcPr>
            <w:tcW w:w="168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overflowPunct/>
              <w:topLinePunct w:val="0"/>
              <w:autoSpaceDE/>
              <w:autoSpaceDN/>
              <w:bidi w:val="0"/>
              <w:spacing w:line="560" w:lineRule="exact"/>
              <w:jc w:val="right"/>
              <w:rPr>
                <w:rFonts w:hint="default" w:ascii="TimesNewRoman" w:hAnsi="TimesNewRoman" w:cs="TimesNewRoman"/>
                <w:color w:val="000000"/>
                <w:sz w:val="20"/>
              </w:rPr>
            </w:pPr>
          </w:p>
        </w:tc>
        <w:tc>
          <w:tcPr>
            <w:tcW w:w="183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overflowPunct/>
              <w:topLinePunct w:val="0"/>
              <w:autoSpaceDE/>
              <w:autoSpaceDN/>
              <w:bidi w:val="0"/>
              <w:spacing w:line="560" w:lineRule="exact"/>
              <w:jc w:val="right"/>
              <w:rPr>
                <w:rFonts w:hint="default" w:ascii="TimesNewRoman" w:hAnsi="TimesNewRoman" w:cs="TimesNewRoman"/>
                <w:color w:val="000000"/>
                <w:sz w:val="20"/>
              </w:rPr>
            </w:pPr>
          </w:p>
        </w:tc>
      </w:tr>
      <w:tr>
        <w:tblPrEx>
          <w:tblCellMar>
            <w:top w:w="15" w:type="dxa"/>
            <w:left w:w="15" w:type="dxa"/>
            <w:bottom w:w="15" w:type="dxa"/>
            <w:right w:w="15" w:type="dxa"/>
          </w:tblCellMar>
        </w:tblPrEx>
        <w:trPr>
          <w:trHeight w:val="555" w:hRule="atLeast"/>
          <w:jc w:val="center"/>
        </w:trPr>
        <w:tc>
          <w:tcPr>
            <w:tcW w:w="20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overflowPunct/>
              <w:topLinePunct w:val="0"/>
              <w:autoSpaceDE/>
              <w:autoSpaceDN/>
              <w:bidi w:val="0"/>
              <w:spacing w:line="560" w:lineRule="exact"/>
              <w:jc w:val="center"/>
              <w:rPr>
                <w:rFonts w:hint="default" w:ascii="TimesNewRoman" w:hAnsi="TimesNewRoman" w:cs="TimesNewRoman"/>
                <w:b/>
                <w:color w:val="000000"/>
                <w:sz w:val="20"/>
              </w:rPr>
            </w:pPr>
          </w:p>
        </w:tc>
        <w:tc>
          <w:tcPr>
            <w:tcW w:w="1953"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sz w:val="18"/>
                <w:szCs w:val="18"/>
              </w:rPr>
            </w:pPr>
          </w:p>
        </w:tc>
        <w:tc>
          <w:tcPr>
            <w:tcW w:w="178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sz w:val="18"/>
                <w:szCs w:val="18"/>
              </w:rPr>
            </w:pPr>
          </w:p>
        </w:tc>
        <w:tc>
          <w:tcPr>
            <w:tcW w:w="1933"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sz w:val="18"/>
                <w:szCs w:val="18"/>
              </w:rPr>
            </w:pPr>
          </w:p>
        </w:tc>
        <w:tc>
          <w:tcPr>
            <w:tcW w:w="2483"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sz w:val="18"/>
                <w:szCs w:val="18"/>
              </w:rPr>
            </w:pPr>
          </w:p>
        </w:tc>
        <w:tc>
          <w:tcPr>
            <w:tcW w:w="168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sz w:val="18"/>
                <w:szCs w:val="18"/>
              </w:rPr>
            </w:pPr>
          </w:p>
        </w:tc>
        <w:tc>
          <w:tcPr>
            <w:tcW w:w="1833" w:type="dxa"/>
            <w:gridSpan w:val="2"/>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sz w:val="18"/>
                <w:szCs w:val="18"/>
              </w:rPr>
            </w:pPr>
          </w:p>
        </w:tc>
      </w:tr>
      <w:tr>
        <w:tblPrEx>
          <w:tblCellMar>
            <w:top w:w="15" w:type="dxa"/>
            <w:left w:w="15" w:type="dxa"/>
            <w:bottom w:w="15" w:type="dxa"/>
            <w:right w:w="15" w:type="dxa"/>
          </w:tblCellMar>
        </w:tblPrEx>
        <w:trPr>
          <w:trHeight w:val="555" w:hRule="atLeast"/>
          <w:jc w:val="center"/>
        </w:trPr>
        <w:tc>
          <w:tcPr>
            <w:tcW w:w="20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overflowPunct/>
              <w:topLinePunct w:val="0"/>
              <w:autoSpaceDE/>
              <w:autoSpaceDN/>
              <w:bidi w:val="0"/>
              <w:spacing w:line="560" w:lineRule="exact"/>
              <w:jc w:val="center"/>
              <w:rPr>
                <w:rFonts w:hint="default" w:ascii="TimesNewRoman" w:hAnsi="TimesNewRoman" w:cs="TimesNewRoman"/>
                <w:b/>
                <w:color w:val="000000"/>
                <w:sz w:val="20"/>
              </w:rPr>
            </w:pPr>
          </w:p>
        </w:tc>
        <w:tc>
          <w:tcPr>
            <w:tcW w:w="1953"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sz w:val="18"/>
                <w:szCs w:val="18"/>
              </w:rPr>
            </w:pPr>
          </w:p>
        </w:tc>
        <w:tc>
          <w:tcPr>
            <w:tcW w:w="178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sz w:val="18"/>
                <w:szCs w:val="18"/>
              </w:rPr>
            </w:pPr>
          </w:p>
        </w:tc>
        <w:tc>
          <w:tcPr>
            <w:tcW w:w="1933"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sz w:val="18"/>
                <w:szCs w:val="18"/>
              </w:rPr>
            </w:pPr>
          </w:p>
        </w:tc>
        <w:tc>
          <w:tcPr>
            <w:tcW w:w="2483"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sz w:val="18"/>
                <w:szCs w:val="18"/>
              </w:rPr>
            </w:pPr>
          </w:p>
        </w:tc>
        <w:tc>
          <w:tcPr>
            <w:tcW w:w="168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sz w:val="18"/>
                <w:szCs w:val="18"/>
              </w:rPr>
            </w:pPr>
          </w:p>
        </w:tc>
        <w:tc>
          <w:tcPr>
            <w:tcW w:w="1833" w:type="dxa"/>
            <w:gridSpan w:val="2"/>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sz w:val="18"/>
                <w:szCs w:val="18"/>
              </w:rPr>
            </w:pPr>
          </w:p>
        </w:tc>
      </w:tr>
      <w:tr>
        <w:tblPrEx>
          <w:tblCellMar>
            <w:top w:w="15" w:type="dxa"/>
            <w:left w:w="15" w:type="dxa"/>
            <w:bottom w:w="15" w:type="dxa"/>
            <w:right w:w="15" w:type="dxa"/>
          </w:tblCellMar>
        </w:tblPrEx>
        <w:trPr>
          <w:trHeight w:val="555" w:hRule="atLeast"/>
          <w:jc w:val="center"/>
        </w:trPr>
        <w:tc>
          <w:tcPr>
            <w:tcW w:w="20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overflowPunct/>
              <w:topLinePunct w:val="0"/>
              <w:autoSpaceDE/>
              <w:autoSpaceDN/>
              <w:bidi w:val="0"/>
              <w:spacing w:line="560" w:lineRule="exact"/>
              <w:jc w:val="center"/>
              <w:rPr>
                <w:rFonts w:hint="default" w:ascii="TimesNewRoman" w:hAnsi="TimesNewRoman" w:cs="TimesNewRoman"/>
                <w:b/>
                <w:color w:val="000000"/>
                <w:sz w:val="20"/>
              </w:rPr>
            </w:pPr>
            <w:r>
              <w:rPr>
                <w:rFonts w:hint="default" w:ascii="TimesNewRoman" w:hAnsi="TimesNewRoman" w:cs="TimesNewRoman"/>
                <w:b/>
                <w:color w:val="000000"/>
                <w:sz w:val="20"/>
              </w:rPr>
              <w:t>合</w:t>
            </w:r>
            <w:r>
              <w:rPr>
                <w:rFonts w:hint="eastAsia" w:ascii="TimesNewRoman" w:hAnsi="TimesNewRoman" w:cs="TimesNewRoman"/>
                <w:b/>
                <w:color w:val="000000"/>
                <w:sz w:val="20"/>
                <w:lang w:val="en-US" w:eastAsia="zh-CN"/>
              </w:rPr>
              <w:t xml:space="preserve"> </w:t>
            </w:r>
            <w:r>
              <w:rPr>
                <w:rFonts w:hint="default" w:ascii="TimesNewRoman" w:hAnsi="TimesNewRoman" w:cs="TimesNewRoman"/>
                <w:b/>
                <w:color w:val="000000"/>
                <w:sz w:val="20"/>
              </w:rPr>
              <w:t>计</w:t>
            </w:r>
          </w:p>
        </w:tc>
        <w:tc>
          <w:tcPr>
            <w:tcW w:w="1953"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sz w:val="18"/>
                <w:szCs w:val="18"/>
              </w:rPr>
            </w:pPr>
          </w:p>
        </w:tc>
        <w:tc>
          <w:tcPr>
            <w:tcW w:w="178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sz w:val="18"/>
                <w:szCs w:val="18"/>
              </w:rPr>
            </w:pPr>
          </w:p>
        </w:tc>
        <w:tc>
          <w:tcPr>
            <w:tcW w:w="1933"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sz w:val="18"/>
                <w:szCs w:val="18"/>
              </w:rPr>
            </w:pPr>
          </w:p>
        </w:tc>
        <w:tc>
          <w:tcPr>
            <w:tcW w:w="2483"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sz w:val="18"/>
                <w:szCs w:val="18"/>
              </w:rPr>
            </w:pPr>
          </w:p>
        </w:tc>
        <w:tc>
          <w:tcPr>
            <w:tcW w:w="168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sz w:val="18"/>
                <w:szCs w:val="18"/>
              </w:rPr>
            </w:pPr>
          </w:p>
        </w:tc>
        <w:tc>
          <w:tcPr>
            <w:tcW w:w="1833" w:type="dxa"/>
            <w:gridSpan w:val="2"/>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sz w:val="18"/>
                <w:szCs w:val="18"/>
              </w:rPr>
            </w:pPr>
          </w:p>
        </w:tc>
      </w:tr>
    </w:tbl>
    <w:p>
      <w:pPr>
        <w:keepNext w:val="0"/>
        <w:keepLines w:val="0"/>
        <w:pageBreakBefore w:val="0"/>
        <w:kinsoku/>
        <w:overflowPunct/>
        <w:topLinePunct w:val="0"/>
        <w:autoSpaceDE/>
        <w:autoSpaceDN/>
        <w:bidi w:val="0"/>
        <w:spacing w:line="560" w:lineRule="exact"/>
        <w:rPr>
          <w:rFonts w:hint="default" w:ascii="TimesNewRoman" w:hAnsi="TimesNewRoman" w:cs="TimesNewRoman"/>
          <w:color w:val="000000"/>
          <w:kern w:val="0"/>
          <w:sz w:val="22"/>
        </w:rPr>
      </w:pPr>
      <w:r>
        <w:rPr>
          <w:rFonts w:hint="default" w:ascii="TimesNewRoman" w:hAnsi="TimesNewRoman" w:cs="TimesNewRoman"/>
          <w:color w:val="000000"/>
          <w:kern w:val="0"/>
          <w:sz w:val="22"/>
        </w:rPr>
        <w:t>“</w:t>
      </w:r>
      <w:r>
        <w:rPr>
          <w:rFonts w:hint="eastAsia" w:ascii="TimesNewRoman" w:hAnsi="TimesNewRoman" w:cs="TimesNewRoman"/>
          <w:color w:val="000000"/>
          <w:kern w:val="0"/>
          <w:sz w:val="22"/>
          <w:lang w:eastAsia="zh-CN"/>
        </w:rPr>
        <w:t>淮南市食品药品检验中心</w:t>
      </w:r>
      <w:r>
        <w:rPr>
          <w:rFonts w:hint="default" w:ascii="TimesNewRoman" w:hAnsi="TimesNewRoman" w:cs="TimesNewRoman"/>
          <w:color w:val="000000"/>
          <w:kern w:val="0"/>
          <w:sz w:val="22"/>
        </w:rPr>
        <w:t>没有安排政府购买服务支出，故本表无数据”。</w:t>
      </w:r>
    </w:p>
    <w:p>
      <w:pPr>
        <w:pStyle w:val="4"/>
        <w:keepNext w:val="0"/>
        <w:keepLines w:val="0"/>
        <w:pageBreakBefore w:val="0"/>
        <w:kinsoku/>
        <w:overflowPunct/>
        <w:topLinePunct w:val="0"/>
        <w:autoSpaceDE/>
        <w:autoSpaceDN/>
        <w:bidi w:val="0"/>
        <w:adjustRightInd w:val="0"/>
        <w:snapToGrid w:val="0"/>
        <w:spacing w:line="560" w:lineRule="exact"/>
        <w:rPr>
          <w:rFonts w:hint="default" w:ascii="TimesNewRoman" w:hAnsi="TimesNewRoman" w:cs="TimesNewRoman"/>
          <w:color w:val="000000"/>
        </w:rPr>
      </w:pPr>
    </w:p>
    <w:p>
      <w:pPr>
        <w:pStyle w:val="4"/>
        <w:keepNext w:val="0"/>
        <w:keepLines w:val="0"/>
        <w:pageBreakBefore w:val="0"/>
        <w:kinsoku/>
        <w:overflowPunct/>
        <w:topLinePunct w:val="0"/>
        <w:autoSpaceDE/>
        <w:autoSpaceDN/>
        <w:bidi w:val="0"/>
        <w:adjustRightInd w:val="0"/>
        <w:snapToGrid w:val="0"/>
        <w:spacing w:line="560" w:lineRule="exact"/>
        <w:rPr>
          <w:rFonts w:hint="default" w:ascii="TimesNewRoman" w:hAnsi="TimesNewRoman" w:cs="TimesNewRoman"/>
          <w:color w:val="000000"/>
        </w:rPr>
      </w:pPr>
    </w:p>
    <w:p>
      <w:pPr>
        <w:pStyle w:val="4"/>
        <w:keepNext w:val="0"/>
        <w:keepLines w:val="0"/>
        <w:pageBreakBefore w:val="0"/>
        <w:kinsoku/>
        <w:overflowPunct/>
        <w:topLinePunct w:val="0"/>
        <w:autoSpaceDE/>
        <w:autoSpaceDN/>
        <w:bidi w:val="0"/>
        <w:adjustRightInd w:val="0"/>
        <w:snapToGrid w:val="0"/>
        <w:spacing w:line="560" w:lineRule="exact"/>
        <w:rPr>
          <w:rFonts w:hint="default" w:ascii="TimesNewRoman" w:hAnsi="TimesNewRoman" w:cs="TimesNewRoman"/>
          <w:color w:val="000000"/>
        </w:rPr>
      </w:pPr>
    </w:p>
    <w:p>
      <w:pPr>
        <w:pStyle w:val="4"/>
        <w:keepNext w:val="0"/>
        <w:keepLines w:val="0"/>
        <w:pageBreakBefore w:val="0"/>
        <w:kinsoku/>
        <w:wordWrap w:val="0"/>
        <w:overflowPunct/>
        <w:topLinePunct w:val="0"/>
        <w:autoSpaceDE/>
        <w:autoSpaceDN/>
        <w:bidi w:val="0"/>
        <w:adjustRightInd w:val="0"/>
        <w:snapToGrid w:val="0"/>
        <w:spacing w:line="560" w:lineRule="exact"/>
        <w:jc w:val="right"/>
        <w:rPr>
          <w:rFonts w:hint="default" w:ascii="TimesNewRoman" w:hAnsi="TimesNewRoman" w:eastAsia="黑体" w:cs="TimesNewRoman"/>
          <w:bCs/>
          <w:color w:val="000000"/>
          <w:sz w:val="36"/>
          <w:szCs w:val="36"/>
        </w:rPr>
        <w:sectPr>
          <w:pgSz w:w="16838" w:h="11906" w:orient="landscape"/>
          <w:pgMar w:top="1797" w:right="1440" w:bottom="1797" w:left="1440" w:header="850" w:footer="992" w:gutter="0"/>
          <w:pgBorders>
            <w:top w:val="none" w:sz="0" w:space="0"/>
            <w:left w:val="none" w:sz="0" w:space="0"/>
            <w:bottom w:val="none" w:sz="0" w:space="0"/>
            <w:right w:val="none" w:sz="0" w:space="0"/>
          </w:pgBorders>
          <w:pgNumType w:fmt="numberInDash"/>
          <w:cols w:space="720" w:num="1"/>
          <w:rtlGutter w:val="0"/>
          <w:docGrid w:type="linesAndChars" w:linePitch="437" w:charSpace="2555"/>
        </w:sectPr>
      </w:pPr>
    </w:p>
    <w:p>
      <w:pPr>
        <w:pStyle w:val="4"/>
        <w:adjustRightInd w:val="0"/>
        <w:snapToGrid w:val="0"/>
        <w:spacing w:before="0" w:beforeAutospacing="0" w:after="0" w:afterAutospacing="0" w:line="600" w:lineRule="exact"/>
        <w:jc w:val="both"/>
        <w:rPr>
          <w:rFonts w:ascii="黑体" w:hAnsi="黑体" w:eastAsia="黑体"/>
          <w:bCs/>
          <w:sz w:val="36"/>
          <w:szCs w:val="36"/>
        </w:rPr>
      </w:pPr>
      <w:r>
        <w:rPr>
          <w:rFonts w:ascii="宋体" w:hAnsi="宋体" w:cs="宋体"/>
          <w:kern w:val="0"/>
          <w:sz w:val="20"/>
          <w:szCs w:val="20"/>
        </w:rPr>
        <w:t xml:space="preserve">            </w:t>
      </w:r>
      <w:r>
        <w:rPr>
          <w:rFonts w:hint="eastAsia" w:ascii="黑体" w:hAnsi="黑体" w:eastAsia="黑体"/>
          <w:bCs/>
          <w:sz w:val="36"/>
          <w:szCs w:val="36"/>
        </w:rPr>
        <w:t>第三部分</w:t>
      </w:r>
      <w:r>
        <w:rPr>
          <w:rFonts w:ascii="黑体" w:hAnsi="黑体" w:eastAsia="黑体"/>
          <w:bCs/>
          <w:sz w:val="36"/>
          <w:szCs w:val="36"/>
        </w:rPr>
        <w:t xml:space="preserve"> </w:t>
      </w:r>
      <w:r>
        <w:rPr>
          <w:rFonts w:hint="eastAsia" w:ascii="黑体" w:hAnsi="黑体" w:eastAsia="黑体"/>
          <w:bCs/>
          <w:sz w:val="36"/>
          <w:szCs w:val="36"/>
          <w:lang w:eastAsia="zh-CN"/>
        </w:rPr>
        <w:t>2024</w:t>
      </w:r>
      <w:r>
        <w:rPr>
          <w:rFonts w:hint="eastAsia" w:ascii="黑体" w:hAnsi="黑体" w:eastAsia="黑体"/>
          <w:bCs/>
          <w:sz w:val="36"/>
          <w:szCs w:val="36"/>
        </w:rPr>
        <w:t>年部门</w:t>
      </w:r>
      <w:r>
        <w:rPr>
          <w:rFonts w:hint="eastAsia" w:ascii="黑体" w:hAnsi="黑体" w:eastAsia="黑体"/>
          <w:bCs/>
          <w:sz w:val="36"/>
          <w:szCs w:val="36"/>
          <w:u w:val="none"/>
        </w:rPr>
        <w:t>单位</w:t>
      </w:r>
      <w:r>
        <w:rPr>
          <w:rFonts w:hint="eastAsia" w:ascii="黑体" w:hAnsi="黑体" w:eastAsia="黑体"/>
          <w:bCs/>
          <w:sz w:val="36"/>
          <w:szCs w:val="36"/>
        </w:rPr>
        <w:t>预算情况说明</w:t>
      </w:r>
    </w:p>
    <w:p>
      <w:pPr>
        <w:pStyle w:val="4"/>
        <w:adjustRightInd w:val="0"/>
        <w:snapToGrid w:val="0"/>
        <w:spacing w:before="0" w:beforeAutospacing="0" w:after="0" w:afterAutospacing="0" w:line="600" w:lineRule="exact"/>
        <w:rPr>
          <w:rFonts w:ascii="黑体" w:hAnsi="黑体" w:eastAsia="黑体"/>
          <w:bCs/>
          <w:sz w:val="32"/>
          <w:szCs w:val="32"/>
        </w:rPr>
      </w:pPr>
    </w:p>
    <w:p>
      <w:pPr>
        <w:pStyle w:val="4"/>
        <w:adjustRightInd w:val="0"/>
        <w:snapToGrid w:val="0"/>
        <w:spacing w:before="0" w:beforeAutospacing="0" w:after="0" w:afterAutospacing="0" w:line="600" w:lineRule="exact"/>
        <w:ind w:firstLine="640" w:firstLineChars="200"/>
        <w:rPr>
          <w:rFonts w:ascii="黑体" w:hAnsi="仿宋" w:eastAsia="黑体"/>
          <w:color w:val="000000"/>
          <w:sz w:val="32"/>
          <w:szCs w:val="32"/>
        </w:rPr>
      </w:pPr>
      <w:r>
        <w:rPr>
          <w:rFonts w:hint="eastAsia" w:ascii="黑体" w:hAnsi="仿宋" w:eastAsia="黑体"/>
          <w:color w:val="000000"/>
          <w:sz w:val="32"/>
          <w:szCs w:val="32"/>
        </w:rPr>
        <w:t>一、关于</w:t>
      </w:r>
      <w:r>
        <w:rPr>
          <w:rFonts w:hint="eastAsia" w:ascii="黑体" w:hAnsi="仿宋" w:eastAsia="黑体"/>
          <w:color w:val="000000"/>
          <w:sz w:val="32"/>
          <w:szCs w:val="32"/>
          <w:lang w:eastAsia="zh-CN"/>
        </w:rPr>
        <w:t>2024</w:t>
      </w:r>
      <w:r>
        <w:rPr>
          <w:rFonts w:hint="eastAsia" w:ascii="黑体" w:hAnsi="仿宋" w:eastAsia="黑体"/>
          <w:color w:val="000000"/>
          <w:sz w:val="32"/>
          <w:szCs w:val="32"/>
        </w:rPr>
        <w:t>年收支总表的说明</w:t>
      </w:r>
    </w:p>
    <w:p>
      <w:pPr>
        <w:pStyle w:val="4"/>
        <w:adjustRightInd w:val="0"/>
        <w:snapToGrid w:val="0"/>
        <w:spacing w:before="0" w:beforeAutospacing="0" w:after="0" w:afterAutospacing="0" w:line="600" w:lineRule="exact"/>
        <w:ind w:firstLine="627" w:firstLineChars="196"/>
        <w:jc w:val="both"/>
        <w:rPr>
          <w:rFonts w:ascii="仿宋_GB2312" w:hAnsi="仿宋" w:eastAsia="仿宋_GB2312"/>
          <w:sz w:val="32"/>
          <w:szCs w:val="32"/>
        </w:rPr>
      </w:pPr>
      <w:r>
        <w:rPr>
          <w:rFonts w:hint="eastAsia" w:ascii="仿宋_GB2312" w:hAnsi="仿宋" w:eastAsia="仿宋_GB2312"/>
          <w:sz w:val="32"/>
          <w:szCs w:val="32"/>
        </w:rPr>
        <w:t>按照综合预算的原则，</w:t>
      </w:r>
      <w:r>
        <w:rPr>
          <w:rFonts w:hint="eastAsia" w:ascii="仿宋_GB2312" w:hAnsi="仿宋" w:eastAsia="仿宋_GB2312"/>
          <w:sz w:val="32"/>
          <w:szCs w:val="32"/>
          <w:lang w:eastAsia="zh-CN"/>
        </w:rPr>
        <w:t>淮南市食品药品检验中心</w:t>
      </w:r>
      <w:r>
        <w:rPr>
          <w:rFonts w:hint="eastAsia" w:ascii="仿宋_GB2312" w:hAnsi="仿宋" w:eastAsia="仿宋_GB2312"/>
          <w:sz w:val="32"/>
          <w:szCs w:val="32"/>
        </w:rPr>
        <w:t>所有收入和支出均纳入</w:t>
      </w:r>
      <w:r>
        <w:rPr>
          <w:rFonts w:hint="eastAsia" w:ascii="仿宋_GB2312" w:hAnsi="仿宋" w:eastAsia="仿宋_GB2312"/>
          <w:sz w:val="32"/>
          <w:szCs w:val="32"/>
          <w:u w:val="none"/>
        </w:rPr>
        <w:t>单位</w:t>
      </w:r>
      <w:r>
        <w:rPr>
          <w:rFonts w:hint="eastAsia" w:ascii="仿宋_GB2312" w:hAnsi="仿宋" w:eastAsia="仿宋_GB2312"/>
          <w:sz w:val="32"/>
          <w:szCs w:val="32"/>
        </w:rPr>
        <w:t>预算管理。</w:t>
      </w:r>
      <w:r>
        <w:rPr>
          <w:rFonts w:hint="eastAsia" w:ascii="仿宋_GB2312" w:hAnsi="仿宋" w:eastAsia="仿宋_GB2312"/>
          <w:sz w:val="32"/>
          <w:szCs w:val="32"/>
          <w:lang w:eastAsia="zh-CN"/>
        </w:rPr>
        <w:t>淮南市食品药品检验中心2024</w:t>
      </w:r>
      <w:r>
        <w:rPr>
          <w:rFonts w:hint="eastAsia" w:ascii="仿宋_GB2312" w:hAnsi="仿宋" w:eastAsia="仿宋_GB2312"/>
          <w:sz w:val="32"/>
          <w:szCs w:val="32"/>
        </w:rPr>
        <w:t>年收支总预算</w:t>
      </w:r>
      <w:r>
        <w:rPr>
          <w:rFonts w:hint="eastAsia" w:ascii="仿宋_GB2312" w:hAnsi="仿宋" w:eastAsia="仿宋_GB2312"/>
          <w:sz w:val="32"/>
          <w:szCs w:val="32"/>
          <w:lang w:val="en-US" w:eastAsia="zh-CN"/>
        </w:rPr>
        <w:t>798.06</w:t>
      </w:r>
      <w:r>
        <w:rPr>
          <w:rFonts w:hint="eastAsia" w:ascii="仿宋_GB2312" w:hAnsi="仿宋" w:eastAsia="仿宋_GB2312"/>
          <w:sz w:val="32"/>
          <w:szCs w:val="32"/>
        </w:rPr>
        <w:t>万元，收入包括一般公共预算拨款收入</w:t>
      </w:r>
      <w:r>
        <w:rPr>
          <w:rFonts w:hint="eastAsia" w:ascii="仿宋_GB2312" w:hAnsi="仿宋" w:eastAsia="仿宋_GB2312"/>
          <w:sz w:val="32"/>
          <w:szCs w:val="32"/>
          <w:lang w:val="en-US" w:eastAsia="zh-CN"/>
        </w:rPr>
        <w:t>798.06。</w:t>
      </w:r>
      <w:r>
        <w:rPr>
          <w:rFonts w:hint="eastAsia" w:ascii="仿宋_GB2312" w:hAnsi="仿宋" w:eastAsia="仿宋_GB2312"/>
          <w:sz w:val="32"/>
          <w:szCs w:val="32"/>
        </w:rPr>
        <w:t>支出包括：一般公共服务支出</w:t>
      </w:r>
      <w:r>
        <w:rPr>
          <w:rFonts w:hint="eastAsia" w:ascii="仿宋_GB2312" w:hAnsi="仿宋" w:eastAsia="仿宋_GB2312"/>
          <w:sz w:val="32"/>
          <w:szCs w:val="32"/>
          <w:lang w:val="en-US" w:eastAsia="zh-CN"/>
        </w:rPr>
        <w:t>653.43</w:t>
      </w:r>
      <w:r>
        <w:rPr>
          <w:rFonts w:hint="eastAsia" w:ascii="仿宋_GB2312" w:hAnsi="仿宋" w:eastAsia="仿宋_GB2312"/>
          <w:sz w:val="32"/>
          <w:szCs w:val="32"/>
        </w:rPr>
        <w:t>万元、社会保障和就业支出</w:t>
      </w:r>
      <w:r>
        <w:rPr>
          <w:rFonts w:hint="eastAsia" w:ascii="仿宋_GB2312" w:hAnsi="仿宋" w:eastAsia="仿宋_GB2312"/>
          <w:sz w:val="32"/>
          <w:szCs w:val="32"/>
          <w:lang w:val="en-US" w:eastAsia="zh-CN"/>
        </w:rPr>
        <w:t>71.57</w:t>
      </w:r>
      <w:r>
        <w:rPr>
          <w:rFonts w:hint="eastAsia" w:ascii="仿宋_GB2312" w:hAnsi="仿宋" w:eastAsia="仿宋_GB2312"/>
          <w:sz w:val="32"/>
          <w:szCs w:val="32"/>
        </w:rPr>
        <w:t>万元、</w:t>
      </w:r>
      <w:r>
        <w:rPr>
          <w:rFonts w:hint="eastAsia" w:ascii="仿宋_GB2312" w:hAnsi="仿宋" w:eastAsia="仿宋_GB2312"/>
          <w:sz w:val="32"/>
          <w:szCs w:val="32"/>
          <w:lang w:val="en-US" w:eastAsia="zh-CN"/>
        </w:rPr>
        <w:t>卫生健康支出14.85万元、</w:t>
      </w:r>
      <w:r>
        <w:rPr>
          <w:rFonts w:hint="eastAsia" w:ascii="仿宋_GB2312" w:hAnsi="仿宋" w:eastAsia="仿宋_GB2312"/>
          <w:sz w:val="32"/>
          <w:szCs w:val="32"/>
        </w:rPr>
        <w:t>住房保障支出</w:t>
      </w:r>
      <w:r>
        <w:rPr>
          <w:rFonts w:hint="eastAsia" w:ascii="仿宋_GB2312" w:hAnsi="仿宋" w:eastAsia="仿宋_GB2312"/>
          <w:sz w:val="32"/>
          <w:szCs w:val="32"/>
          <w:lang w:val="en-US" w:eastAsia="zh-CN"/>
        </w:rPr>
        <w:t>58.21</w:t>
      </w:r>
      <w:r>
        <w:rPr>
          <w:rFonts w:hint="eastAsia" w:ascii="仿宋_GB2312" w:hAnsi="仿宋" w:eastAsia="仿宋_GB2312"/>
          <w:sz w:val="32"/>
          <w:szCs w:val="32"/>
        </w:rPr>
        <w:t>万元。</w:t>
      </w:r>
    </w:p>
    <w:p>
      <w:pPr>
        <w:pStyle w:val="4"/>
        <w:adjustRightInd w:val="0"/>
        <w:snapToGrid w:val="0"/>
        <w:spacing w:before="0" w:beforeAutospacing="0" w:after="0" w:afterAutospacing="0" w:line="600" w:lineRule="exact"/>
        <w:ind w:firstLine="627" w:firstLineChars="196"/>
        <w:rPr>
          <w:rFonts w:ascii="黑体" w:hAnsi="仿宋" w:eastAsia="黑体"/>
          <w:color w:val="000000"/>
          <w:sz w:val="32"/>
          <w:szCs w:val="32"/>
        </w:rPr>
      </w:pPr>
      <w:r>
        <w:rPr>
          <w:rFonts w:hint="eastAsia" w:ascii="黑体" w:hAnsi="仿宋" w:eastAsia="黑体"/>
          <w:color w:val="000000"/>
          <w:sz w:val="32"/>
          <w:szCs w:val="32"/>
        </w:rPr>
        <w:t>二、关于</w:t>
      </w:r>
      <w:r>
        <w:rPr>
          <w:rFonts w:hint="eastAsia" w:ascii="黑体" w:hAnsi="仿宋" w:eastAsia="黑体"/>
          <w:color w:val="000000"/>
          <w:sz w:val="32"/>
          <w:szCs w:val="32"/>
          <w:lang w:eastAsia="zh-CN"/>
        </w:rPr>
        <w:t>2024</w:t>
      </w:r>
      <w:r>
        <w:rPr>
          <w:rFonts w:hint="eastAsia" w:ascii="黑体" w:hAnsi="仿宋" w:eastAsia="黑体"/>
          <w:color w:val="000000"/>
          <w:sz w:val="32"/>
          <w:szCs w:val="32"/>
        </w:rPr>
        <w:t>年收入总表的说明</w:t>
      </w:r>
    </w:p>
    <w:p>
      <w:pPr>
        <w:adjustRightInd w:val="0"/>
        <w:snapToGrid w:val="0"/>
        <w:spacing w:line="600" w:lineRule="exact"/>
        <w:ind w:firstLine="640" w:firstLineChars="200"/>
        <w:rPr>
          <w:rFonts w:ascii="仿宋_GB2312" w:hAnsi="仿宋" w:eastAsia="仿宋_GB2312"/>
          <w:sz w:val="32"/>
          <w:szCs w:val="32"/>
        </w:rPr>
      </w:pPr>
      <w:r>
        <w:rPr>
          <w:rFonts w:hint="eastAsia" w:ascii="仿宋_GB2312" w:hAnsi="仿宋" w:eastAsia="仿宋_GB2312" w:cs="宋体"/>
          <w:kern w:val="0"/>
          <w:sz w:val="32"/>
          <w:szCs w:val="32"/>
          <w:lang w:eastAsia="zh-CN"/>
        </w:rPr>
        <w:t>淮南市食品药品检验中心</w:t>
      </w:r>
      <w:r>
        <w:rPr>
          <w:rFonts w:hint="eastAsia" w:ascii="仿宋_GB2312" w:hAnsi="仿宋" w:eastAsia="仿宋_GB2312"/>
          <w:sz w:val="32"/>
          <w:szCs w:val="32"/>
          <w:lang w:eastAsia="zh-CN"/>
        </w:rPr>
        <w:t>2024</w:t>
      </w:r>
      <w:r>
        <w:rPr>
          <w:rFonts w:hint="eastAsia" w:ascii="仿宋_GB2312" w:hAnsi="仿宋" w:eastAsia="仿宋_GB2312"/>
          <w:sz w:val="32"/>
          <w:szCs w:val="32"/>
        </w:rPr>
        <w:t>年收入预算</w:t>
      </w:r>
      <w:r>
        <w:rPr>
          <w:rFonts w:hint="eastAsia" w:ascii="仿宋_GB2312" w:hAnsi="仿宋" w:eastAsia="仿宋_GB2312"/>
          <w:sz w:val="32"/>
          <w:szCs w:val="32"/>
          <w:lang w:val="en-US" w:eastAsia="zh-CN"/>
        </w:rPr>
        <w:t>798.06</w:t>
      </w:r>
      <w:r>
        <w:rPr>
          <w:rFonts w:hint="eastAsia" w:ascii="仿宋_GB2312" w:hAnsi="仿宋" w:eastAsia="仿宋_GB2312"/>
          <w:sz w:val="32"/>
          <w:szCs w:val="32"/>
        </w:rPr>
        <w:t>万元，其中，本年收入</w:t>
      </w:r>
      <w:r>
        <w:rPr>
          <w:rFonts w:hint="eastAsia" w:ascii="仿宋_GB2312" w:hAnsi="仿宋" w:eastAsia="仿宋_GB2312"/>
          <w:sz w:val="32"/>
          <w:szCs w:val="32"/>
          <w:lang w:val="en-US" w:eastAsia="zh-CN"/>
        </w:rPr>
        <w:t>798.06</w:t>
      </w:r>
      <w:r>
        <w:rPr>
          <w:rFonts w:hint="eastAsia" w:ascii="仿宋_GB2312" w:hAnsi="仿宋" w:eastAsia="仿宋_GB2312"/>
          <w:sz w:val="32"/>
          <w:szCs w:val="32"/>
        </w:rPr>
        <w:t>万元，上年结转结余</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w:t>
      </w:r>
    </w:p>
    <w:p>
      <w:pPr>
        <w:adjustRightInd w:val="0"/>
        <w:snapToGrid w:val="0"/>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（一）本年收入</w:t>
      </w:r>
      <w:r>
        <w:rPr>
          <w:rFonts w:hint="eastAsia" w:ascii="仿宋_GB2312" w:hAnsi="仿宋" w:eastAsia="仿宋_GB2312"/>
          <w:sz w:val="32"/>
          <w:szCs w:val="32"/>
          <w:lang w:val="en-US" w:eastAsia="zh-CN"/>
        </w:rPr>
        <w:t>798.06</w:t>
      </w:r>
      <w:r>
        <w:rPr>
          <w:rFonts w:hint="eastAsia" w:ascii="仿宋_GB2312" w:hAnsi="仿宋" w:eastAsia="仿宋_GB2312"/>
          <w:sz w:val="32"/>
          <w:szCs w:val="32"/>
        </w:rPr>
        <w:t>万元，主要包括：一般公共预算拨款收入</w:t>
      </w:r>
      <w:r>
        <w:rPr>
          <w:rFonts w:hint="eastAsia" w:ascii="仿宋_GB2312" w:hAnsi="仿宋" w:eastAsia="仿宋_GB2312"/>
          <w:sz w:val="32"/>
          <w:szCs w:val="32"/>
          <w:lang w:val="en-US" w:eastAsia="zh-CN"/>
        </w:rPr>
        <w:t>798.06</w:t>
      </w:r>
      <w:r>
        <w:rPr>
          <w:rFonts w:hint="eastAsia" w:ascii="仿宋_GB2312" w:hAnsi="仿宋" w:eastAsia="仿宋_GB2312"/>
          <w:sz w:val="32"/>
          <w:szCs w:val="32"/>
        </w:rPr>
        <w:t>万元，占</w:t>
      </w:r>
      <w:r>
        <w:rPr>
          <w:rFonts w:hint="eastAsia" w:ascii="仿宋_GB2312" w:hAnsi="仿宋" w:eastAsia="仿宋_GB2312"/>
          <w:sz w:val="32"/>
          <w:szCs w:val="32"/>
          <w:lang w:val="en-US" w:eastAsia="zh-CN"/>
        </w:rPr>
        <w:t>100</w:t>
      </w:r>
      <w:r>
        <w:rPr>
          <w:rFonts w:ascii="仿宋_GB2312" w:hAnsi="仿宋" w:eastAsia="仿宋_GB2312"/>
          <w:sz w:val="32"/>
          <w:szCs w:val="32"/>
        </w:rPr>
        <w:t>%</w:t>
      </w:r>
      <w:r>
        <w:rPr>
          <w:rFonts w:hint="eastAsia" w:ascii="仿宋_GB2312" w:hAnsi="仿宋" w:eastAsia="仿宋_GB2312"/>
          <w:sz w:val="32"/>
          <w:szCs w:val="32"/>
        </w:rPr>
        <w:t>，比</w:t>
      </w:r>
      <w:r>
        <w:rPr>
          <w:rFonts w:hint="eastAsia" w:ascii="仿宋_GB2312" w:hAnsi="仿宋" w:eastAsia="仿宋_GB2312"/>
          <w:sz w:val="32"/>
          <w:szCs w:val="32"/>
          <w:lang w:eastAsia="zh-CN"/>
        </w:rPr>
        <w:t>2023</w:t>
      </w:r>
      <w:r>
        <w:rPr>
          <w:rFonts w:hint="eastAsia" w:ascii="仿宋_GB2312" w:hAnsi="仿宋" w:eastAsia="仿宋_GB2312"/>
          <w:sz w:val="32"/>
          <w:szCs w:val="32"/>
        </w:rPr>
        <w:t>年预算增加</w:t>
      </w:r>
      <w:r>
        <w:rPr>
          <w:rFonts w:hint="eastAsia" w:ascii="仿宋_GB2312" w:hAnsi="仿宋" w:eastAsia="仿宋_GB2312"/>
          <w:sz w:val="32"/>
          <w:szCs w:val="32"/>
          <w:lang w:val="en-US" w:eastAsia="zh-CN"/>
        </w:rPr>
        <w:t>9.11</w:t>
      </w:r>
      <w:r>
        <w:rPr>
          <w:rFonts w:hint="eastAsia" w:ascii="仿宋_GB2312" w:hAnsi="仿宋" w:eastAsia="仿宋_GB2312"/>
          <w:sz w:val="32"/>
          <w:szCs w:val="32"/>
        </w:rPr>
        <w:t>万元，增长</w:t>
      </w:r>
      <w:r>
        <w:rPr>
          <w:rFonts w:hint="eastAsia" w:ascii="仿宋_GB2312" w:hAnsi="仿宋" w:eastAsia="仿宋_GB2312"/>
          <w:sz w:val="32"/>
          <w:szCs w:val="32"/>
          <w:lang w:val="en-US" w:eastAsia="zh-CN"/>
        </w:rPr>
        <w:t>1.15%</w:t>
      </w:r>
      <w:r>
        <w:rPr>
          <w:rFonts w:hint="eastAsia" w:ascii="仿宋_GB2312" w:hAnsi="仿宋" w:eastAsia="仿宋_GB2312"/>
          <w:sz w:val="32"/>
          <w:szCs w:val="32"/>
        </w:rPr>
        <w:t>，增长原因主要是一般公共预算拨款收入</w:t>
      </w:r>
      <w:r>
        <w:rPr>
          <w:rFonts w:hint="eastAsia" w:ascii="仿宋_GB2312" w:hAnsi="仿宋" w:eastAsia="仿宋_GB2312"/>
          <w:sz w:val="32"/>
          <w:szCs w:val="32"/>
          <w:lang w:eastAsia="zh-CN"/>
        </w:rPr>
        <w:t>增加</w:t>
      </w:r>
      <w:r>
        <w:rPr>
          <w:rFonts w:hint="eastAsia" w:ascii="仿宋_GB2312" w:hAnsi="仿宋" w:eastAsia="仿宋_GB2312"/>
          <w:sz w:val="32"/>
          <w:szCs w:val="32"/>
        </w:rPr>
        <w:t>。</w:t>
      </w:r>
    </w:p>
    <w:p>
      <w:pPr>
        <w:adjustRightInd w:val="0"/>
        <w:snapToGrid w:val="0"/>
        <w:spacing w:line="600" w:lineRule="exact"/>
        <w:ind w:firstLine="640" w:firstLineChars="200"/>
        <w:rPr>
          <w:rFonts w:ascii="黑体" w:hAnsi="仿宋" w:eastAsia="黑体" w:cs="宋体"/>
          <w:color w:val="000000"/>
          <w:kern w:val="0"/>
          <w:sz w:val="32"/>
          <w:szCs w:val="32"/>
        </w:rPr>
      </w:pPr>
      <w:r>
        <w:rPr>
          <w:rFonts w:hint="eastAsia" w:ascii="黑体" w:hAnsi="仿宋" w:eastAsia="黑体" w:cs="宋体"/>
          <w:color w:val="000000"/>
          <w:kern w:val="0"/>
          <w:sz w:val="32"/>
          <w:szCs w:val="32"/>
        </w:rPr>
        <w:t>三、关于</w:t>
      </w:r>
      <w:r>
        <w:rPr>
          <w:rFonts w:hint="eastAsia" w:ascii="黑体" w:hAnsi="仿宋" w:eastAsia="黑体" w:cs="宋体"/>
          <w:color w:val="000000"/>
          <w:kern w:val="0"/>
          <w:sz w:val="32"/>
          <w:szCs w:val="32"/>
          <w:lang w:eastAsia="zh-CN"/>
        </w:rPr>
        <w:t>2024</w:t>
      </w:r>
      <w:r>
        <w:rPr>
          <w:rFonts w:hint="eastAsia" w:ascii="黑体" w:hAnsi="仿宋" w:eastAsia="黑体" w:cs="宋体"/>
          <w:color w:val="000000"/>
          <w:kern w:val="0"/>
          <w:sz w:val="32"/>
          <w:szCs w:val="32"/>
        </w:rPr>
        <w:t>年支出总表的说明</w:t>
      </w:r>
    </w:p>
    <w:p>
      <w:pPr>
        <w:adjustRightInd w:val="0"/>
        <w:snapToGrid w:val="0"/>
        <w:spacing w:line="600" w:lineRule="exact"/>
        <w:ind w:firstLine="640" w:firstLineChars="200"/>
        <w:rPr>
          <w:rFonts w:ascii="仿宋_GB2312" w:hAnsi="仿宋" w:eastAsia="仿宋_GB2312"/>
          <w:color w:val="548DD4" w:themeColor="text2" w:themeTint="99"/>
          <w:sz w:val="32"/>
          <w:szCs w:val="32"/>
        </w:rPr>
      </w:pPr>
      <w:r>
        <w:rPr>
          <w:rFonts w:hint="eastAsia" w:ascii="仿宋_GB2312" w:hAnsi="仿宋" w:eastAsia="仿宋_GB2312"/>
          <w:color w:val="000000" w:themeColor="text1"/>
          <w:sz w:val="32"/>
          <w:szCs w:val="32"/>
          <w:lang w:eastAsia="zh-CN"/>
        </w:rPr>
        <w:t>淮南市食品药品检验中心2024</w:t>
      </w:r>
      <w:r>
        <w:rPr>
          <w:rFonts w:hint="eastAsia" w:ascii="仿宋_GB2312" w:hAnsi="仿宋" w:eastAsia="仿宋_GB2312"/>
          <w:color w:val="000000" w:themeColor="text1"/>
          <w:sz w:val="32"/>
          <w:szCs w:val="32"/>
        </w:rPr>
        <w:t>年支出预算</w:t>
      </w:r>
      <w:r>
        <w:rPr>
          <w:rFonts w:hint="eastAsia" w:ascii="仿宋_GB2312" w:hAnsi="仿宋" w:eastAsia="仿宋_GB2312"/>
          <w:color w:val="000000" w:themeColor="text1"/>
          <w:sz w:val="32"/>
          <w:szCs w:val="32"/>
          <w:lang w:val="en-US" w:eastAsia="zh-CN"/>
        </w:rPr>
        <w:t>798.06</w:t>
      </w:r>
      <w:r>
        <w:rPr>
          <w:rFonts w:hint="eastAsia" w:ascii="仿宋_GB2312" w:hAnsi="仿宋" w:eastAsia="仿宋_GB2312"/>
          <w:color w:val="000000" w:themeColor="text1"/>
          <w:sz w:val="32"/>
          <w:szCs w:val="32"/>
        </w:rPr>
        <w:t>万元，</w:t>
      </w:r>
      <w:r>
        <w:rPr>
          <w:rFonts w:hint="eastAsia" w:ascii="仿宋_GB2312" w:hAnsi="仿宋" w:eastAsia="仿宋_GB2312"/>
          <w:sz w:val="32"/>
          <w:szCs w:val="32"/>
        </w:rPr>
        <w:t>比</w:t>
      </w:r>
      <w:r>
        <w:rPr>
          <w:rFonts w:hint="eastAsia" w:ascii="仿宋_GB2312" w:hAnsi="仿宋" w:eastAsia="仿宋_GB2312"/>
          <w:sz w:val="32"/>
          <w:szCs w:val="32"/>
          <w:lang w:eastAsia="zh-CN"/>
        </w:rPr>
        <w:t>2023</w:t>
      </w:r>
      <w:r>
        <w:rPr>
          <w:rFonts w:hint="eastAsia" w:ascii="仿宋_GB2312" w:hAnsi="仿宋" w:eastAsia="仿宋_GB2312"/>
          <w:sz w:val="32"/>
          <w:szCs w:val="32"/>
        </w:rPr>
        <w:t>年预算增加</w:t>
      </w:r>
      <w:r>
        <w:rPr>
          <w:rFonts w:hint="eastAsia" w:ascii="仿宋_GB2312" w:hAnsi="仿宋" w:eastAsia="仿宋_GB2312"/>
          <w:sz w:val="32"/>
          <w:szCs w:val="32"/>
          <w:lang w:val="en-US" w:eastAsia="zh-CN"/>
        </w:rPr>
        <w:t>9.11</w:t>
      </w:r>
      <w:r>
        <w:rPr>
          <w:rFonts w:hint="eastAsia" w:ascii="仿宋_GB2312" w:hAnsi="仿宋" w:eastAsia="仿宋_GB2312"/>
          <w:sz w:val="32"/>
          <w:szCs w:val="32"/>
        </w:rPr>
        <w:t>万元，增长</w:t>
      </w:r>
      <w:r>
        <w:rPr>
          <w:rFonts w:hint="eastAsia" w:ascii="仿宋_GB2312" w:hAnsi="仿宋" w:eastAsia="仿宋_GB2312"/>
          <w:sz w:val="32"/>
          <w:szCs w:val="32"/>
          <w:lang w:val="en-US" w:eastAsia="zh-CN"/>
        </w:rPr>
        <w:t>1.15%</w:t>
      </w:r>
      <w:r>
        <w:rPr>
          <w:rFonts w:hint="eastAsia" w:ascii="仿宋_GB2312" w:hAnsi="仿宋" w:eastAsia="仿宋_GB2312"/>
          <w:color w:val="000000" w:themeColor="text1"/>
          <w:sz w:val="32"/>
          <w:szCs w:val="32"/>
        </w:rPr>
        <w:t>，增长原因主要是一般公共服务支出</w:t>
      </w:r>
      <w:r>
        <w:rPr>
          <w:rFonts w:hint="eastAsia" w:ascii="仿宋_GB2312" w:hAnsi="仿宋" w:eastAsia="仿宋_GB2312"/>
          <w:color w:val="000000" w:themeColor="text1"/>
          <w:sz w:val="32"/>
          <w:szCs w:val="32"/>
          <w:lang w:eastAsia="zh-CN"/>
        </w:rPr>
        <w:t>增加</w:t>
      </w:r>
      <w:r>
        <w:rPr>
          <w:rFonts w:hint="eastAsia" w:ascii="仿宋_GB2312" w:hAnsi="仿宋" w:eastAsia="仿宋_GB2312"/>
          <w:color w:val="000000" w:themeColor="text1"/>
          <w:sz w:val="32"/>
          <w:szCs w:val="32"/>
        </w:rPr>
        <w:t>。其中，基本支出</w:t>
      </w:r>
      <w:r>
        <w:rPr>
          <w:rFonts w:hint="eastAsia" w:ascii="仿宋_GB2312" w:hAnsi="仿宋" w:eastAsia="仿宋_GB2312"/>
          <w:color w:val="000000" w:themeColor="text1"/>
          <w:sz w:val="32"/>
          <w:szCs w:val="32"/>
          <w:lang w:val="en-US" w:eastAsia="zh-CN"/>
        </w:rPr>
        <w:t>535.82</w:t>
      </w:r>
      <w:r>
        <w:rPr>
          <w:rFonts w:hint="eastAsia" w:ascii="仿宋_GB2312" w:hAnsi="仿宋" w:eastAsia="仿宋_GB2312"/>
          <w:color w:val="000000" w:themeColor="text1"/>
          <w:sz w:val="32"/>
          <w:szCs w:val="32"/>
        </w:rPr>
        <w:t>万元，占</w:t>
      </w:r>
      <w:r>
        <w:rPr>
          <w:rFonts w:hint="eastAsia" w:ascii="仿宋_GB2312" w:hAnsi="仿宋" w:eastAsia="仿宋_GB2312"/>
          <w:color w:val="000000" w:themeColor="text1"/>
          <w:sz w:val="32"/>
          <w:szCs w:val="32"/>
          <w:lang w:val="en-US" w:eastAsia="zh-CN"/>
        </w:rPr>
        <w:t>67.14%</w:t>
      </w:r>
      <w:r>
        <w:rPr>
          <w:rFonts w:hint="eastAsia" w:ascii="仿宋_GB2312" w:hAnsi="仿宋" w:eastAsia="仿宋_GB2312"/>
          <w:color w:val="000000" w:themeColor="text1"/>
          <w:sz w:val="32"/>
          <w:szCs w:val="32"/>
        </w:rPr>
        <w:t>，主要用于保障机构日常运转、完成日常工作任务人员经费</w:t>
      </w:r>
      <w:r>
        <w:rPr>
          <w:rFonts w:hint="eastAsia" w:ascii="仿宋_GB2312" w:hAnsi="仿宋" w:eastAsia="仿宋_GB2312"/>
          <w:color w:val="000000" w:themeColor="text1"/>
          <w:sz w:val="32"/>
          <w:szCs w:val="32"/>
          <w:lang w:eastAsia="zh-CN"/>
        </w:rPr>
        <w:t>支出</w:t>
      </w:r>
      <w:r>
        <w:rPr>
          <w:rFonts w:hint="eastAsia" w:ascii="仿宋_GB2312" w:hAnsi="仿宋" w:eastAsia="仿宋_GB2312"/>
          <w:color w:val="000000" w:themeColor="text1"/>
          <w:sz w:val="32"/>
          <w:szCs w:val="32"/>
        </w:rPr>
        <w:t>；项目支出</w:t>
      </w:r>
      <w:r>
        <w:rPr>
          <w:rFonts w:hint="eastAsia" w:ascii="仿宋_GB2312" w:hAnsi="仿宋" w:eastAsia="仿宋_GB2312"/>
          <w:color w:val="000000" w:themeColor="text1"/>
          <w:sz w:val="32"/>
          <w:szCs w:val="32"/>
          <w:lang w:val="en-US" w:eastAsia="zh-CN"/>
        </w:rPr>
        <w:t>262.24</w:t>
      </w:r>
      <w:r>
        <w:rPr>
          <w:rFonts w:hint="eastAsia" w:ascii="仿宋_GB2312" w:hAnsi="仿宋" w:eastAsia="仿宋_GB2312"/>
          <w:color w:val="000000" w:themeColor="text1"/>
          <w:sz w:val="32"/>
          <w:szCs w:val="32"/>
        </w:rPr>
        <w:t>万元，占</w:t>
      </w:r>
      <w:r>
        <w:rPr>
          <w:rFonts w:hint="eastAsia" w:ascii="仿宋_GB2312" w:hAnsi="仿宋" w:eastAsia="仿宋_GB2312"/>
          <w:color w:val="000000" w:themeColor="text1"/>
          <w:sz w:val="32"/>
          <w:szCs w:val="32"/>
          <w:lang w:val="en-US" w:eastAsia="zh-CN"/>
        </w:rPr>
        <w:t>32.86%</w:t>
      </w:r>
      <w:r>
        <w:rPr>
          <w:rFonts w:hint="eastAsia" w:ascii="仿宋_GB2312" w:hAnsi="仿宋" w:eastAsia="仿宋_GB2312"/>
          <w:color w:val="000000" w:themeColor="text1"/>
          <w:sz w:val="32"/>
          <w:szCs w:val="32"/>
        </w:rPr>
        <w:t>，主要用于其他市场监督管理事务</w:t>
      </w:r>
      <w:r>
        <w:rPr>
          <w:rFonts w:hint="eastAsia" w:ascii="仿宋_GB2312" w:hAnsi="仿宋" w:eastAsia="仿宋_GB2312"/>
          <w:color w:val="000000" w:themeColor="text1"/>
          <w:sz w:val="32"/>
          <w:szCs w:val="32"/>
          <w:lang w:eastAsia="zh-CN"/>
        </w:rPr>
        <w:t>支出</w:t>
      </w:r>
      <w:r>
        <w:rPr>
          <w:rFonts w:hint="eastAsia" w:ascii="仿宋_GB2312" w:hAnsi="仿宋" w:eastAsia="仿宋_GB2312"/>
          <w:color w:val="000000" w:themeColor="text1"/>
          <w:sz w:val="32"/>
          <w:szCs w:val="32"/>
        </w:rPr>
        <w:t>。</w:t>
      </w:r>
    </w:p>
    <w:p>
      <w:pPr>
        <w:adjustRightInd w:val="0"/>
        <w:snapToGrid w:val="0"/>
        <w:spacing w:line="600" w:lineRule="exact"/>
        <w:ind w:firstLine="640" w:firstLineChars="200"/>
        <w:rPr>
          <w:rFonts w:ascii="黑体" w:hAnsi="仿宋" w:eastAsia="黑体" w:cs="宋体"/>
          <w:color w:val="000000"/>
          <w:kern w:val="0"/>
          <w:sz w:val="32"/>
          <w:szCs w:val="32"/>
        </w:rPr>
      </w:pPr>
      <w:r>
        <w:rPr>
          <w:rFonts w:hint="eastAsia" w:ascii="黑体" w:hAnsi="仿宋" w:eastAsia="黑体" w:cs="宋体"/>
          <w:color w:val="000000"/>
          <w:kern w:val="0"/>
          <w:sz w:val="32"/>
          <w:szCs w:val="32"/>
        </w:rPr>
        <w:t>四、关于</w:t>
      </w:r>
      <w:r>
        <w:rPr>
          <w:rFonts w:hint="eastAsia" w:ascii="黑体" w:hAnsi="仿宋" w:eastAsia="黑体" w:cs="宋体"/>
          <w:color w:val="000000"/>
          <w:kern w:val="0"/>
          <w:sz w:val="32"/>
          <w:szCs w:val="32"/>
          <w:lang w:eastAsia="zh-CN"/>
        </w:rPr>
        <w:t>2024</w:t>
      </w:r>
      <w:r>
        <w:rPr>
          <w:rFonts w:hint="eastAsia" w:ascii="黑体" w:hAnsi="仿宋" w:eastAsia="黑体" w:cs="宋体"/>
          <w:color w:val="000000"/>
          <w:kern w:val="0"/>
          <w:sz w:val="32"/>
          <w:szCs w:val="32"/>
        </w:rPr>
        <w:t>年财政拨款收支总表的说明</w:t>
      </w:r>
    </w:p>
    <w:p>
      <w:pPr>
        <w:pStyle w:val="4"/>
        <w:adjustRightInd w:val="0"/>
        <w:snapToGrid w:val="0"/>
        <w:spacing w:before="0" w:beforeAutospacing="0" w:after="0" w:afterAutospacing="0" w:line="600" w:lineRule="exact"/>
        <w:ind w:firstLine="640" w:firstLineChars="200"/>
        <w:rPr>
          <w:rFonts w:ascii="仿宋_GB2312" w:hAnsi="仿宋" w:eastAsia="仿宋_GB2312" w:cs="Times New Roman"/>
          <w:color w:val="auto"/>
          <w:kern w:val="2"/>
          <w:sz w:val="32"/>
          <w:szCs w:val="32"/>
        </w:rPr>
      </w:pPr>
      <w:r>
        <w:rPr>
          <w:rFonts w:hint="eastAsia" w:ascii="仿宋_GB2312" w:hAnsi="仿宋" w:eastAsia="仿宋_GB2312" w:cs="Times New Roman"/>
          <w:kern w:val="2"/>
          <w:sz w:val="32"/>
          <w:szCs w:val="32"/>
          <w:lang w:eastAsia="zh-CN"/>
        </w:rPr>
        <w:t>淮南市食品药品检验中心2024</w:t>
      </w:r>
      <w:r>
        <w:rPr>
          <w:rFonts w:hint="eastAsia" w:ascii="仿宋_GB2312" w:hAnsi="仿宋" w:eastAsia="仿宋_GB2312" w:cs="Times New Roman"/>
          <w:kern w:val="2"/>
          <w:sz w:val="32"/>
          <w:szCs w:val="32"/>
        </w:rPr>
        <w:t>年财政拨款收支预算</w:t>
      </w:r>
      <w:r>
        <w:rPr>
          <w:rFonts w:hint="eastAsia" w:ascii="仿宋_GB2312" w:hAnsi="仿宋" w:eastAsia="仿宋_GB2312" w:cs="Times New Roman"/>
          <w:kern w:val="2"/>
          <w:sz w:val="32"/>
          <w:szCs w:val="32"/>
          <w:lang w:val="en-US" w:eastAsia="zh-CN"/>
        </w:rPr>
        <w:t>798.06</w:t>
      </w:r>
      <w:r>
        <w:rPr>
          <w:rFonts w:hint="eastAsia" w:ascii="仿宋_GB2312" w:hAnsi="仿宋" w:eastAsia="仿宋_GB2312" w:cs="Times New Roman"/>
          <w:kern w:val="2"/>
          <w:sz w:val="32"/>
          <w:szCs w:val="32"/>
        </w:rPr>
        <w:t>万元。收入按资金来源分为：一般公共预算拨款</w:t>
      </w:r>
      <w:r>
        <w:rPr>
          <w:rFonts w:hint="eastAsia" w:ascii="仿宋_GB2312" w:hAnsi="仿宋" w:eastAsia="仿宋_GB2312" w:cs="Times New Roman"/>
          <w:kern w:val="2"/>
          <w:sz w:val="32"/>
          <w:szCs w:val="32"/>
          <w:lang w:val="en-US" w:eastAsia="zh-CN"/>
        </w:rPr>
        <w:t>798.06</w:t>
      </w:r>
      <w:r>
        <w:rPr>
          <w:rFonts w:hint="eastAsia" w:ascii="仿宋_GB2312" w:hAnsi="仿宋" w:eastAsia="仿宋_GB2312" w:cs="Times New Roman"/>
          <w:kern w:val="2"/>
          <w:sz w:val="32"/>
          <w:szCs w:val="32"/>
        </w:rPr>
        <w:t>万元；按资金年度分为：本年财政拨款收入</w:t>
      </w:r>
      <w:r>
        <w:rPr>
          <w:rFonts w:hint="eastAsia" w:ascii="仿宋_GB2312" w:hAnsi="仿宋" w:eastAsia="仿宋_GB2312" w:cs="Times New Roman"/>
          <w:kern w:val="2"/>
          <w:sz w:val="32"/>
          <w:szCs w:val="32"/>
          <w:lang w:val="en-US" w:eastAsia="zh-CN"/>
        </w:rPr>
        <w:t>798.06</w:t>
      </w:r>
      <w:r>
        <w:rPr>
          <w:rFonts w:hint="eastAsia" w:ascii="仿宋_GB2312" w:hAnsi="仿宋" w:eastAsia="仿宋_GB2312" w:cs="Times New Roman"/>
          <w:kern w:val="2"/>
          <w:sz w:val="32"/>
          <w:szCs w:val="32"/>
        </w:rPr>
        <w:t>万元，上年结转收入</w:t>
      </w:r>
      <w:r>
        <w:rPr>
          <w:rFonts w:hint="eastAsia" w:ascii="仿宋_GB2312" w:hAnsi="仿宋" w:eastAsia="仿宋_GB2312" w:cs="Times New Roman"/>
          <w:kern w:val="2"/>
          <w:sz w:val="32"/>
          <w:szCs w:val="32"/>
          <w:lang w:val="en-US" w:eastAsia="zh-CN"/>
        </w:rPr>
        <w:t>0</w:t>
      </w:r>
      <w:r>
        <w:rPr>
          <w:rFonts w:hint="eastAsia" w:ascii="仿宋_GB2312" w:hAnsi="仿宋" w:eastAsia="仿宋_GB2312" w:cs="Times New Roman"/>
          <w:kern w:val="2"/>
          <w:sz w:val="32"/>
          <w:szCs w:val="32"/>
        </w:rPr>
        <w:t>万元。</w:t>
      </w:r>
      <w:r>
        <w:rPr>
          <w:rFonts w:hint="eastAsia" w:ascii="仿宋_GB2312" w:hAnsi="仿宋" w:eastAsia="仿宋_GB2312" w:cs="Times New Roman"/>
          <w:color w:val="auto"/>
          <w:kern w:val="2"/>
          <w:sz w:val="32"/>
          <w:szCs w:val="32"/>
        </w:rPr>
        <w:t>支出按功能分类分为：</w:t>
      </w:r>
      <w:r>
        <w:rPr>
          <w:rFonts w:hint="eastAsia" w:ascii="仿宋_GB2312" w:hAnsi="仿宋" w:eastAsia="仿宋_GB2312"/>
          <w:sz w:val="32"/>
          <w:szCs w:val="32"/>
        </w:rPr>
        <w:t>一般公共服务支出</w:t>
      </w:r>
      <w:r>
        <w:rPr>
          <w:rFonts w:hint="eastAsia" w:ascii="仿宋_GB2312" w:hAnsi="仿宋" w:eastAsia="仿宋_GB2312"/>
          <w:sz w:val="32"/>
          <w:szCs w:val="32"/>
          <w:lang w:val="en-US" w:eastAsia="zh-CN"/>
        </w:rPr>
        <w:t>653.43</w:t>
      </w:r>
      <w:r>
        <w:rPr>
          <w:rFonts w:hint="eastAsia" w:ascii="仿宋_GB2312" w:hAnsi="仿宋" w:eastAsia="仿宋_GB2312"/>
          <w:sz w:val="32"/>
          <w:szCs w:val="32"/>
        </w:rPr>
        <w:t>万元</w:t>
      </w:r>
      <w:r>
        <w:rPr>
          <w:rFonts w:hint="eastAsia" w:ascii="仿宋_GB2312" w:hAnsi="仿宋" w:eastAsia="仿宋_GB2312" w:cs="Times New Roman"/>
          <w:color w:val="8DB3E2" w:themeColor="text2" w:themeTint="66"/>
          <w:kern w:val="2"/>
          <w:sz w:val="32"/>
          <w:szCs w:val="32"/>
        </w:rPr>
        <w:t>，</w:t>
      </w:r>
      <w:r>
        <w:rPr>
          <w:rFonts w:hint="eastAsia" w:ascii="仿宋_GB2312" w:hAnsi="仿宋" w:eastAsia="仿宋_GB2312" w:cs="Times New Roman"/>
          <w:color w:val="auto"/>
          <w:kern w:val="2"/>
          <w:sz w:val="32"/>
          <w:szCs w:val="32"/>
        </w:rPr>
        <w:t>占</w:t>
      </w:r>
      <w:r>
        <w:rPr>
          <w:rFonts w:hint="eastAsia" w:ascii="仿宋_GB2312" w:hAnsi="仿宋" w:eastAsia="仿宋_GB2312" w:cs="Times New Roman"/>
          <w:color w:val="auto"/>
          <w:kern w:val="2"/>
          <w:sz w:val="32"/>
          <w:szCs w:val="32"/>
          <w:lang w:val="en-US" w:eastAsia="zh-CN"/>
        </w:rPr>
        <w:t>81.88%</w:t>
      </w:r>
      <w:r>
        <w:rPr>
          <w:rFonts w:hint="eastAsia" w:ascii="仿宋_GB2312" w:hAnsi="仿宋" w:eastAsia="仿宋_GB2312" w:cs="Times New Roman"/>
          <w:color w:val="auto"/>
          <w:kern w:val="2"/>
          <w:sz w:val="32"/>
          <w:szCs w:val="32"/>
        </w:rPr>
        <w:t>；</w:t>
      </w:r>
      <w:r>
        <w:rPr>
          <w:rFonts w:hint="eastAsia" w:ascii="仿宋_GB2312" w:hAnsi="仿宋" w:eastAsia="仿宋_GB2312"/>
          <w:color w:val="auto"/>
          <w:sz w:val="32"/>
          <w:szCs w:val="32"/>
        </w:rPr>
        <w:t>社会保障和就业支出</w:t>
      </w:r>
      <w:r>
        <w:rPr>
          <w:rFonts w:hint="eastAsia" w:ascii="仿宋_GB2312" w:hAnsi="仿宋" w:eastAsia="仿宋_GB2312"/>
          <w:color w:val="auto"/>
          <w:sz w:val="32"/>
          <w:szCs w:val="32"/>
          <w:lang w:val="en-US" w:eastAsia="zh-CN"/>
        </w:rPr>
        <w:t>71.57</w:t>
      </w:r>
      <w:r>
        <w:rPr>
          <w:rFonts w:hint="eastAsia" w:ascii="仿宋_GB2312" w:hAnsi="仿宋" w:eastAsia="仿宋_GB2312"/>
          <w:color w:val="auto"/>
          <w:sz w:val="32"/>
          <w:szCs w:val="32"/>
        </w:rPr>
        <w:t>万元</w:t>
      </w:r>
      <w:r>
        <w:rPr>
          <w:rFonts w:hint="eastAsia" w:ascii="仿宋_GB2312" w:hAnsi="仿宋" w:eastAsia="仿宋_GB2312" w:cs="Times New Roman"/>
          <w:color w:val="auto"/>
          <w:kern w:val="2"/>
          <w:sz w:val="32"/>
          <w:szCs w:val="32"/>
        </w:rPr>
        <w:t>，占</w:t>
      </w:r>
      <w:r>
        <w:rPr>
          <w:rFonts w:hint="eastAsia" w:ascii="仿宋_GB2312" w:hAnsi="仿宋" w:eastAsia="仿宋_GB2312" w:cs="Times New Roman"/>
          <w:color w:val="auto"/>
          <w:kern w:val="2"/>
          <w:sz w:val="32"/>
          <w:szCs w:val="32"/>
          <w:lang w:val="en-US" w:eastAsia="zh-CN"/>
        </w:rPr>
        <w:t>8.97%</w:t>
      </w:r>
      <w:r>
        <w:rPr>
          <w:rFonts w:hint="eastAsia" w:ascii="仿宋_GB2312" w:hAnsi="仿宋" w:eastAsia="仿宋_GB2312" w:cs="Times New Roman"/>
          <w:color w:val="auto"/>
          <w:kern w:val="2"/>
          <w:sz w:val="32"/>
          <w:szCs w:val="32"/>
        </w:rPr>
        <w:t>；</w:t>
      </w:r>
      <w:r>
        <w:rPr>
          <w:rFonts w:hint="eastAsia" w:ascii="仿宋_GB2312" w:hAnsi="仿宋" w:eastAsia="仿宋_GB2312" w:cs="Times New Roman"/>
          <w:color w:val="auto"/>
          <w:kern w:val="2"/>
          <w:sz w:val="32"/>
          <w:szCs w:val="32"/>
          <w:lang w:val="en-US" w:eastAsia="zh-CN"/>
        </w:rPr>
        <w:t>卫生健康支出14.85万元，占1.86%、</w:t>
      </w:r>
      <w:r>
        <w:rPr>
          <w:rFonts w:hint="eastAsia" w:ascii="仿宋_GB2312" w:hAnsi="仿宋" w:eastAsia="仿宋_GB2312"/>
          <w:color w:val="auto"/>
          <w:sz w:val="32"/>
          <w:szCs w:val="32"/>
        </w:rPr>
        <w:t>住房保障支出</w:t>
      </w:r>
      <w:r>
        <w:rPr>
          <w:rFonts w:hint="eastAsia" w:ascii="仿宋_GB2312" w:hAnsi="仿宋" w:eastAsia="仿宋_GB2312"/>
          <w:color w:val="auto"/>
          <w:sz w:val="32"/>
          <w:szCs w:val="32"/>
          <w:lang w:val="en-US" w:eastAsia="zh-CN"/>
        </w:rPr>
        <w:t>58.21</w:t>
      </w:r>
      <w:r>
        <w:rPr>
          <w:rFonts w:hint="eastAsia" w:ascii="仿宋_GB2312" w:hAnsi="仿宋" w:eastAsia="仿宋_GB2312"/>
          <w:color w:val="auto"/>
          <w:sz w:val="32"/>
          <w:szCs w:val="32"/>
        </w:rPr>
        <w:t>万元</w:t>
      </w:r>
      <w:r>
        <w:rPr>
          <w:rFonts w:hint="eastAsia" w:ascii="仿宋_GB2312" w:hAnsi="仿宋" w:eastAsia="仿宋_GB2312" w:cs="Times New Roman"/>
          <w:color w:val="auto"/>
          <w:kern w:val="2"/>
          <w:sz w:val="32"/>
          <w:szCs w:val="32"/>
        </w:rPr>
        <w:t>，占</w:t>
      </w:r>
      <w:r>
        <w:rPr>
          <w:rFonts w:hint="eastAsia" w:ascii="仿宋_GB2312" w:hAnsi="仿宋" w:eastAsia="仿宋_GB2312" w:cs="Times New Roman"/>
          <w:color w:val="auto"/>
          <w:kern w:val="2"/>
          <w:sz w:val="32"/>
          <w:szCs w:val="32"/>
          <w:lang w:val="en-US" w:eastAsia="zh-CN"/>
        </w:rPr>
        <w:t>7.29%</w:t>
      </w:r>
      <w:r>
        <w:rPr>
          <w:rFonts w:hint="eastAsia" w:ascii="仿宋_GB2312" w:hAnsi="仿宋" w:eastAsia="仿宋_GB2312" w:cs="Times New Roman"/>
          <w:color w:val="auto"/>
          <w:kern w:val="2"/>
          <w:sz w:val="32"/>
          <w:szCs w:val="32"/>
        </w:rPr>
        <w:t>。</w:t>
      </w:r>
    </w:p>
    <w:p>
      <w:pPr>
        <w:pStyle w:val="4"/>
        <w:adjustRightInd w:val="0"/>
        <w:snapToGrid w:val="0"/>
        <w:spacing w:before="0" w:beforeAutospacing="0" w:after="0" w:afterAutospacing="0" w:line="600" w:lineRule="exact"/>
        <w:ind w:firstLine="640" w:firstLineChars="200"/>
        <w:rPr>
          <w:rFonts w:ascii="黑体" w:hAnsi="仿宋" w:eastAsia="黑体"/>
          <w:color w:val="000000"/>
          <w:sz w:val="32"/>
          <w:szCs w:val="32"/>
        </w:rPr>
      </w:pPr>
      <w:r>
        <w:rPr>
          <w:rFonts w:hint="eastAsia" w:ascii="黑体" w:hAnsi="仿宋" w:eastAsia="黑体"/>
          <w:color w:val="000000"/>
          <w:sz w:val="32"/>
          <w:szCs w:val="32"/>
        </w:rPr>
        <w:t>五、关于</w:t>
      </w:r>
      <w:r>
        <w:rPr>
          <w:rFonts w:hint="eastAsia" w:ascii="黑体" w:hAnsi="仿宋" w:eastAsia="黑体"/>
          <w:color w:val="000000"/>
          <w:sz w:val="32"/>
          <w:szCs w:val="32"/>
          <w:lang w:eastAsia="zh-CN"/>
        </w:rPr>
        <w:t>2024</w:t>
      </w:r>
      <w:r>
        <w:rPr>
          <w:rFonts w:hint="eastAsia" w:ascii="黑体" w:hAnsi="仿宋" w:eastAsia="黑体"/>
          <w:color w:val="000000"/>
          <w:sz w:val="32"/>
          <w:szCs w:val="32"/>
        </w:rPr>
        <w:t>年一般公共预算支出表的说明</w:t>
      </w:r>
    </w:p>
    <w:p>
      <w:pPr>
        <w:pStyle w:val="4"/>
        <w:adjustRightInd w:val="0"/>
        <w:snapToGrid w:val="0"/>
        <w:spacing w:before="0" w:beforeAutospacing="0" w:after="0" w:afterAutospacing="0" w:line="600" w:lineRule="exact"/>
        <w:ind w:firstLine="630" w:firstLineChars="196"/>
        <w:rPr>
          <w:rFonts w:ascii="楷体_GB2312" w:hAnsi="仿宋" w:eastAsia="楷体_GB2312" w:cs="Times New Roman"/>
          <w:b/>
          <w:kern w:val="2"/>
          <w:sz w:val="32"/>
          <w:szCs w:val="32"/>
        </w:rPr>
      </w:pPr>
      <w:r>
        <w:rPr>
          <w:rFonts w:hint="eastAsia" w:ascii="楷体_GB2312" w:hAnsi="仿宋" w:eastAsia="楷体_GB2312" w:cs="Times New Roman"/>
          <w:b/>
          <w:kern w:val="2"/>
          <w:sz w:val="32"/>
          <w:szCs w:val="32"/>
        </w:rPr>
        <w:t>（一）一般公共预算支出规模变化情况。</w:t>
      </w:r>
    </w:p>
    <w:p>
      <w:pPr>
        <w:adjustRightInd w:val="0"/>
        <w:snapToGrid w:val="0"/>
        <w:spacing w:line="600" w:lineRule="exact"/>
        <w:ind w:firstLine="640" w:firstLineChars="200"/>
        <w:rPr>
          <w:rFonts w:ascii="仿宋_GB2312" w:hAnsi="仿宋" w:eastAsia="仿宋_GB2312" w:cs="Times New Roman"/>
          <w:kern w:val="2"/>
          <w:sz w:val="32"/>
          <w:szCs w:val="32"/>
        </w:rPr>
      </w:pPr>
      <w:r>
        <w:rPr>
          <w:rFonts w:hint="eastAsia" w:ascii="仿宋_GB2312" w:hAnsi="仿宋" w:eastAsia="仿宋_GB2312" w:cs="Times New Roman"/>
          <w:kern w:val="2"/>
          <w:sz w:val="32"/>
          <w:szCs w:val="32"/>
          <w:lang w:eastAsia="zh-CN"/>
        </w:rPr>
        <w:t>淮南市食品药品检验中心2024</w:t>
      </w:r>
      <w:r>
        <w:rPr>
          <w:rFonts w:hint="eastAsia" w:ascii="仿宋_GB2312" w:hAnsi="仿宋" w:eastAsia="仿宋_GB2312" w:cs="Times New Roman"/>
          <w:kern w:val="2"/>
          <w:sz w:val="32"/>
          <w:szCs w:val="32"/>
        </w:rPr>
        <w:t>年一般公共预算支出</w:t>
      </w:r>
      <w:r>
        <w:rPr>
          <w:rFonts w:hint="eastAsia" w:ascii="仿宋_GB2312" w:hAnsi="仿宋" w:eastAsia="仿宋_GB2312"/>
          <w:sz w:val="32"/>
          <w:szCs w:val="32"/>
          <w:lang w:val="en-US" w:eastAsia="zh-CN"/>
        </w:rPr>
        <w:t>798.06</w:t>
      </w:r>
      <w:r>
        <w:rPr>
          <w:rFonts w:hint="eastAsia" w:ascii="仿宋_GB2312" w:hAnsi="仿宋" w:eastAsia="仿宋_GB2312" w:cs="Times New Roman"/>
          <w:kern w:val="2"/>
          <w:sz w:val="32"/>
          <w:szCs w:val="32"/>
        </w:rPr>
        <w:t>万元，</w:t>
      </w:r>
      <w:r>
        <w:rPr>
          <w:rFonts w:hint="eastAsia" w:ascii="仿宋_GB2312" w:hAnsi="仿宋" w:eastAsia="仿宋_GB2312"/>
          <w:sz w:val="32"/>
          <w:szCs w:val="32"/>
        </w:rPr>
        <w:t>比</w:t>
      </w:r>
      <w:r>
        <w:rPr>
          <w:rFonts w:hint="eastAsia" w:ascii="仿宋_GB2312" w:hAnsi="仿宋" w:eastAsia="仿宋_GB2312"/>
          <w:sz w:val="32"/>
          <w:szCs w:val="32"/>
          <w:lang w:eastAsia="zh-CN"/>
        </w:rPr>
        <w:t>2023</w:t>
      </w:r>
      <w:r>
        <w:rPr>
          <w:rFonts w:hint="eastAsia" w:ascii="仿宋_GB2312" w:hAnsi="仿宋" w:eastAsia="仿宋_GB2312"/>
          <w:sz w:val="32"/>
          <w:szCs w:val="32"/>
        </w:rPr>
        <w:t>年预算增加</w:t>
      </w:r>
      <w:r>
        <w:rPr>
          <w:rFonts w:hint="eastAsia" w:ascii="仿宋_GB2312" w:hAnsi="仿宋" w:eastAsia="仿宋_GB2312"/>
          <w:sz w:val="32"/>
          <w:szCs w:val="32"/>
          <w:lang w:val="en-US" w:eastAsia="zh-CN"/>
        </w:rPr>
        <w:t>9.11</w:t>
      </w:r>
      <w:r>
        <w:rPr>
          <w:rFonts w:hint="eastAsia" w:ascii="仿宋_GB2312" w:hAnsi="仿宋" w:eastAsia="仿宋_GB2312"/>
          <w:sz w:val="32"/>
          <w:szCs w:val="32"/>
        </w:rPr>
        <w:t>万元，增长</w:t>
      </w:r>
      <w:r>
        <w:rPr>
          <w:rFonts w:hint="eastAsia" w:ascii="仿宋_GB2312" w:hAnsi="仿宋" w:eastAsia="仿宋_GB2312"/>
          <w:sz w:val="32"/>
          <w:szCs w:val="32"/>
          <w:lang w:val="en-US" w:eastAsia="zh-CN"/>
        </w:rPr>
        <w:t>1.15%</w:t>
      </w:r>
      <w:r>
        <w:rPr>
          <w:rFonts w:hint="eastAsia" w:ascii="仿宋_GB2312" w:hAnsi="仿宋" w:eastAsia="仿宋_GB2312" w:cs="Times New Roman"/>
          <w:kern w:val="2"/>
          <w:sz w:val="32"/>
          <w:szCs w:val="32"/>
        </w:rPr>
        <w:t>，主要原因</w:t>
      </w:r>
      <w:r>
        <w:rPr>
          <w:rFonts w:hint="eastAsia" w:ascii="仿宋_GB2312" w:hAnsi="仿宋" w:eastAsia="仿宋_GB2312" w:cs="Times New Roman"/>
          <w:kern w:val="2"/>
          <w:sz w:val="32"/>
          <w:szCs w:val="32"/>
          <w:lang w:eastAsia="zh-CN"/>
        </w:rPr>
        <w:t>：</w:t>
      </w:r>
      <w:r>
        <w:rPr>
          <w:rFonts w:hint="eastAsia" w:ascii="仿宋_GB2312" w:hAnsi="仿宋" w:eastAsia="仿宋_GB2312"/>
          <w:sz w:val="32"/>
          <w:szCs w:val="32"/>
        </w:rPr>
        <w:t>一般公共预算拨款收入</w:t>
      </w:r>
      <w:r>
        <w:rPr>
          <w:rFonts w:hint="eastAsia" w:ascii="仿宋_GB2312" w:hAnsi="仿宋" w:eastAsia="仿宋_GB2312"/>
          <w:sz w:val="32"/>
          <w:szCs w:val="32"/>
          <w:lang w:eastAsia="zh-CN"/>
        </w:rPr>
        <w:t>增加</w:t>
      </w:r>
      <w:r>
        <w:rPr>
          <w:rFonts w:hint="eastAsia" w:ascii="仿宋_GB2312" w:hAnsi="仿宋" w:eastAsia="仿宋_GB2312"/>
          <w:sz w:val="32"/>
          <w:szCs w:val="32"/>
        </w:rPr>
        <w:t>。</w:t>
      </w:r>
    </w:p>
    <w:p>
      <w:pPr>
        <w:pStyle w:val="4"/>
        <w:adjustRightInd w:val="0"/>
        <w:snapToGrid w:val="0"/>
        <w:spacing w:before="0" w:beforeAutospacing="0" w:after="0" w:afterAutospacing="0" w:line="600" w:lineRule="exact"/>
        <w:ind w:firstLine="630" w:firstLineChars="196"/>
        <w:rPr>
          <w:rFonts w:ascii="楷体_GB2312" w:hAnsi="仿宋" w:eastAsia="楷体_GB2312" w:cs="Times New Roman"/>
          <w:b/>
          <w:kern w:val="2"/>
          <w:sz w:val="32"/>
          <w:szCs w:val="32"/>
        </w:rPr>
      </w:pPr>
      <w:r>
        <w:rPr>
          <w:rFonts w:hint="eastAsia" w:ascii="楷体_GB2312" w:hAnsi="仿宋" w:eastAsia="楷体_GB2312" w:cs="Times New Roman"/>
          <w:b/>
          <w:kern w:val="2"/>
          <w:sz w:val="32"/>
          <w:szCs w:val="32"/>
        </w:rPr>
        <w:t>（二）一般公共预算支出结构情况。</w:t>
      </w:r>
    </w:p>
    <w:p>
      <w:pPr>
        <w:pStyle w:val="4"/>
        <w:adjustRightInd w:val="0"/>
        <w:snapToGrid w:val="0"/>
        <w:spacing w:before="0" w:beforeAutospacing="0" w:after="0" w:afterAutospacing="0" w:line="600" w:lineRule="exact"/>
        <w:ind w:firstLine="640" w:firstLineChars="200"/>
        <w:rPr>
          <w:rFonts w:ascii="仿宋_GB2312" w:hAnsi="仿宋" w:eastAsia="仿宋_GB2312" w:cs="Times New Roman"/>
          <w:color w:val="auto"/>
          <w:kern w:val="2"/>
          <w:sz w:val="32"/>
          <w:szCs w:val="32"/>
        </w:rPr>
      </w:pPr>
      <w:r>
        <w:rPr>
          <w:rFonts w:hint="eastAsia" w:ascii="仿宋_GB2312" w:hAnsi="仿宋" w:eastAsia="仿宋_GB2312"/>
          <w:sz w:val="32"/>
          <w:szCs w:val="32"/>
        </w:rPr>
        <w:t>一般公共服务支出</w:t>
      </w:r>
      <w:r>
        <w:rPr>
          <w:rFonts w:hint="eastAsia" w:ascii="仿宋_GB2312" w:hAnsi="仿宋" w:eastAsia="仿宋_GB2312"/>
          <w:sz w:val="32"/>
          <w:szCs w:val="32"/>
          <w:lang w:val="en-US" w:eastAsia="zh-CN"/>
        </w:rPr>
        <w:t>653.43</w:t>
      </w:r>
      <w:r>
        <w:rPr>
          <w:rFonts w:hint="eastAsia" w:ascii="仿宋_GB2312" w:hAnsi="仿宋" w:eastAsia="仿宋_GB2312"/>
          <w:sz w:val="32"/>
          <w:szCs w:val="32"/>
        </w:rPr>
        <w:t>万元</w:t>
      </w:r>
      <w:r>
        <w:rPr>
          <w:rFonts w:hint="eastAsia" w:ascii="仿宋_GB2312" w:hAnsi="仿宋" w:eastAsia="仿宋_GB2312" w:cs="Times New Roman"/>
          <w:color w:val="8DB3E2" w:themeColor="text2" w:themeTint="66"/>
          <w:kern w:val="2"/>
          <w:sz w:val="32"/>
          <w:szCs w:val="32"/>
        </w:rPr>
        <w:t>，</w:t>
      </w:r>
      <w:r>
        <w:rPr>
          <w:rFonts w:hint="eastAsia" w:ascii="仿宋_GB2312" w:hAnsi="仿宋" w:eastAsia="仿宋_GB2312" w:cs="Times New Roman"/>
          <w:color w:val="auto"/>
          <w:kern w:val="2"/>
          <w:sz w:val="32"/>
          <w:szCs w:val="32"/>
        </w:rPr>
        <w:t>占</w:t>
      </w:r>
      <w:r>
        <w:rPr>
          <w:rFonts w:hint="eastAsia" w:ascii="仿宋_GB2312" w:hAnsi="仿宋" w:eastAsia="仿宋_GB2312" w:cs="Times New Roman"/>
          <w:color w:val="auto"/>
          <w:kern w:val="2"/>
          <w:sz w:val="32"/>
          <w:szCs w:val="32"/>
          <w:lang w:val="en-US" w:eastAsia="zh-CN"/>
        </w:rPr>
        <w:t>81.88%</w:t>
      </w:r>
      <w:r>
        <w:rPr>
          <w:rFonts w:hint="eastAsia" w:ascii="仿宋_GB2312" w:hAnsi="仿宋" w:eastAsia="仿宋_GB2312" w:cs="Times New Roman"/>
          <w:color w:val="auto"/>
          <w:kern w:val="2"/>
          <w:sz w:val="32"/>
          <w:szCs w:val="32"/>
        </w:rPr>
        <w:t>；</w:t>
      </w:r>
      <w:r>
        <w:rPr>
          <w:rFonts w:hint="eastAsia" w:ascii="仿宋_GB2312" w:hAnsi="仿宋" w:eastAsia="仿宋_GB2312"/>
          <w:color w:val="auto"/>
          <w:sz w:val="32"/>
          <w:szCs w:val="32"/>
        </w:rPr>
        <w:t>社会保障和就业支出</w:t>
      </w:r>
      <w:r>
        <w:rPr>
          <w:rFonts w:hint="eastAsia" w:ascii="仿宋_GB2312" w:hAnsi="仿宋" w:eastAsia="仿宋_GB2312"/>
          <w:color w:val="auto"/>
          <w:sz w:val="32"/>
          <w:szCs w:val="32"/>
          <w:lang w:val="en-US" w:eastAsia="zh-CN"/>
        </w:rPr>
        <w:t>71.57</w:t>
      </w:r>
      <w:r>
        <w:rPr>
          <w:rFonts w:hint="eastAsia" w:ascii="仿宋_GB2312" w:hAnsi="仿宋" w:eastAsia="仿宋_GB2312"/>
          <w:color w:val="auto"/>
          <w:sz w:val="32"/>
          <w:szCs w:val="32"/>
        </w:rPr>
        <w:t>万元</w:t>
      </w:r>
      <w:r>
        <w:rPr>
          <w:rFonts w:hint="eastAsia" w:ascii="仿宋_GB2312" w:hAnsi="仿宋" w:eastAsia="仿宋_GB2312" w:cs="Times New Roman"/>
          <w:color w:val="auto"/>
          <w:kern w:val="2"/>
          <w:sz w:val="32"/>
          <w:szCs w:val="32"/>
        </w:rPr>
        <w:t>，占</w:t>
      </w:r>
      <w:r>
        <w:rPr>
          <w:rFonts w:hint="eastAsia" w:ascii="仿宋_GB2312" w:hAnsi="仿宋" w:eastAsia="仿宋_GB2312" w:cs="Times New Roman"/>
          <w:color w:val="auto"/>
          <w:kern w:val="2"/>
          <w:sz w:val="32"/>
          <w:szCs w:val="32"/>
          <w:lang w:val="en-US" w:eastAsia="zh-CN"/>
        </w:rPr>
        <w:t>8.97%</w:t>
      </w:r>
      <w:r>
        <w:rPr>
          <w:rFonts w:hint="eastAsia" w:ascii="仿宋_GB2312" w:hAnsi="仿宋" w:eastAsia="仿宋_GB2312" w:cs="Times New Roman"/>
          <w:color w:val="auto"/>
          <w:kern w:val="2"/>
          <w:sz w:val="32"/>
          <w:szCs w:val="32"/>
        </w:rPr>
        <w:t>；</w:t>
      </w:r>
      <w:r>
        <w:rPr>
          <w:rFonts w:hint="eastAsia" w:ascii="仿宋_GB2312" w:hAnsi="仿宋" w:eastAsia="仿宋_GB2312" w:cs="Times New Roman"/>
          <w:color w:val="auto"/>
          <w:kern w:val="2"/>
          <w:sz w:val="32"/>
          <w:szCs w:val="32"/>
          <w:lang w:val="en-US" w:eastAsia="zh-CN"/>
        </w:rPr>
        <w:t>卫生健康支出14.85万元，占1.86%、</w:t>
      </w:r>
      <w:r>
        <w:rPr>
          <w:rFonts w:hint="eastAsia" w:ascii="仿宋_GB2312" w:hAnsi="仿宋" w:eastAsia="仿宋_GB2312"/>
          <w:color w:val="auto"/>
          <w:sz w:val="32"/>
          <w:szCs w:val="32"/>
        </w:rPr>
        <w:t>住房保障支出</w:t>
      </w:r>
      <w:r>
        <w:rPr>
          <w:rFonts w:hint="eastAsia" w:ascii="仿宋_GB2312" w:hAnsi="仿宋" w:eastAsia="仿宋_GB2312"/>
          <w:color w:val="auto"/>
          <w:sz w:val="32"/>
          <w:szCs w:val="32"/>
          <w:lang w:val="en-US" w:eastAsia="zh-CN"/>
        </w:rPr>
        <w:t>58.21</w:t>
      </w:r>
      <w:r>
        <w:rPr>
          <w:rFonts w:hint="eastAsia" w:ascii="仿宋_GB2312" w:hAnsi="仿宋" w:eastAsia="仿宋_GB2312"/>
          <w:color w:val="auto"/>
          <w:sz w:val="32"/>
          <w:szCs w:val="32"/>
        </w:rPr>
        <w:t>万元</w:t>
      </w:r>
      <w:r>
        <w:rPr>
          <w:rFonts w:hint="eastAsia" w:ascii="仿宋_GB2312" w:hAnsi="仿宋" w:eastAsia="仿宋_GB2312" w:cs="Times New Roman"/>
          <w:color w:val="auto"/>
          <w:kern w:val="2"/>
          <w:sz w:val="32"/>
          <w:szCs w:val="32"/>
        </w:rPr>
        <w:t>，占</w:t>
      </w:r>
      <w:r>
        <w:rPr>
          <w:rFonts w:hint="eastAsia" w:ascii="仿宋_GB2312" w:hAnsi="仿宋" w:eastAsia="仿宋_GB2312" w:cs="Times New Roman"/>
          <w:color w:val="auto"/>
          <w:kern w:val="2"/>
          <w:sz w:val="32"/>
          <w:szCs w:val="32"/>
          <w:lang w:val="en-US" w:eastAsia="zh-CN"/>
        </w:rPr>
        <w:t>7.29%</w:t>
      </w:r>
      <w:r>
        <w:rPr>
          <w:rFonts w:hint="eastAsia" w:ascii="仿宋_GB2312" w:hAnsi="仿宋" w:eastAsia="仿宋_GB2312" w:cs="Times New Roman"/>
          <w:color w:val="auto"/>
          <w:kern w:val="2"/>
          <w:sz w:val="32"/>
          <w:szCs w:val="32"/>
        </w:rPr>
        <w:t>。</w:t>
      </w:r>
    </w:p>
    <w:p>
      <w:pPr>
        <w:adjustRightInd w:val="0"/>
        <w:snapToGrid w:val="0"/>
        <w:spacing w:line="600" w:lineRule="exact"/>
        <w:ind w:firstLine="643" w:firstLineChars="200"/>
        <w:rPr>
          <w:rFonts w:ascii="楷体_GB2312" w:hAnsi="仿宋" w:eastAsia="楷体_GB2312"/>
          <w:b/>
          <w:color w:val="000000" w:themeColor="text1"/>
          <w:sz w:val="32"/>
          <w:szCs w:val="32"/>
        </w:rPr>
      </w:pPr>
      <w:r>
        <w:rPr>
          <w:rFonts w:hint="eastAsia" w:ascii="楷体_GB2312" w:hAnsi="仿宋" w:eastAsia="楷体_GB2312"/>
          <w:b/>
          <w:color w:val="000000" w:themeColor="text1"/>
          <w:sz w:val="32"/>
          <w:szCs w:val="32"/>
        </w:rPr>
        <w:t>（三）一般公共预算支出具体使用情况。</w:t>
      </w:r>
    </w:p>
    <w:p>
      <w:pPr>
        <w:adjustRightInd w:val="0"/>
        <w:snapToGrid w:val="0"/>
        <w:spacing w:line="600" w:lineRule="exact"/>
        <w:ind w:firstLine="643" w:firstLineChars="200"/>
        <w:rPr>
          <w:rFonts w:hint="default" w:ascii="仿宋_GB2312" w:hAnsi="仿宋" w:eastAsia="仿宋_GB2312"/>
          <w:color w:val="000000" w:themeColor="text1"/>
          <w:sz w:val="32"/>
          <w:szCs w:val="32"/>
          <w:lang w:val="en-US" w:eastAsia="zh-CN"/>
        </w:rPr>
      </w:pPr>
      <w:r>
        <w:rPr>
          <w:rFonts w:ascii="仿宋_GB2312" w:hAnsi="仿宋" w:eastAsia="仿宋_GB2312"/>
          <w:b/>
          <w:color w:val="000000" w:themeColor="text1"/>
          <w:sz w:val="32"/>
          <w:szCs w:val="32"/>
        </w:rPr>
        <w:t>1.</w:t>
      </w:r>
      <w:r>
        <w:rPr>
          <w:rFonts w:hint="eastAsia" w:ascii="仿宋_GB2312" w:hAnsi="仿宋" w:eastAsia="仿宋_GB2312"/>
          <w:b/>
          <w:color w:val="000000" w:themeColor="text1"/>
          <w:sz w:val="32"/>
          <w:szCs w:val="32"/>
        </w:rPr>
        <w:t>一般公共服务支出（类）市场监督管理事务（款）药品事务（项）</w:t>
      </w:r>
      <w:r>
        <w:rPr>
          <w:rFonts w:hint="eastAsia" w:ascii="仿宋_GB2312" w:hAnsi="仿宋" w:eastAsia="仿宋_GB2312"/>
          <w:color w:val="000000" w:themeColor="text1"/>
          <w:sz w:val="32"/>
          <w:szCs w:val="32"/>
          <w:lang w:eastAsia="zh-CN"/>
        </w:rPr>
        <w:t>2024</w:t>
      </w:r>
      <w:r>
        <w:rPr>
          <w:rFonts w:hint="eastAsia" w:ascii="仿宋_GB2312" w:hAnsi="仿宋" w:eastAsia="仿宋_GB2312"/>
          <w:color w:val="000000" w:themeColor="text1"/>
          <w:sz w:val="32"/>
          <w:szCs w:val="32"/>
        </w:rPr>
        <w:t>年预算</w:t>
      </w:r>
      <w:r>
        <w:rPr>
          <w:rFonts w:hint="eastAsia" w:ascii="仿宋_GB2312" w:hAnsi="仿宋" w:eastAsia="仿宋_GB2312"/>
          <w:color w:val="000000" w:themeColor="text1"/>
          <w:sz w:val="32"/>
          <w:szCs w:val="32"/>
          <w:lang w:val="en-US" w:eastAsia="zh-CN"/>
        </w:rPr>
        <w:t>211.20</w:t>
      </w:r>
      <w:r>
        <w:rPr>
          <w:rFonts w:hint="eastAsia" w:ascii="仿宋_GB2312" w:hAnsi="仿宋" w:eastAsia="仿宋_GB2312"/>
          <w:color w:val="000000" w:themeColor="text1"/>
          <w:sz w:val="32"/>
          <w:szCs w:val="32"/>
        </w:rPr>
        <w:t>万元，比</w:t>
      </w:r>
      <w:r>
        <w:rPr>
          <w:rFonts w:hint="eastAsia" w:ascii="仿宋_GB2312" w:hAnsi="仿宋" w:eastAsia="仿宋_GB2312"/>
          <w:color w:val="000000" w:themeColor="text1"/>
          <w:sz w:val="32"/>
          <w:szCs w:val="32"/>
          <w:lang w:eastAsia="zh-CN"/>
        </w:rPr>
        <w:t>2023</w:t>
      </w:r>
      <w:r>
        <w:rPr>
          <w:rFonts w:hint="eastAsia" w:ascii="仿宋_GB2312" w:hAnsi="仿宋" w:eastAsia="仿宋_GB2312"/>
          <w:color w:val="000000" w:themeColor="text1"/>
          <w:sz w:val="32"/>
          <w:szCs w:val="32"/>
        </w:rPr>
        <w:t>年预算增加</w:t>
      </w:r>
      <w:r>
        <w:rPr>
          <w:rFonts w:hint="eastAsia" w:ascii="仿宋_GB2312" w:hAnsi="仿宋" w:eastAsia="仿宋_GB2312"/>
          <w:color w:val="000000" w:themeColor="text1"/>
          <w:sz w:val="32"/>
          <w:szCs w:val="32"/>
          <w:lang w:val="en-US" w:eastAsia="zh-CN"/>
        </w:rPr>
        <w:t>211.20</w:t>
      </w:r>
      <w:r>
        <w:rPr>
          <w:rFonts w:hint="eastAsia" w:ascii="仿宋_GB2312" w:hAnsi="仿宋" w:eastAsia="仿宋_GB2312"/>
          <w:color w:val="000000" w:themeColor="text1"/>
          <w:sz w:val="32"/>
          <w:szCs w:val="32"/>
        </w:rPr>
        <w:t>万元，增长</w:t>
      </w:r>
      <w:r>
        <w:rPr>
          <w:rFonts w:hint="eastAsia" w:ascii="仿宋_GB2312" w:hAnsi="仿宋" w:eastAsia="仿宋_GB2312"/>
          <w:color w:val="000000" w:themeColor="text1"/>
          <w:sz w:val="32"/>
          <w:szCs w:val="32"/>
          <w:lang w:val="en-US" w:eastAsia="zh-CN"/>
        </w:rPr>
        <w:t>100</w:t>
      </w:r>
      <w:r>
        <w:rPr>
          <w:rFonts w:ascii="仿宋_GB2312" w:hAnsi="仿宋" w:eastAsia="仿宋_GB2312"/>
          <w:color w:val="000000" w:themeColor="text1"/>
          <w:sz w:val="32"/>
          <w:szCs w:val="32"/>
        </w:rPr>
        <w:t>%</w:t>
      </w:r>
      <w:r>
        <w:rPr>
          <w:rFonts w:hint="eastAsia" w:ascii="仿宋_GB2312" w:hAnsi="仿宋" w:eastAsia="仿宋_GB2312"/>
          <w:color w:val="000000" w:themeColor="text1"/>
          <w:sz w:val="32"/>
          <w:szCs w:val="32"/>
        </w:rPr>
        <w:t>，增长原因主要是</w:t>
      </w:r>
      <w:r>
        <w:rPr>
          <w:rFonts w:hint="eastAsia" w:ascii="仿宋_GB2312" w:hAnsi="仿宋" w:eastAsia="仿宋_GB2312"/>
          <w:color w:val="000000" w:themeColor="text1"/>
          <w:sz w:val="32"/>
          <w:szCs w:val="32"/>
          <w:lang w:val="en-US" w:eastAsia="zh-CN"/>
        </w:rPr>
        <w:t>新增预算科目支出。</w:t>
      </w:r>
    </w:p>
    <w:p>
      <w:pPr>
        <w:adjustRightInd w:val="0"/>
        <w:snapToGrid w:val="0"/>
        <w:spacing w:line="600" w:lineRule="exact"/>
        <w:ind w:firstLine="643" w:firstLineChars="200"/>
        <w:rPr>
          <w:rFonts w:hint="eastAsia" w:ascii="仿宋_GB2312" w:hAnsi="仿宋" w:eastAsia="仿宋_GB2312"/>
          <w:color w:val="000000" w:themeColor="text1"/>
          <w:sz w:val="32"/>
          <w:szCs w:val="32"/>
        </w:rPr>
      </w:pPr>
      <w:r>
        <w:rPr>
          <w:rFonts w:hint="eastAsia" w:ascii="仿宋_GB2312" w:hAnsi="仿宋" w:eastAsia="仿宋_GB2312"/>
          <w:b/>
          <w:color w:val="000000" w:themeColor="text1"/>
          <w:sz w:val="32"/>
          <w:szCs w:val="32"/>
          <w:lang w:val="en-US" w:eastAsia="zh-CN"/>
        </w:rPr>
        <w:t>2</w:t>
      </w:r>
      <w:r>
        <w:rPr>
          <w:rFonts w:ascii="仿宋_GB2312" w:hAnsi="仿宋" w:eastAsia="仿宋_GB2312"/>
          <w:b/>
          <w:color w:val="000000" w:themeColor="text1"/>
          <w:sz w:val="32"/>
          <w:szCs w:val="32"/>
        </w:rPr>
        <w:t>.</w:t>
      </w:r>
      <w:r>
        <w:rPr>
          <w:rFonts w:hint="eastAsia" w:ascii="仿宋_GB2312" w:hAnsi="仿宋" w:eastAsia="仿宋_GB2312"/>
          <w:b/>
          <w:color w:val="000000" w:themeColor="text1"/>
          <w:sz w:val="32"/>
          <w:szCs w:val="32"/>
        </w:rPr>
        <w:t>一般公共服务支出（类）市场监督管理事务（款）事业运行（项）</w:t>
      </w:r>
      <w:r>
        <w:rPr>
          <w:rFonts w:hint="eastAsia" w:ascii="仿宋_GB2312" w:hAnsi="仿宋" w:eastAsia="仿宋_GB2312"/>
          <w:color w:val="000000" w:themeColor="text1"/>
          <w:sz w:val="32"/>
          <w:szCs w:val="32"/>
          <w:lang w:eastAsia="zh-CN"/>
        </w:rPr>
        <w:t>2024</w:t>
      </w:r>
      <w:r>
        <w:rPr>
          <w:rFonts w:hint="eastAsia" w:ascii="仿宋_GB2312" w:hAnsi="仿宋" w:eastAsia="仿宋_GB2312"/>
          <w:color w:val="000000" w:themeColor="text1"/>
          <w:sz w:val="32"/>
          <w:szCs w:val="32"/>
        </w:rPr>
        <w:t>年预算</w:t>
      </w:r>
      <w:r>
        <w:rPr>
          <w:rFonts w:hint="eastAsia" w:ascii="仿宋_GB2312" w:hAnsi="仿宋" w:eastAsia="仿宋_GB2312"/>
          <w:color w:val="000000" w:themeColor="text1"/>
          <w:sz w:val="32"/>
          <w:szCs w:val="32"/>
          <w:lang w:val="en-US" w:eastAsia="zh-CN"/>
        </w:rPr>
        <w:t>391.19</w:t>
      </w:r>
      <w:r>
        <w:rPr>
          <w:rFonts w:hint="eastAsia" w:ascii="仿宋_GB2312" w:hAnsi="仿宋" w:eastAsia="仿宋_GB2312"/>
          <w:color w:val="000000" w:themeColor="text1"/>
          <w:sz w:val="32"/>
          <w:szCs w:val="32"/>
        </w:rPr>
        <w:t>万元，比</w:t>
      </w:r>
      <w:r>
        <w:rPr>
          <w:rFonts w:hint="eastAsia" w:ascii="仿宋_GB2312" w:hAnsi="仿宋" w:eastAsia="仿宋_GB2312"/>
          <w:color w:val="000000" w:themeColor="text1"/>
          <w:sz w:val="32"/>
          <w:szCs w:val="32"/>
          <w:lang w:eastAsia="zh-CN"/>
        </w:rPr>
        <w:t>2023</w:t>
      </w:r>
      <w:r>
        <w:rPr>
          <w:rFonts w:hint="eastAsia" w:ascii="仿宋_GB2312" w:hAnsi="仿宋" w:eastAsia="仿宋_GB2312"/>
          <w:color w:val="000000" w:themeColor="text1"/>
          <w:sz w:val="32"/>
          <w:szCs w:val="32"/>
        </w:rPr>
        <w:t>年预算增加</w:t>
      </w:r>
      <w:r>
        <w:rPr>
          <w:rFonts w:hint="eastAsia" w:ascii="仿宋_GB2312" w:hAnsi="仿宋" w:eastAsia="仿宋_GB2312"/>
          <w:color w:val="000000" w:themeColor="text1"/>
          <w:sz w:val="32"/>
          <w:szCs w:val="32"/>
          <w:lang w:val="en-US" w:eastAsia="zh-CN"/>
        </w:rPr>
        <w:t>9.25</w:t>
      </w:r>
      <w:r>
        <w:rPr>
          <w:rFonts w:hint="eastAsia" w:ascii="仿宋_GB2312" w:hAnsi="仿宋" w:eastAsia="仿宋_GB2312"/>
          <w:color w:val="000000" w:themeColor="text1"/>
          <w:sz w:val="32"/>
          <w:szCs w:val="32"/>
        </w:rPr>
        <w:t>万元，增长</w:t>
      </w:r>
      <w:r>
        <w:rPr>
          <w:rFonts w:hint="eastAsia" w:ascii="仿宋_GB2312" w:hAnsi="仿宋" w:eastAsia="仿宋_GB2312"/>
          <w:color w:val="000000" w:themeColor="text1"/>
          <w:sz w:val="32"/>
          <w:szCs w:val="32"/>
          <w:lang w:val="en-US" w:eastAsia="zh-CN"/>
        </w:rPr>
        <w:t>2.42%</w:t>
      </w:r>
      <w:r>
        <w:rPr>
          <w:rFonts w:hint="eastAsia" w:ascii="仿宋_GB2312" w:hAnsi="仿宋" w:eastAsia="仿宋_GB2312"/>
          <w:color w:val="000000" w:themeColor="text1"/>
          <w:sz w:val="32"/>
          <w:szCs w:val="32"/>
        </w:rPr>
        <w:t>，增长原因主要是</w:t>
      </w:r>
      <w:r>
        <w:rPr>
          <w:rFonts w:hint="eastAsia" w:ascii="仿宋_GB2312" w:hAnsi="仿宋" w:eastAsia="仿宋_GB2312"/>
          <w:color w:val="000000" w:themeColor="text1"/>
          <w:sz w:val="32"/>
          <w:szCs w:val="32"/>
          <w:lang w:eastAsia="zh-CN"/>
        </w:rPr>
        <w:t>人员基本支出增加</w:t>
      </w:r>
      <w:r>
        <w:rPr>
          <w:rFonts w:hint="eastAsia" w:ascii="仿宋_GB2312" w:hAnsi="仿宋" w:eastAsia="仿宋_GB2312"/>
          <w:color w:val="000000" w:themeColor="text1"/>
          <w:sz w:val="32"/>
          <w:szCs w:val="32"/>
        </w:rPr>
        <w:t>。</w:t>
      </w:r>
    </w:p>
    <w:p>
      <w:pPr>
        <w:adjustRightInd w:val="0"/>
        <w:snapToGrid w:val="0"/>
        <w:spacing w:line="600" w:lineRule="exact"/>
        <w:ind w:firstLine="643" w:firstLineChars="200"/>
        <w:rPr>
          <w:rFonts w:hint="eastAsia" w:ascii="仿宋_GB2312" w:hAnsi="仿宋" w:eastAsia="仿宋_GB2312"/>
          <w:color w:val="000000" w:themeColor="text1"/>
          <w:sz w:val="32"/>
          <w:szCs w:val="32"/>
        </w:rPr>
      </w:pPr>
      <w:r>
        <w:rPr>
          <w:rFonts w:hint="eastAsia" w:ascii="仿宋_GB2312" w:hAnsi="仿宋" w:eastAsia="仿宋_GB2312"/>
          <w:b/>
          <w:color w:val="000000" w:themeColor="text1"/>
          <w:sz w:val="32"/>
          <w:szCs w:val="32"/>
          <w:lang w:val="en-US" w:eastAsia="zh-CN"/>
        </w:rPr>
        <w:t>3</w:t>
      </w:r>
      <w:r>
        <w:rPr>
          <w:rFonts w:ascii="仿宋_GB2312" w:hAnsi="仿宋" w:eastAsia="仿宋_GB2312"/>
          <w:b/>
          <w:color w:val="000000" w:themeColor="text1"/>
          <w:sz w:val="32"/>
          <w:szCs w:val="32"/>
        </w:rPr>
        <w:t>.</w:t>
      </w:r>
      <w:r>
        <w:rPr>
          <w:rFonts w:hint="eastAsia" w:ascii="仿宋_GB2312" w:hAnsi="仿宋" w:eastAsia="仿宋_GB2312"/>
          <w:b/>
          <w:color w:val="000000" w:themeColor="text1"/>
          <w:sz w:val="32"/>
          <w:szCs w:val="32"/>
        </w:rPr>
        <w:t>一般公共服务支出（类）市场监督管理事务（款）其他市场监督管理事务（项）</w:t>
      </w:r>
      <w:r>
        <w:rPr>
          <w:rFonts w:hint="eastAsia" w:ascii="仿宋_GB2312" w:hAnsi="仿宋" w:eastAsia="仿宋_GB2312"/>
          <w:color w:val="000000" w:themeColor="text1"/>
          <w:sz w:val="32"/>
          <w:szCs w:val="32"/>
          <w:lang w:eastAsia="zh-CN"/>
        </w:rPr>
        <w:t>2024</w:t>
      </w:r>
      <w:r>
        <w:rPr>
          <w:rFonts w:hint="eastAsia" w:ascii="仿宋_GB2312" w:hAnsi="仿宋" w:eastAsia="仿宋_GB2312"/>
          <w:color w:val="000000" w:themeColor="text1"/>
          <w:sz w:val="32"/>
          <w:szCs w:val="32"/>
        </w:rPr>
        <w:t>年预算</w:t>
      </w:r>
      <w:r>
        <w:rPr>
          <w:rFonts w:hint="eastAsia" w:ascii="仿宋_GB2312" w:hAnsi="仿宋" w:eastAsia="仿宋_GB2312"/>
          <w:color w:val="000000" w:themeColor="text1"/>
          <w:sz w:val="32"/>
          <w:szCs w:val="32"/>
          <w:lang w:val="en-US" w:eastAsia="zh-CN"/>
        </w:rPr>
        <w:t>51.04</w:t>
      </w:r>
      <w:r>
        <w:rPr>
          <w:rFonts w:hint="eastAsia" w:ascii="仿宋_GB2312" w:hAnsi="仿宋" w:eastAsia="仿宋_GB2312"/>
          <w:color w:val="000000" w:themeColor="text1"/>
          <w:sz w:val="32"/>
          <w:szCs w:val="32"/>
        </w:rPr>
        <w:t>万元，比</w:t>
      </w:r>
      <w:r>
        <w:rPr>
          <w:rFonts w:hint="eastAsia" w:ascii="仿宋_GB2312" w:hAnsi="仿宋" w:eastAsia="仿宋_GB2312"/>
          <w:color w:val="000000" w:themeColor="text1"/>
          <w:sz w:val="32"/>
          <w:szCs w:val="32"/>
          <w:lang w:eastAsia="zh-CN"/>
        </w:rPr>
        <w:t>2023</w:t>
      </w:r>
      <w:r>
        <w:rPr>
          <w:rFonts w:hint="eastAsia" w:ascii="仿宋_GB2312" w:hAnsi="仿宋" w:eastAsia="仿宋_GB2312"/>
          <w:color w:val="000000" w:themeColor="text1"/>
          <w:sz w:val="32"/>
          <w:szCs w:val="32"/>
        </w:rPr>
        <w:t>年预算</w:t>
      </w:r>
      <w:r>
        <w:rPr>
          <w:rFonts w:hint="eastAsia" w:ascii="仿宋_GB2312" w:hAnsi="仿宋" w:eastAsia="仿宋_GB2312"/>
          <w:color w:val="000000" w:themeColor="text1"/>
          <w:sz w:val="32"/>
          <w:szCs w:val="32"/>
          <w:lang w:val="en-US" w:eastAsia="zh-CN"/>
        </w:rPr>
        <w:t>减少</w:t>
      </w:r>
      <w:r>
        <w:rPr>
          <w:rFonts w:hint="eastAsia" w:ascii="仿宋_GB2312" w:hAnsi="仿宋" w:eastAsia="仿宋_GB2312"/>
          <w:color w:val="000000" w:themeColor="text1"/>
          <w:sz w:val="32"/>
          <w:szCs w:val="32"/>
        </w:rPr>
        <w:t>209.14万元，</w:t>
      </w:r>
      <w:r>
        <w:rPr>
          <w:rFonts w:hint="eastAsia" w:ascii="仿宋_GB2312" w:hAnsi="仿宋" w:eastAsia="仿宋_GB2312"/>
          <w:color w:val="000000" w:themeColor="text1"/>
          <w:sz w:val="32"/>
          <w:szCs w:val="32"/>
          <w:lang w:val="en-US" w:eastAsia="zh-CN"/>
        </w:rPr>
        <w:t>下降80.38%</w:t>
      </w:r>
      <w:r>
        <w:rPr>
          <w:rFonts w:hint="eastAsia" w:ascii="仿宋_GB2312" w:hAnsi="仿宋" w:eastAsia="仿宋_GB2312"/>
          <w:color w:val="000000" w:themeColor="text1"/>
          <w:sz w:val="32"/>
          <w:szCs w:val="32"/>
        </w:rPr>
        <w:t>，</w:t>
      </w:r>
      <w:r>
        <w:rPr>
          <w:rFonts w:hint="eastAsia" w:ascii="仿宋_GB2312" w:hAnsi="仿宋" w:eastAsia="仿宋_GB2312"/>
          <w:color w:val="000000" w:themeColor="text1"/>
          <w:sz w:val="32"/>
          <w:szCs w:val="32"/>
          <w:lang w:val="en-US" w:eastAsia="zh-CN"/>
        </w:rPr>
        <w:t>下降</w:t>
      </w:r>
      <w:r>
        <w:rPr>
          <w:rFonts w:hint="eastAsia" w:ascii="仿宋_GB2312" w:hAnsi="仿宋" w:eastAsia="仿宋_GB2312"/>
          <w:color w:val="000000" w:themeColor="text1"/>
          <w:sz w:val="32"/>
          <w:szCs w:val="32"/>
        </w:rPr>
        <w:t>原因主要</w:t>
      </w:r>
      <w:r>
        <w:rPr>
          <w:rFonts w:hint="eastAsia" w:ascii="仿宋_GB2312" w:hAnsi="仿宋" w:eastAsia="仿宋_GB2312"/>
          <w:color w:val="000000" w:themeColor="text1"/>
          <w:sz w:val="32"/>
          <w:szCs w:val="32"/>
          <w:lang w:val="en-US" w:eastAsia="zh-CN"/>
        </w:rPr>
        <w:t>是预算科目调整</w:t>
      </w:r>
      <w:r>
        <w:rPr>
          <w:rFonts w:hint="eastAsia" w:ascii="仿宋_GB2312" w:hAnsi="仿宋" w:eastAsia="仿宋_GB2312"/>
          <w:color w:val="000000" w:themeColor="text1"/>
          <w:sz w:val="32"/>
          <w:szCs w:val="32"/>
        </w:rPr>
        <w:t>。</w:t>
      </w:r>
    </w:p>
    <w:p>
      <w:pPr>
        <w:adjustRightInd w:val="0"/>
        <w:snapToGrid w:val="0"/>
        <w:spacing w:line="600" w:lineRule="exact"/>
        <w:ind w:firstLine="643" w:firstLineChars="200"/>
        <w:rPr>
          <w:rFonts w:hint="eastAsia" w:ascii="仿宋_GB2312" w:hAnsi="仿宋" w:eastAsia="仿宋_GB2312"/>
          <w:color w:val="000000" w:themeColor="text1"/>
          <w:sz w:val="32"/>
          <w:szCs w:val="32"/>
        </w:rPr>
      </w:pPr>
      <w:r>
        <w:rPr>
          <w:rFonts w:hint="eastAsia" w:ascii="仿宋_GB2312" w:hAnsi="仿宋" w:eastAsia="仿宋_GB2312"/>
          <w:b/>
          <w:color w:val="000000" w:themeColor="text1"/>
          <w:sz w:val="32"/>
          <w:szCs w:val="32"/>
          <w:lang w:val="en-US" w:eastAsia="zh-CN"/>
        </w:rPr>
        <w:t>4</w:t>
      </w:r>
      <w:r>
        <w:rPr>
          <w:rFonts w:ascii="仿宋_GB2312" w:hAnsi="仿宋" w:eastAsia="仿宋_GB2312"/>
          <w:b/>
          <w:color w:val="000000" w:themeColor="text1"/>
          <w:sz w:val="32"/>
          <w:szCs w:val="32"/>
        </w:rPr>
        <w:t>.</w:t>
      </w:r>
      <w:r>
        <w:rPr>
          <w:rFonts w:hint="eastAsia" w:ascii="仿宋_GB2312" w:hAnsi="仿宋" w:eastAsia="仿宋_GB2312"/>
          <w:b/>
          <w:color w:val="000000" w:themeColor="text1"/>
          <w:sz w:val="32"/>
          <w:szCs w:val="32"/>
        </w:rPr>
        <w:t>社会保障和就业支出（类）行政事业单位养老支出（款）事业单位离退休（项）</w:t>
      </w:r>
      <w:r>
        <w:rPr>
          <w:rFonts w:hint="eastAsia" w:ascii="仿宋_GB2312" w:hAnsi="仿宋" w:eastAsia="仿宋_GB2312"/>
          <w:color w:val="000000" w:themeColor="text1"/>
          <w:sz w:val="32"/>
          <w:szCs w:val="32"/>
          <w:lang w:eastAsia="zh-CN"/>
        </w:rPr>
        <w:t>2024</w:t>
      </w:r>
      <w:r>
        <w:rPr>
          <w:rFonts w:hint="eastAsia" w:ascii="仿宋_GB2312" w:hAnsi="仿宋" w:eastAsia="仿宋_GB2312"/>
          <w:color w:val="000000" w:themeColor="text1"/>
          <w:sz w:val="32"/>
          <w:szCs w:val="32"/>
        </w:rPr>
        <w:t>年预算</w:t>
      </w:r>
      <w:r>
        <w:rPr>
          <w:rFonts w:hint="eastAsia" w:ascii="仿宋_GB2312" w:hAnsi="仿宋" w:eastAsia="仿宋_GB2312"/>
          <w:color w:val="000000" w:themeColor="text1"/>
          <w:sz w:val="32"/>
          <w:szCs w:val="32"/>
          <w:lang w:val="en-US" w:eastAsia="zh-CN"/>
        </w:rPr>
        <w:t>0.75</w:t>
      </w:r>
      <w:r>
        <w:rPr>
          <w:rFonts w:hint="eastAsia" w:ascii="仿宋_GB2312" w:hAnsi="仿宋" w:eastAsia="仿宋_GB2312"/>
          <w:color w:val="000000" w:themeColor="text1"/>
          <w:sz w:val="32"/>
          <w:szCs w:val="32"/>
        </w:rPr>
        <w:t>万元，比</w:t>
      </w:r>
      <w:r>
        <w:rPr>
          <w:rFonts w:hint="eastAsia" w:ascii="仿宋_GB2312" w:hAnsi="仿宋" w:eastAsia="仿宋_GB2312"/>
          <w:color w:val="000000" w:themeColor="text1"/>
          <w:sz w:val="32"/>
          <w:szCs w:val="32"/>
          <w:lang w:eastAsia="zh-CN"/>
        </w:rPr>
        <w:t>2023</w:t>
      </w:r>
      <w:r>
        <w:rPr>
          <w:rFonts w:hint="eastAsia" w:ascii="仿宋_GB2312" w:hAnsi="仿宋" w:eastAsia="仿宋_GB2312"/>
          <w:color w:val="000000" w:themeColor="text1"/>
          <w:sz w:val="32"/>
          <w:szCs w:val="32"/>
        </w:rPr>
        <w:t>年预算</w:t>
      </w:r>
      <w:r>
        <w:rPr>
          <w:rFonts w:hint="eastAsia" w:ascii="仿宋_GB2312" w:hAnsi="仿宋" w:eastAsia="仿宋_GB2312"/>
          <w:color w:val="000000" w:themeColor="text1"/>
          <w:sz w:val="32"/>
          <w:szCs w:val="32"/>
          <w:lang w:val="en-US" w:eastAsia="zh-CN"/>
        </w:rPr>
        <w:t>增加0.17</w:t>
      </w:r>
      <w:r>
        <w:rPr>
          <w:rFonts w:hint="eastAsia" w:ascii="仿宋_GB2312" w:hAnsi="仿宋" w:eastAsia="仿宋_GB2312"/>
          <w:color w:val="000000" w:themeColor="text1"/>
          <w:sz w:val="32"/>
          <w:szCs w:val="32"/>
        </w:rPr>
        <w:t>万元，</w:t>
      </w:r>
      <w:r>
        <w:rPr>
          <w:rFonts w:hint="eastAsia" w:ascii="仿宋_GB2312" w:hAnsi="仿宋" w:eastAsia="仿宋_GB2312"/>
          <w:color w:val="000000" w:themeColor="text1"/>
          <w:sz w:val="32"/>
          <w:szCs w:val="32"/>
          <w:lang w:val="en-US" w:eastAsia="zh-CN"/>
        </w:rPr>
        <w:t>增长28.62%</w:t>
      </w:r>
      <w:r>
        <w:rPr>
          <w:rFonts w:hint="eastAsia" w:ascii="仿宋_GB2312" w:hAnsi="仿宋" w:eastAsia="仿宋_GB2312"/>
          <w:color w:val="000000" w:themeColor="text1"/>
          <w:sz w:val="32"/>
          <w:szCs w:val="32"/>
        </w:rPr>
        <w:t>，增长原因主要是事业单位离退休支出</w:t>
      </w:r>
      <w:r>
        <w:rPr>
          <w:rFonts w:hint="eastAsia" w:ascii="仿宋_GB2312" w:hAnsi="仿宋" w:eastAsia="仿宋_GB2312"/>
          <w:color w:val="000000" w:themeColor="text1"/>
          <w:sz w:val="32"/>
          <w:szCs w:val="32"/>
          <w:lang w:val="en-US" w:eastAsia="zh-CN"/>
        </w:rPr>
        <w:t>增加</w:t>
      </w:r>
      <w:r>
        <w:rPr>
          <w:rFonts w:hint="eastAsia" w:ascii="仿宋_GB2312" w:hAnsi="仿宋" w:eastAsia="仿宋_GB2312"/>
          <w:color w:val="000000" w:themeColor="text1"/>
          <w:sz w:val="32"/>
          <w:szCs w:val="32"/>
        </w:rPr>
        <w:t>。</w:t>
      </w:r>
    </w:p>
    <w:p>
      <w:pPr>
        <w:adjustRightInd w:val="0"/>
        <w:snapToGrid w:val="0"/>
        <w:spacing w:line="600" w:lineRule="exact"/>
        <w:ind w:firstLine="643" w:firstLineChars="200"/>
        <w:rPr>
          <w:rFonts w:hint="eastAsia" w:ascii="仿宋_GB2312" w:hAnsi="仿宋" w:eastAsia="仿宋_GB2312"/>
          <w:color w:val="000000" w:themeColor="text1"/>
          <w:sz w:val="32"/>
          <w:szCs w:val="32"/>
        </w:rPr>
      </w:pPr>
      <w:r>
        <w:rPr>
          <w:rFonts w:hint="eastAsia" w:ascii="仿宋_GB2312" w:hAnsi="仿宋" w:eastAsia="仿宋_GB2312"/>
          <w:b/>
          <w:color w:val="000000" w:themeColor="text1"/>
          <w:sz w:val="32"/>
          <w:szCs w:val="32"/>
          <w:lang w:val="en-US" w:eastAsia="zh-CN"/>
        </w:rPr>
        <w:t>5</w:t>
      </w:r>
      <w:r>
        <w:rPr>
          <w:rFonts w:ascii="仿宋_GB2312" w:hAnsi="仿宋" w:eastAsia="仿宋_GB2312"/>
          <w:b/>
          <w:color w:val="000000" w:themeColor="text1"/>
          <w:sz w:val="32"/>
          <w:szCs w:val="32"/>
        </w:rPr>
        <w:t>.</w:t>
      </w:r>
      <w:r>
        <w:rPr>
          <w:rFonts w:hint="eastAsia" w:ascii="仿宋_GB2312" w:hAnsi="仿宋" w:eastAsia="仿宋_GB2312"/>
          <w:b/>
          <w:color w:val="000000" w:themeColor="text1"/>
          <w:sz w:val="32"/>
          <w:szCs w:val="32"/>
        </w:rPr>
        <w:t>社会保障和就业支出（类）行政事业单位养老支出（款）机关事业单位基本养老保险缴费支出（项）</w:t>
      </w:r>
      <w:r>
        <w:rPr>
          <w:rFonts w:hint="eastAsia" w:ascii="仿宋_GB2312" w:hAnsi="仿宋" w:eastAsia="仿宋_GB2312"/>
          <w:color w:val="000000" w:themeColor="text1"/>
          <w:sz w:val="32"/>
          <w:szCs w:val="32"/>
          <w:lang w:eastAsia="zh-CN"/>
        </w:rPr>
        <w:t>2024</w:t>
      </w:r>
      <w:r>
        <w:rPr>
          <w:rFonts w:hint="eastAsia" w:ascii="仿宋_GB2312" w:hAnsi="仿宋" w:eastAsia="仿宋_GB2312"/>
          <w:color w:val="000000" w:themeColor="text1"/>
          <w:sz w:val="32"/>
          <w:szCs w:val="32"/>
        </w:rPr>
        <w:t>年预算</w:t>
      </w:r>
      <w:r>
        <w:rPr>
          <w:rFonts w:hint="eastAsia" w:ascii="仿宋_GB2312" w:hAnsi="仿宋" w:eastAsia="仿宋_GB2312"/>
          <w:color w:val="000000" w:themeColor="text1"/>
          <w:sz w:val="32"/>
          <w:szCs w:val="32"/>
          <w:lang w:val="en-US" w:eastAsia="zh-CN"/>
        </w:rPr>
        <w:t>47.22</w:t>
      </w:r>
      <w:r>
        <w:rPr>
          <w:rFonts w:hint="eastAsia" w:ascii="仿宋_GB2312" w:hAnsi="仿宋" w:eastAsia="仿宋_GB2312"/>
          <w:color w:val="000000" w:themeColor="text1"/>
          <w:sz w:val="32"/>
          <w:szCs w:val="32"/>
        </w:rPr>
        <w:t>万元，比</w:t>
      </w:r>
      <w:r>
        <w:rPr>
          <w:rFonts w:hint="eastAsia" w:ascii="仿宋_GB2312" w:hAnsi="仿宋" w:eastAsia="仿宋_GB2312"/>
          <w:color w:val="000000" w:themeColor="text1"/>
          <w:sz w:val="32"/>
          <w:szCs w:val="32"/>
          <w:lang w:eastAsia="zh-CN"/>
        </w:rPr>
        <w:t>2023</w:t>
      </w:r>
      <w:r>
        <w:rPr>
          <w:rFonts w:hint="eastAsia" w:ascii="仿宋_GB2312" w:hAnsi="仿宋" w:eastAsia="仿宋_GB2312"/>
          <w:color w:val="000000" w:themeColor="text1"/>
          <w:sz w:val="32"/>
          <w:szCs w:val="32"/>
        </w:rPr>
        <w:t>年预算减少</w:t>
      </w:r>
      <w:r>
        <w:rPr>
          <w:rFonts w:hint="eastAsia" w:ascii="仿宋_GB2312" w:hAnsi="仿宋" w:eastAsia="仿宋_GB2312"/>
          <w:color w:val="000000" w:themeColor="text1"/>
          <w:sz w:val="32"/>
          <w:szCs w:val="32"/>
          <w:lang w:val="en-US" w:eastAsia="zh-CN"/>
        </w:rPr>
        <w:t>1.01</w:t>
      </w:r>
      <w:r>
        <w:rPr>
          <w:rFonts w:hint="eastAsia" w:ascii="仿宋_GB2312" w:hAnsi="仿宋" w:eastAsia="仿宋_GB2312"/>
          <w:color w:val="000000" w:themeColor="text1"/>
          <w:sz w:val="32"/>
          <w:szCs w:val="32"/>
        </w:rPr>
        <w:t>万元，下降</w:t>
      </w:r>
      <w:r>
        <w:rPr>
          <w:rFonts w:hint="eastAsia" w:ascii="仿宋_GB2312" w:hAnsi="仿宋" w:eastAsia="仿宋_GB2312"/>
          <w:color w:val="000000" w:themeColor="text1"/>
          <w:sz w:val="32"/>
          <w:szCs w:val="32"/>
          <w:lang w:val="en-US" w:eastAsia="zh-CN"/>
        </w:rPr>
        <w:t>2.10%</w:t>
      </w:r>
      <w:r>
        <w:rPr>
          <w:rFonts w:hint="eastAsia" w:ascii="仿宋_GB2312" w:hAnsi="仿宋" w:eastAsia="仿宋_GB2312"/>
          <w:color w:val="000000" w:themeColor="text1"/>
          <w:sz w:val="32"/>
          <w:szCs w:val="32"/>
        </w:rPr>
        <w:t>，</w:t>
      </w:r>
      <w:r>
        <w:rPr>
          <w:rFonts w:hint="eastAsia" w:ascii="仿宋_GB2312" w:hAnsi="仿宋" w:eastAsia="仿宋_GB2312"/>
          <w:color w:val="000000" w:themeColor="text1"/>
          <w:sz w:val="32"/>
          <w:szCs w:val="32"/>
          <w:lang w:val="en-US" w:eastAsia="zh-CN"/>
        </w:rPr>
        <w:t>下降</w:t>
      </w:r>
      <w:r>
        <w:rPr>
          <w:rFonts w:hint="eastAsia" w:ascii="仿宋_GB2312" w:hAnsi="仿宋" w:eastAsia="仿宋_GB2312"/>
          <w:color w:val="000000" w:themeColor="text1"/>
          <w:sz w:val="32"/>
          <w:szCs w:val="32"/>
        </w:rPr>
        <w:t>原因主要是机关事业单位基本养老保险缴费支出</w:t>
      </w:r>
      <w:r>
        <w:rPr>
          <w:rFonts w:hint="eastAsia" w:ascii="仿宋_GB2312" w:hAnsi="仿宋" w:eastAsia="仿宋_GB2312"/>
          <w:color w:val="000000" w:themeColor="text1"/>
          <w:sz w:val="32"/>
          <w:szCs w:val="32"/>
          <w:lang w:eastAsia="zh-CN"/>
        </w:rPr>
        <w:t>减少</w:t>
      </w:r>
      <w:r>
        <w:rPr>
          <w:rFonts w:hint="eastAsia" w:ascii="仿宋_GB2312" w:hAnsi="仿宋" w:eastAsia="仿宋_GB2312"/>
          <w:color w:val="000000" w:themeColor="text1"/>
          <w:sz w:val="32"/>
          <w:szCs w:val="32"/>
        </w:rPr>
        <w:t>。</w:t>
      </w:r>
    </w:p>
    <w:p>
      <w:pPr>
        <w:adjustRightInd w:val="0"/>
        <w:snapToGrid w:val="0"/>
        <w:spacing w:line="600" w:lineRule="exact"/>
        <w:ind w:firstLine="643" w:firstLineChars="200"/>
        <w:rPr>
          <w:rFonts w:hint="eastAsia" w:ascii="仿宋_GB2312" w:hAnsi="仿宋" w:eastAsia="仿宋_GB2312"/>
          <w:color w:val="000000" w:themeColor="text1"/>
          <w:sz w:val="32"/>
          <w:szCs w:val="32"/>
        </w:rPr>
      </w:pPr>
      <w:r>
        <w:rPr>
          <w:rFonts w:hint="eastAsia" w:ascii="仿宋_GB2312" w:hAnsi="仿宋" w:eastAsia="仿宋_GB2312"/>
          <w:b/>
          <w:color w:val="000000" w:themeColor="text1"/>
          <w:sz w:val="32"/>
          <w:szCs w:val="32"/>
          <w:lang w:val="en-US" w:eastAsia="zh-CN"/>
        </w:rPr>
        <w:t>6</w:t>
      </w:r>
      <w:r>
        <w:rPr>
          <w:rFonts w:ascii="仿宋_GB2312" w:hAnsi="仿宋" w:eastAsia="仿宋_GB2312"/>
          <w:b/>
          <w:color w:val="000000" w:themeColor="text1"/>
          <w:sz w:val="32"/>
          <w:szCs w:val="32"/>
        </w:rPr>
        <w:t>.</w:t>
      </w:r>
      <w:r>
        <w:rPr>
          <w:rFonts w:hint="eastAsia" w:ascii="仿宋_GB2312" w:hAnsi="仿宋" w:eastAsia="仿宋_GB2312"/>
          <w:b/>
          <w:color w:val="000000" w:themeColor="text1"/>
          <w:sz w:val="32"/>
          <w:szCs w:val="32"/>
        </w:rPr>
        <w:t>社会保障和就业支出（类）行政事业单位养老支出（款）机关事业单位职业年金缴费支出（项）</w:t>
      </w:r>
      <w:r>
        <w:rPr>
          <w:rFonts w:hint="eastAsia" w:ascii="仿宋_GB2312" w:hAnsi="仿宋" w:eastAsia="仿宋_GB2312"/>
          <w:color w:val="000000" w:themeColor="text1"/>
          <w:sz w:val="32"/>
          <w:szCs w:val="32"/>
          <w:lang w:eastAsia="zh-CN"/>
        </w:rPr>
        <w:t>2024</w:t>
      </w:r>
      <w:r>
        <w:rPr>
          <w:rFonts w:hint="eastAsia" w:ascii="仿宋_GB2312" w:hAnsi="仿宋" w:eastAsia="仿宋_GB2312"/>
          <w:color w:val="000000" w:themeColor="text1"/>
          <w:sz w:val="32"/>
          <w:szCs w:val="32"/>
        </w:rPr>
        <w:t>年预算</w:t>
      </w:r>
      <w:r>
        <w:rPr>
          <w:rFonts w:hint="eastAsia" w:ascii="仿宋_GB2312" w:hAnsi="仿宋" w:eastAsia="仿宋_GB2312"/>
          <w:color w:val="000000" w:themeColor="text1"/>
          <w:sz w:val="32"/>
          <w:szCs w:val="32"/>
          <w:lang w:val="en-US" w:eastAsia="zh-CN"/>
        </w:rPr>
        <w:t>23.61</w:t>
      </w:r>
      <w:r>
        <w:rPr>
          <w:rFonts w:hint="eastAsia" w:ascii="仿宋_GB2312" w:hAnsi="仿宋" w:eastAsia="仿宋_GB2312"/>
          <w:color w:val="000000" w:themeColor="text1"/>
          <w:sz w:val="32"/>
          <w:szCs w:val="32"/>
        </w:rPr>
        <w:t>万元，比</w:t>
      </w:r>
      <w:r>
        <w:rPr>
          <w:rFonts w:hint="eastAsia" w:ascii="仿宋_GB2312" w:hAnsi="仿宋" w:eastAsia="仿宋_GB2312"/>
          <w:color w:val="000000" w:themeColor="text1"/>
          <w:sz w:val="32"/>
          <w:szCs w:val="32"/>
          <w:lang w:eastAsia="zh-CN"/>
        </w:rPr>
        <w:t>2023</w:t>
      </w:r>
      <w:r>
        <w:rPr>
          <w:rFonts w:hint="eastAsia" w:ascii="仿宋_GB2312" w:hAnsi="仿宋" w:eastAsia="仿宋_GB2312"/>
          <w:color w:val="000000" w:themeColor="text1"/>
          <w:sz w:val="32"/>
          <w:szCs w:val="32"/>
        </w:rPr>
        <w:t>年预算减少</w:t>
      </w:r>
      <w:r>
        <w:rPr>
          <w:rFonts w:hint="eastAsia" w:ascii="仿宋_GB2312" w:hAnsi="仿宋" w:eastAsia="仿宋_GB2312"/>
          <w:color w:val="000000" w:themeColor="text1"/>
          <w:sz w:val="32"/>
          <w:szCs w:val="32"/>
          <w:lang w:val="en-US" w:eastAsia="zh-CN"/>
        </w:rPr>
        <w:t>0.51</w:t>
      </w:r>
      <w:r>
        <w:rPr>
          <w:rFonts w:hint="eastAsia" w:ascii="仿宋_GB2312" w:hAnsi="仿宋" w:eastAsia="仿宋_GB2312"/>
          <w:color w:val="000000" w:themeColor="text1"/>
          <w:sz w:val="32"/>
          <w:szCs w:val="32"/>
        </w:rPr>
        <w:t>万元，下降</w:t>
      </w:r>
      <w:r>
        <w:rPr>
          <w:rFonts w:hint="eastAsia" w:ascii="仿宋_GB2312" w:hAnsi="仿宋" w:eastAsia="仿宋_GB2312"/>
          <w:color w:val="000000" w:themeColor="text1"/>
          <w:sz w:val="32"/>
          <w:szCs w:val="32"/>
          <w:lang w:val="en-US" w:eastAsia="zh-CN"/>
        </w:rPr>
        <w:t>2.10%</w:t>
      </w:r>
      <w:r>
        <w:rPr>
          <w:rFonts w:hint="eastAsia" w:ascii="仿宋_GB2312" w:hAnsi="仿宋" w:eastAsia="仿宋_GB2312"/>
          <w:color w:val="000000" w:themeColor="text1"/>
          <w:sz w:val="32"/>
          <w:szCs w:val="32"/>
        </w:rPr>
        <w:t>，</w:t>
      </w:r>
      <w:r>
        <w:rPr>
          <w:rFonts w:hint="eastAsia" w:ascii="仿宋_GB2312" w:hAnsi="仿宋" w:eastAsia="仿宋_GB2312"/>
          <w:color w:val="000000" w:themeColor="text1"/>
          <w:sz w:val="32"/>
          <w:szCs w:val="32"/>
          <w:lang w:val="en-US" w:eastAsia="zh-CN"/>
        </w:rPr>
        <w:t>下降</w:t>
      </w:r>
      <w:r>
        <w:rPr>
          <w:rFonts w:hint="eastAsia" w:ascii="仿宋_GB2312" w:hAnsi="仿宋" w:eastAsia="仿宋_GB2312"/>
          <w:color w:val="000000" w:themeColor="text1"/>
          <w:sz w:val="32"/>
          <w:szCs w:val="32"/>
        </w:rPr>
        <w:t>原因主要是机关事业单位职业年金缴费支出</w:t>
      </w:r>
      <w:r>
        <w:rPr>
          <w:rFonts w:hint="eastAsia" w:ascii="仿宋_GB2312" w:hAnsi="仿宋" w:eastAsia="仿宋_GB2312"/>
          <w:color w:val="000000" w:themeColor="text1"/>
          <w:sz w:val="32"/>
          <w:szCs w:val="32"/>
          <w:lang w:eastAsia="zh-CN"/>
        </w:rPr>
        <w:t>减少</w:t>
      </w:r>
      <w:r>
        <w:rPr>
          <w:rFonts w:hint="eastAsia" w:ascii="仿宋_GB2312" w:hAnsi="仿宋" w:eastAsia="仿宋_GB2312"/>
          <w:color w:val="000000" w:themeColor="text1"/>
          <w:sz w:val="32"/>
          <w:szCs w:val="32"/>
        </w:rPr>
        <w:t>。</w:t>
      </w:r>
    </w:p>
    <w:p>
      <w:pPr>
        <w:adjustRightInd w:val="0"/>
        <w:snapToGrid w:val="0"/>
        <w:spacing w:line="600" w:lineRule="exact"/>
        <w:ind w:firstLine="643" w:firstLineChars="200"/>
        <w:rPr>
          <w:rFonts w:hint="eastAsia" w:ascii="仿宋_GB2312" w:hAnsi="仿宋" w:eastAsia="仿宋_GB2312"/>
          <w:color w:val="000000" w:themeColor="text1"/>
          <w:sz w:val="32"/>
          <w:szCs w:val="32"/>
        </w:rPr>
      </w:pPr>
      <w:r>
        <w:rPr>
          <w:rFonts w:hint="eastAsia" w:ascii="仿宋_GB2312" w:hAnsi="仿宋" w:eastAsia="仿宋_GB2312"/>
          <w:b/>
          <w:color w:val="000000" w:themeColor="text1"/>
          <w:sz w:val="32"/>
          <w:szCs w:val="32"/>
          <w:lang w:val="en-US" w:eastAsia="zh-CN"/>
        </w:rPr>
        <w:t>7</w:t>
      </w:r>
      <w:r>
        <w:rPr>
          <w:rFonts w:ascii="仿宋_GB2312" w:hAnsi="仿宋" w:eastAsia="仿宋_GB2312"/>
          <w:b/>
          <w:color w:val="000000" w:themeColor="text1"/>
          <w:sz w:val="32"/>
          <w:szCs w:val="32"/>
        </w:rPr>
        <w:t>.</w:t>
      </w:r>
      <w:r>
        <w:rPr>
          <w:rFonts w:hint="eastAsia" w:ascii="仿宋_GB2312" w:hAnsi="仿宋" w:eastAsia="仿宋_GB2312"/>
          <w:b/>
          <w:color w:val="000000" w:themeColor="text1"/>
          <w:sz w:val="32"/>
          <w:szCs w:val="32"/>
        </w:rPr>
        <w:t>卫生健康支出（类）行政事业单位医疗（款）事业单位医疗（项）</w:t>
      </w:r>
      <w:r>
        <w:rPr>
          <w:rFonts w:hint="eastAsia" w:ascii="仿宋_GB2312" w:hAnsi="仿宋" w:eastAsia="仿宋_GB2312"/>
          <w:color w:val="000000" w:themeColor="text1"/>
          <w:sz w:val="32"/>
          <w:szCs w:val="32"/>
          <w:lang w:eastAsia="zh-CN"/>
        </w:rPr>
        <w:t>2024</w:t>
      </w:r>
      <w:r>
        <w:rPr>
          <w:rFonts w:hint="eastAsia" w:ascii="仿宋_GB2312" w:hAnsi="仿宋" w:eastAsia="仿宋_GB2312"/>
          <w:color w:val="000000" w:themeColor="text1"/>
          <w:sz w:val="32"/>
          <w:szCs w:val="32"/>
        </w:rPr>
        <w:t>年预算</w:t>
      </w:r>
      <w:r>
        <w:rPr>
          <w:rFonts w:hint="eastAsia" w:ascii="仿宋_GB2312" w:hAnsi="仿宋" w:eastAsia="仿宋_GB2312"/>
          <w:color w:val="000000" w:themeColor="text1"/>
          <w:sz w:val="32"/>
          <w:szCs w:val="32"/>
          <w:lang w:val="en-US" w:eastAsia="zh-CN"/>
        </w:rPr>
        <w:t>14.85</w:t>
      </w:r>
      <w:r>
        <w:rPr>
          <w:rFonts w:hint="eastAsia" w:ascii="仿宋_GB2312" w:hAnsi="仿宋" w:eastAsia="仿宋_GB2312"/>
          <w:color w:val="000000" w:themeColor="text1"/>
          <w:sz w:val="32"/>
          <w:szCs w:val="32"/>
        </w:rPr>
        <w:t>万元，比</w:t>
      </w:r>
      <w:r>
        <w:rPr>
          <w:rFonts w:hint="eastAsia" w:ascii="仿宋_GB2312" w:hAnsi="仿宋" w:eastAsia="仿宋_GB2312"/>
          <w:color w:val="000000" w:themeColor="text1"/>
          <w:sz w:val="32"/>
          <w:szCs w:val="32"/>
          <w:lang w:eastAsia="zh-CN"/>
        </w:rPr>
        <w:t>2023</w:t>
      </w:r>
      <w:r>
        <w:rPr>
          <w:rFonts w:hint="eastAsia" w:ascii="仿宋_GB2312" w:hAnsi="仿宋" w:eastAsia="仿宋_GB2312"/>
          <w:color w:val="000000" w:themeColor="text1"/>
          <w:sz w:val="32"/>
          <w:szCs w:val="32"/>
        </w:rPr>
        <w:t>年预算减少</w:t>
      </w:r>
      <w:r>
        <w:rPr>
          <w:rFonts w:hint="eastAsia" w:ascii="仿宋_GB2312" w:hAnsi="仿宋" w:eastAsia="仿宋_GB2312"/>
          <w:color w:val="000000" w:themeColor="text1"/>
          <w:sz w:val="32"/>
          <w:szCs w:val="32"/>
          <w:lang w:val="en-US" w:eastAsia="zh-CN"/>
        </w:rPr>
        <w:t>0.29</w:t>
      </w:r>
      <w:r>
        <w:rPr>
          <w:rFonts w:hint="eastAsia" w:ascii="仿宋_GB2312" w:hAnsi="仿宋" w:eastAsia="仿宋_GB2312"/>
          <w:color w:val="000000" w:themeColor="text1"/>
          <w:sz w:val="32"/>
          <w:szCs w:val="32"/>
        </w:rPr>
        <w:t>万元，下降</w:t>
      </w:r>
      <w:r>
        <w:rPr>
          <w:rFonts w:hint="eastAsia" w:ascii="仿宋_GB2312" w:hAnsi="仿宋" w:eastAsia="仿宋_GB2312"/>
          <w:color w:val="000000" w:themeColor="text1"/>
          <w:sz w:val="32"/>
          <w:szCs w:val="32"/>
          <w:lang w:val="en-US" w:eastAsia="zh-CN"/>
        </w:rPr>
        <w:t>1.93%</w:t>
      </w:r>
      <w:r>
        <w:rPr>
          <w:rFonts w:hint="eastAsia" w:ascii="仿宋_GB2312" w:hAnsi="仿宋" w:eastAsia="仿宋_GB2312"/>
          <w:color w:val="000000" w:themeColor="text1"/>
          <w:sz w:val="32"/>
          <w:szCs w:val="32"/>
        </w:rPr>
        <w:t>，</w:t>
      </w:r>
      <w:r>
        <w:rPr>
          <w:rFonts w:hint="eastAsia" w:ascii="仿宋_GB2312" w:hAnsi="仿宋" w:eastAsia="仿宋_GB2312"/>
          <w:color w:val="000000" w:themeColor="text1"/>
          <w:sz w:val="32"/>
          <w:szCs w:val="32"/>
          <w:lang w:val="en-US" w:eastAsia="zh-CN"/>
        </w:rPr>
        <w:t>下降</w:t>
      </w:r>
      <w:r>
        <w:rPr>
          <w:rFonts w:hint="eastAsia" w:ascii="仿宋_GB2312" w:hAnsi="仿宋" w:eastAsia="仿宋_GB2312"/>
          <w:color w:val="000000" w:themeColor="text1"/>
          <w:sz w:val="32"/>
          <w:szCs w:val="32"/>
        </w:rPr>
        <w:t>原因主要是事业单位医疗支出</w:t>
      </w:r>
      <w:r>
        <w:rPr>
          <w:rFonts w:hint="eastAsia" w:ascii="仿宋_GB2312" w:hAnsi="仿宋" w:eastAsia="仿宋_GB2312"/>
          <w:color w:val="000000" w:themeColor="text1"/>
          <w:sz w:val="32"/>
          <w:szCs w:val="32"/>
          <w:lang w:eastAsia="zh-CN"/>
        </w:rPr>
        <w:t>减少</w:t>
      </w:r>
      <w:r>
        <w:rPr>
          <w:rFonts w:hint="eastAsia" w:ascii="仿宋_GB2312" w:hAnsi="仿宋" w:eastAsia="仿宋_GB2312"/>
          <w:color w:val="000000" w:themeColor="text1"/>
          <w:sz w:val="32"/>
          <w:szCs w:val="32"/>
        </w:rPr>
        <w:t>。</w:t>
      </w:r>
    </w:p>
    <w:p>
      <w:pPr>
        <w:adjustRightInd w:val="0"/>
        <w:snapToGrid w:val="0"/>
        <w:spacing w:line="600" w:lineRule="exact"/>
        <w:ind w:firstLine="640" w:firstLineChars="200"/>
        <w:rPr>
          <w:rFonts w:hint="eastAsia" w:ascii="仿宋_GB2312" w:hAnsi="仿宋" w:eastAsia="仿宋_GB2312"/>
          <w:color w:val="000000" w:themeColor="text1"/>
          <w:sz w:val="32"/>
          <w:szCs w:val="32"/>
        </w:rPr>
      </w:pPr>
    </w:p>
    <w:p>
      <w:pPr>
        <w:adjustRightInd w:val="0"/>
        <w:snapToGrid w:val="0"/>
        <w:spacing w:line="600" w:lineRule="exact"/>
        <w:ind w:firstLine="643" w:firstLineChars="200"/>
        <w:rPr>
          <w:rFonts w:hint="eastAsia" w:ascii="仿宋_GB2312" w:hAnsi="仿宋" w:eastAsia="仿宋_GB2312"/>
          <w:color w:val="000000" w:themeColor="text1"/>
          <w:sz w:val="32"/>
          <w:szCs w:val="32"/>
        </w:rPr>
      </w:pPr>
      <w:r>
        <w:rPr>
          <w:rFonts w:hint="eastAsia" w:ascii="仿宋_GB2312" w:hAnsi="仿宋" w:eastAsia="仿宋_GB2312"/>
          <w:b/>
          <w:color w:val="000000" w:themeColor="text1"/>
          <w:sz w:val="32"/>
          <w:szCs w:val="32"/>
          <w:lang w:val="en-US" w:eastAsia="zh-CN"/>
        </w:rPr>
        <w:t>8</w:t>
      </w:r>
      <w:r>
        <w:rPr>
          <w:rFonts w:ascii="仿宋_GB2312" w:hAnsi="仿宋" w:eastAsia="仿宋_GB2312"/>
          <w:b/>
          <w:color w:val="000000" w:themeColor="text1"/>
          <w:sz w:val="32"/>
          <w:szCs w:val="32"/>
        </w:rPr>
        <w:t>.</w:t>
      </w:r>
      <w:r>
        <w:rPr>
          <w:rFonts w:hint="eastAsia" w:ascii="仿宋_GB2312" w:hAnsi="仿宋" w:eastAsia="仿宋_GB2312"/>
          <w:b/>
          <w:color w:val="000000" w:themeColor="text1"/>
          <w:sz w:val="32"/>
          <w:szCs w:val="32"/>
        </w:rPr>
        <w:t>住房保障支出（类）住房改革支出（款）住房公积金（项）</w:t>
      </w:r>
      <w:r>
        <w:rPr>
          <w:rFonts w:hint="eastAsia" w:ascii="仿宋_GB2312" w:hAnsi="仿宋" w:eastAsia="仿宋_GB2312"/>
          <w:color w:val="000000" w:themeColor="text1"/>
          <w:sz w:val="32"/>
          <w:szCs w:val="32"/>
          <w:lang w:eastAsia="zh-CN"/>
        </w:rPr>
        <w:t>2024</w:t>
      </w:r>
      <w:r>
        <w:rPr>
          <w:rFonts w:hint="eastAsia" w:ascii="仿宋_GB2312" w:hAnsi="仿宋" w:eastAsia="仿宋_GB2312"/>
          <w:color w:val="000000" w:themeColor="text1"/>
          <w:sz w:val="32"/>
          <w:szCs w:val="32"/>
        </w:rPr>
        <w:t>年预算</w:t>
      </w:r>
      <w:r>
        <w:rPr>
          <w:rFonts w:hint="eastAsia" w:ascii="仿宋_GB2312" w:hAnsi="仿宋" w:eastAsia="仿宋_GB2312"/>
          <w:color w:val="000000" w:themeColor="text1"/>
          <w:sz w:val="32"/>
          <w:szCs w:val="32"/>
          <w:lang w:val="en-US" w:eastAsia="zh-CN"/>
        </w:rPr>
        <w:t>35.41</w:t>
      </w:r>
      <w:r>
        <w:rPr>
          <w:rFonts w:hint="eastAsia" w:ascii="仿宋_GB2312" w:hAnsi="仿宋" w:eastAsia="仿宋_GB2312"/>
          <w:color w:val="000000" w:themeColor="text1"/>
          <w:sz w:val="32"/>
          <w:szCs w:val="32"/>
        </w:rPr>
        <w:t>万元，比</w:t>
      </w:r>
      <w:r>
        <w:rPr>
          <w:rFonts w:hint="eastAsia" w:ascii="仿宋_GB2312" w:hAnsi="仿宋" w:eastAsia="仿宋_GB2312"/>
          <w:color w:val="000000" w:themeColor="text1"/>
          <w:sz w:val="32"/>
          <w:szCs w:val="32"/>
          <w:lang w:eastAsia="zh-CN"/>
        </w:rPr>
        <w:t>2023</w:t>
      </w:r>
      <w:r>
        <w:rPr>
          <w:rFonts w:hint="eastAsia" w:ascii="仿宋_GB2312" w:hAnsi="仿宋" w:eastAsia="仿宋_GB2312"/>
          <w:color w:val="000000" w:themeColor="text1"/>
          <w:sz w:val="32"/>
          <w:szCs w:val="32"/>
        </w:rPr>
        <w:t>年预算减少</w:t>
      </w:r>
      <w:r>
        <w:rPr>
          <w:rFonts w:hint="eastAsia" w:ascii="仿宋_GB2312" w:hAnsi="仿宋" w:eastAsia="仿宋_GB2312"/>
          <w:color w:val="000000" w:themeColor="text1"/>
          <w:sz w:val="32"/>
          <w:szCs w:val="32"/>
          <w:lang w:val="en-US" w:eastAsia="zh-CN"/>
        </w:rPr>
        <w:t>0.76</w:t>
      </w:r>
      <w:r>
        <w:rPr>
          <w:rFonts w:hint="eastAsia" w:ascii="仿宋_GB2312" w:hAnsi="仿宋" w:eastAsia="仿宋_GB2312"/>
          <w:color w:val="000000" w:themeColor="text1"/>
          <w:sz w:val="32"/>
          <w:szCs w:val="32"/>
        </w:rPr>
        <w:t>万元，下降</w:t>
      </w:r>
      <w:r>
        <w:rPr>
          <w:rFonts w:hint="eastAsia" w:ascii="仿宋_GB2312" w:hAnsi="仿宋" w:eastAsia="仿宋_GB2312"/>
          <w:color w:val="000000" w:themeColor="text1"/>
          <w:sz w:val="32"/>
          <w:szCs w:val="32"/>
          <w:lang w:val="en-US" w:eastAsia="zh-CN"/>
        </w:rPr>
        <w:t>2.10%</w:t>
      </w:r>
      <w:r>
        <w:rPr>
          <w:rFonts w:hint="eastAsia" w:ascii="仿宋_GB2312" w:hAnsi="仿宋" w:eastAsia="仿宋_GB2312"/>
          <w:color w:val="000000" w:themeColor="text1"/>
          <w:sz w:val="32"/>
          <w:szCs w:val="32"/>
        </w:rPr>
        <w:t>，下降原因主要是住房公积金</w:t>
      </w:r>
      <w:r>
        <w:rPr>
          <w:rFonts w:hint="eastAsia" w:ascii="仿宋_GB2312" w:hAnsi="仿宋" w:eastAsia="仿宋_GB2312"/>
          <w:color w:val="000000" w:themeColor="text1"/>
          <w:sz w:val="32"/>
          <w:szCs w:val="32"/>
          <w:lang w:eastAsia="zh-CN"/>
        </w:rPr>
        <w:t>支出减少</w:t>
      </w:r>
      <w:r>
        <w:rPr>
          <w:rFonts w:hint="eastAsia" w:ascii="仿宋_GB2312" w:hAnsi="仿宋" w:eastAsia="仿宋_GB2312"/>
          <w:color w:val="000000" w:themeColor="text1"/>
          <w:sz w:val="32"/>
          <w:szCs w:val="32"/>
        </w:rPr>
        <w:t>。</w:t>
      </w:r>
    </w:p>
    <w:p>
      <w:pPr>
        <w:adjustRightInd w:val="0"/>
        <w:snapToGrid w:val="0"/>
        <w:spacing w:line="600" w:lineRule="exact"/>
        <w:ind w:firstLine="643" w:firstLineChars="200"/>
        <w:rPr>
          <w:rFonts w:hint="eastAsia" w:ascii="仿宋_GB2312" w:hAnsi="仿宋" w:eastAsia="仿宋_GB2312"/>
          <w:color w:val="548DD4" w:themeColor="text2" w:themeTint="99"/>
          <w:sz w:val="32"/>
          <w:szCs w:val="32"/>
        </w:rPr>
      </w:pPr>
      <w:r>
        <w:rPr>
          <w:rFonts w:hint="eastAsia" w:ascii="仿宋_GB2312" w:hAnsi="仿宋" w:eastAsia="仿宋_GB2312"/>
          <w:b/>
          <w:color w:val="000000" w:themeColor="text1"/>
          <w:sz w:val="32"/>
          <w:szCs w:val="32"/>
          <w:lang w:val="en-US" w:eastAsia="zh-CN"/>
        </w:rPr>
        <w:t>9</w:t>
      </w:r>
      <w:r>
        <w:rPr>
          <w:rFonts w:ascii="仿宋_GB2312" w:hAnsi="仿宋" w:eastAsia="仿宋_GB2312"/>
          <w:b/>
          <w:color w:val="000000" w:themeColor="text1"/>
          <w:sz w:val="32"/>
          <w:szCs w:val="32"/>
        </w:rPr>
        <w:t>.</w:t>
      </w:r>
      <w:r>
        <w:rPr>
          <w:rFonts w:hint="eastAsia" w:ascii="仿宋_GB2312" w:hAnsi="仿宋" w:eastAsia="仿宋_GB2312"/>
          <w:b/>
          <w:color w:val="000000" w:themeColor="text1"/>
          <w:sz w:val="32"/>
          <w:szCs w:val="32"/>
        </w:rPr>
        <w:t>住房保障支出（类）住房改革支出（款）提租补贴（项）</w:t>
      </w:r>
      <w:r>
        <w:rPr>
          <w:rFonts w:hint="eastAsia" w:ascii="仿宋_GB2312" w:hAnsi="仿宋" w:eastAsia="仿宋_GB2312"/>
          <w:color w:val="000000" w:themeColor="text1"/>
          <w:sz w:val="32"/>
          <w:szCs w:val="32"/>
          <w:lang w:eastAsia="zh-CN"/>
        </w:rPr>
        <w:t>2024</w:t>
      </w:r>
      <w:r>
        <w:rPr>
          <w:rFonts w:hint="eastAsia" w:ascii="仿宋_GB2312" w:hAnsi="仿宋" w:eastAsia="仿宋_GB2312"/>
          <w:color w:val="000000" w:themeColor="text1"/>
          <w:sz w:val="32"/>
          <w:szCs w:val="32"/>
        </w:rPr>
        <w:t>年预算</w:t>
      </w:r>
      <w:r>
        <w:rPr>
          <w:rFonts w:hint="eastAsia" w:ascii="仿宋_GB2312" w:hAnsi="仿宋" w:eastAsia="仿宋_GB2312"/>
          <w:color w:val="000000" w:themeColor="text1"/>
          <w:sz w:val="32"/>
          <w:szCs w:val="32"/>
          <w:lang w:val="en-US" w:eastAsia="zh-CN"/>
        </w:rPr>
        <w:t>22.80</w:t>
      </w:r>
      <w:r>
        <w:rPr>
          <w:rFonts w:hint="eastAsia" w:ascii="仿宋_GB2312" w:hAnsi="仿宋" w:eastAsia="仿宋_GB2312"/>
          <w:color w:val="000000" w:themeColor="text1"/>
          <w:sz w:val="32"/>
          <w:szCs w:val="32"/>
        </w:rPr>
        <w:t>万元，比</w:t>
      </w:r>
      <w:r>
        <w:rPr>
          <w:rFonts w:hint="eastAsia" w:ascii="仿宋_GB2312" w:hAnsi="仿宋" w:eastAsia="仿宋_GB2312"/>
          <w:color w:val="000000" w:themeColor="text1"/>
          <w:sz w:val="32"/>
          <w:szCs w:val="32"/>
          <w:lang w:eastAsia="zh-CN"/>
        </w:rPr>
        <w:t>2023</w:t>
      </w:r>
      <w:r>
        <w:rPr>
          <w:rFonts w:hint="eastAsia" w:ascii="仿宋_GB2312" w:hAnsi="仿宋" w:eastAsia="仿宋_GB2312"/>
          <w:color w:val="000000" w:themeColor="text1"/>
          <w:sz w:val="32"/>
          <w:szCs w:val="32"/>
        </w:rPr>
        <w:t>年预算</w:t>
      </w:r>
      <w:r>
        <w:rPr>
          <w:rFonts w:hint="eastAsia" w:ascii="仿宋_GB2312" w:hAnsi="仿宋" w:eastAsia="仿宋_GB2312"/>
          <w:color w:val="000000" w:themeColor="text1"/>
          <w:sz w:val="32"/>
          <w:szCs w:val="32"/>
          <w:lang w:eastAsia="zh-CN"/>
        </w:rPr>
        <w:t>增加</w:t>
      </w:r>
      <w:r>
        <w:rPr>
          <w:rFonts w:hint="eastAsia" w:ascii="仿宋_GB2312" w:hAnsi="仿宋" w:eastAsia="仿宋_GB2312"/>
          <w:color w:val="000000" w:themeColor="text1"/>
          <w:sz w:val="32"/>
          <w:szCs w:val="32"/>
          <w:lang w:val="en-US" w:eastAsia="zh-CN"/>
        </w:rPr>
        <w:t>2.84</w:t>
      </w:r>
      <w:r>
        <w:rPr>
          <w:rFonts w:hint="eastAsia" w:ascii="仿宋_GB2312" w:hAnsi="仿宋" w:eastAsia="仿宋_GB2312"/>
          <w:color w:val="000000" w:themeColor="text1"/>
          <w:sz w:val="32"/>
          <w:szCs w:val="32"/>
        </w:rPr>
        <w:t>万元，</w:t>
      </w:r>
      <w:r>
        <w:rPr>
          <w:rFonts w:hint="eastAsia" w:ascii="仿宋_GB2312" w:hAnsi="仿宋" w:eastAsia="仿宋_GB2312"/>
          <w:color w:val="000000" w:themeColor="text1"/>
          <w:sz w:val="32"/>
          <w:szCs w:val="32"/>
          <w:lang w:eastAsia="zh-CN"/>
        </w:rPr>
        <w:t>增长</w:t>
      </w:r>
      <w:r>
        <w:rPr>
          <w:rFonts w:hint="eastAsia" w:ascii="仿宋_GB2312" w:hAnsi="仿宋" w:eastAsia="仿宋_GB2312"/>
          <w:color w:val="000000" w:themeColor="text1"/>
          <w:sz w:val="32"/>
          <w:szCs w:val="32"/>
          <w:lang w:val="en-US" w:eastAsia="zh-CN"/>
        </w:rPr>
        <w:t>14.20%</w:t>
      </w:r>
      <w:r>
        <w:rPr>
          <w:rFonts w:hint="eastAsia" w:ascii="仿宋_GB2312" w:hAnsi="仿宋" w:eastAsia="仿宋_GB2312"/>
          <w:color w:val="000000" w:themeColor="text1"/>
          <w:sz w:val="32"/>
          <w:szCs w:val="32"/>
        </w:rPr>
        <w:t>，</w:t>
      </w:r>
      <w:r>
        <w:rPr>
          <w:rFonts w:hint="eastAsia" w:ascii="仿宋_GB2312" w:hAnsi="仿宋" w:eastAsia="仿宋_GB2312"/>
          <w:color w:val="000000" w:themeColor="text1"/>
          <w:sz w:val="32"/>
          <w:szCs w:val="32"/>
          <w:lang w:val="en-US" w:eastAsia="zh-CN"/>
        </w:rPr>
        <w:t>增长</w:t>
      </w:r>
      <w:r>
        <w:rPr>
          <w:rFonts w:hint="eastAsia" w:ascii="仿宋_GB2312" w:hAnsi="仿宋" w:eastAsia="仿宋_GB2312"/>
          <w:color w:val="000000" w:themeColor="text1"/>
          <w:sz w:val="32"/>
          <w:szCs w:val="32"/>
        </w:rPr>
        <w:t>原因主要是</w:t>
      </w:r>
      <w:r>
        <w:rPr>
          <w:rFonts w:hint="eastAsia" w:ascii="仿宋_GB2312" w:hAnsi="仿宋" w:eastAsia="仿宋_GB2312"/>
          <w:color w:val="000000" w:themeColor="text1"/>
          <w:sz w:val="32"/>
          <w:szCs w:val="32"/>
          <w:lang w:eastAsia="zh-CN"/>
        </w:rPr>
        <w:t>增发</w:t>
      </w:r>
      <w:r>
        <w:rPr>
          <w:rFonts w:hint="eastAsia" w:ascii="仿宋_GB2312" w:hAnsi="仿宋" w:eastAsia="仿宋_GB2312"/>
          <w:color w:val="000000" w:themeColor="text1"/>
          <w:sz w:val="32"/>
          <w:szCs w:val="32"/>
        </w:rPr>
        <w:t>提租补贴</w:t>
      </w:r>
      <w:r>
        <w:rPr>
          <w:rFonts w:hint="eastAsia" w:ascii="仿宋_GB2312" w:hAnsi="仿宋" w:eastAsia="仿宋_GB2312"/>
          <w:color w:val="000000" w:themeColor="text1"/>
          <w:sz w:val="32"/>
          <w:szCs w:val="32"/>
          <w:lang w:eastAsia="zh-CN"/>
        </w:rPr>
        <w:t>支出</w:t>
      </w:r>
      <w:r>
        <w:rPr>
          <w:rFonts w:hint="eastAsia" w:ascii="仿宋_GB2312" w:hAnsi="仿宋" w:eastAsia="仿宋_GB2312"/>
          <w:color w:val="000000" w:themeColor="text1"/>
          <w:sz w:val="32"/>
          <w:szCs w:val="32"/>
        </w:rPr>
        <w:t>。</w:t>
      </w:r>
    </w:p>
    <w:p>
      <w:pPr>
        <w:pStyle w:val="4"/>
        <w:adjustRightInd w:val="0"/>
        <w:snapToGrid w:val="0"/>
        <w:spacing w:before="0" w:beforeAutospacing="0" w:after="0" w:afterAutospacing="0" w:line="600" w:lineRule="exact"/>
        <w:ind w:firstLine="640" w:firstLineChars="200"/>
        <w:rPr>
          <w:rFonts w:ascii="黑体" w:eastAsia="黑体"/>
          <w:color w:val="000000"/>
        </w:rPr>
      </w:pPr>
      <w:r>
        <w:rPr>
          <w:rFonts w:hint="eastAsia" w:ascii="黑体" w:hAnsi="仿宋" w:eastAsia="黑体" w:cs="Times New Roman"/>
          <w:color w:val="000000"/>
          <w:kern w:val="2"/>
          <w:sz w:val="32"/>
          <w:szCs w:val="32"/>
        </w:rPr>
        <w:t>六、关于</w:t>
      </w:r>
      <w:r>
        <w:rPr>
          <w:rFonts w:hint="eastAsia" w:ascii="黑体" w:hAnsi="仿宋" w:eastAsia="黑体" w:cs="Times New Roman"/>
          <w:color w:val="000000"/>
          <w:kern w:val="2"/>
          <w:sz w:val="32"/>
          <w:szCs w:val="32"/>
          <w:lang w:eastAsia="zh-CN"/>
        </w:rPr>
        <w:t>2024</w:t>
      </w:r>
      <w:r>
        <w:rPr>
          <w:rFonts w:hint="eastAsia" w:ascii="黑体" w:hAnsi="仿宋" w:eastAsia="黑体" w:cs="Times New Roman"/>
          <w:color w:val="000000"/>
          <w:kern w:val="2"/>
          <w:sz w:val="32"/>
          <w:szCs w:val="32"/>
        </w:rPr>
        <w:t>年一般公共预算基本支出表的说明</w:t>
      </w:r>
    </w:p>
    <w:p>
      <w:pPr>
        <w:ind w:firstLine="640" w:firstLineChars="200"/>
        <w:rPr>
          <w:rFonts w:ascii="仿宋_GB2312" w:hAnsi="仿宋" w:eastAsia="仿宋_GB2312"/>
          <w:sz w:val="32"/>
          <w:szCs w:val="32"/>
        </w:rPr>
      </w:pPr>
      <w:r>
        <w:rPr>
          <w:rFonts w:hint="eastAsia" w:ascii="仿宋_GB2312" w:hAnsi="仿宋" w:eastAsia="仿宋_GB2312"/>
          <w:sz w:val="32"/>
          <w:szCs w:val="32"/>
          <w:lang w:eastAsia="zh-CN"/>
        </w:rPr>
        <w:t>淮南市食品药品检验中心2024</w:t>
      </w:r>
      <w:r>
        <w:rPr>
          <w:rFonts w:hint="eastAsia" w:ascii="仿宋_GB2312" w:hAnsi="仿宋" w:eastAsia="仿宋_GB2312"/>
          <w:sz w:val="32"/>
          <w:szCs w:val="32"/>
        </w:rPr>
        <w:t>年一般公共预算基本支出</w:t>
      </w:r>
      <w:r>
        <w:rPr>
          <w:rFonts w:hint="eastAsia" w:ascii="仿宋_GB2312" w:hAnsi="仿宋" w:eastAsia="仿宋_GB2312"/>
          <w:sz w:val="32"/>
          <w:szCs w:val="32"/>
          <w:lang w:val="en-US" w:eastAsia="zh-CN"/>
        </w:rPr>
        <w:t>535.82</w:t>
      </w:r>
      <w:r>
        <w:rPr>
          <w:rFonts w:hint="eastAsia" w:ascii="仿宋_GB2312" w:hAnsi="仿宋" w:eastAsia="仿宋_GB2312"/>
          <w:sz w:val="32"/>
          <w:szCs w:val="32"/>
        </w:rPr>
        <w:t>万元，其中，人员经费</w:t>
      </w:r>
      <w:r>
        <w:rPr>
          <w:rFonts w:hint="eastAsia" w:ascii="仿宋_GB2312" w:hAnsi="仿宋" w:eastAsia="仿宋_GB2312"/>
          <w:sz w:val="32"/>
          <w:szCs w:val="32"/>
          <w:lang w:val="en-US" w:eastAsia="zh-CN"/>
        </w:rPr>
        <w:t>505.26</w:t>
      </w:r>
      <w:r>
        <w:rPr>
          <w:rFonts w:hint="eastAsia" w:ascii="仿宋_GB2312" w:hAnsi="仿宋" w:eastAsia="仿宋_GB2312"/>
          <w:sz w:val="32"/>
          <w:szCs w:val="32"/>
        </w:rPr>
        <w:t>万元，公用经费</w:t>
      </w:r>
      <w:r>
        <w:rPr>
          <w:rFonts w:hint="eastAsia" w:ascii="仿宋_GB2312" w:hAnsi="仿宋" w:eastAsia="仿宋_GB2312"/>
          <w:sz w:val="32"/>
          <w:szCs w:val="32"/>
          <w:lang w:val="en-US" w:eastAsia="zh-CN"/>
        </w:rPr>
        <w:t>30.56</w:t>
      </w:r>
      <w:r>
        <w:rPr>
          <w:rFonts w:hint="eastAsia" w:ascii="仿宋_GB2312" w:hAnsi="仿宋" w:eastAsia="仿宋_GB2312"/>
          <w:sz w:val="32"/>
          <w:szCs w:val="32"/>
        </w:rPr>
        <w:t>万元。</w:t>
      </w:r>
    </w:p>
    <w:p>
      <w:pPr>
        <w:ind w:firstLine="640" w:firstLineChars="200"/>
        <w:rPr>
          <w:rFonts w:ascii="仿宋_GB2312" w:hAnsi="仿宋" w:eastAsia="仿宋_GB2312"/>
          <w:color w:val="000000" w:themeColor="text1"/>
          <w:sz w:val="32"/>
          <w:szCs w:val="32"/>
          <w:u w:val="none"/>
        </w:rPr>
      </w:pPr>
      <w:r>
        <w:rPr>
          <w:rFonts w:hint="eastAsia" w:ascii="仿宋_GB2312" w:hAnsi="仿宋" w:eastAsia="仿宋_GB2312"/>
          <w:color w:val="000000" w:themeColor="text1"/>
          <w:sz w:val="32"/>
          <w:szCs w:val="32"/>
        </w:rPr>
        <w:t>（一）人员经费</w:t>
      </w:r>
      <w:r>
        <w:rPr>
          <w:rFonts w:hint="eastAsia" w:ascii="仿宋_GB2312" w:hAnsi="仿宋" w:eastAsia="仿宋_GB2312"/>
          <w:color w:val="000000" w:themeColor="text1"/>
          <w:sz w:val="32"/>
          <w:szCs w:val="32"/>
          <w:lang w:val="en-US" w:eastAsia="zh-CN"/>
        </w:rPr>
        <w:t>505.26</w:t>
      </w:r>
      <w:r>
        <w:rPr>
          <w:rFonts w:hint="eastAsia" w:ascii="仿宋_GB2312" w:hAnsi="仿宋" w:eastAsia="仿宋_GB2312"/>
          <w:color w:val="000000" w:themeColor="text1"/>
          <w:sz w:val="32"/>
          <w:szCs w:val="32"/>
        </w:rPr>
        <w:t>万元，主要包括</w:t>
      </w:r>
      <w:r>
        <w:rPr>
          <w:rFonts w:ascii="仿宋_GB2312" w:hAnsi="仿宋" w:eastAsia="仿宋_GB2312"/>
          <w:color w:val="000000" w:themeColor="text1"/>
          <w:sz w:val="32"/>
          <w:szCs w:val="32"/>
        </w:rPr>
        <w:t>:</w:t>
      </w:r>
      <w:r>
        <w:rPr>
          <w:rFonts w:hint="eastAsia" w:ascii="仿宋_GB2312" w:hAnsi="仿宋" w:eastAsia="仿宋_GB2312"/>
          <w:color w:val="000000" w:themeColor="text1"/>
          <w:sz w:val="32"/>
          <w:szCs w:val="32"/>
          <w:u w:val="none"/>
        </w:rPr>
        <w:t>基本工资、津贴补贴、奖金、绩效工资、机关事业单位基本养老保险费、职工基本医疗保险缴费、职业年金缴费</w:t>
      </w:r>
      <w:r>
        <w:rPr>
          <w:rFonts w:hint="eastAsia" w:ascii="仿宋_GB2312" w:hAnsi="仿宋" w:eastAsia="仿宋_GB2312"/>
          <w:color w:val="000000" w:themeColor="text1"/>
          <w:sz w:val="32"/>
          <w:szCs w:val="32"/>
          <w:u w:val="none"/>
          <w:lang w:eastAsia="zh-CN"/>
        </w:rPr>
        <w:t>、</w:t>
      </w:r>
      <w:r>
        <w:rPr>
          <w:rFonts w:hint="eastAsia" w:ascii="仿宋_GB2312" w:hAnsi="仿宋" w:eastAsia="仿宋_GB2312"/>
          <w:color w:val="000000" w:themeColor="text1"/>
          <w:sz w:val="32"/>
          <w:szCs w:val="32"/>
          <w:u w:val="none"/>
        </w:rPr>
        <w:t>其他社会保障缴费、住房公积金、其他工资福利支出、退休费、医疗费补助、奖励金、对其他个人和家庭的补助支出。</w:t>
      </w:r>
    </w:p>
    <w:p>
      <w:pPr>
        <w:ind w:firstLine="640" w:firstLineChars="200"/>
        <w:rPr>
          <w:rFonts w:ascii="仿宋_GB2312" w:hAnsi="仿宋" w:eastAsia="仿宋_GB2312"/>
          <w:color w:val="000000" w:themeColor="text1"/>
          <w:sz w:val="32"/>
          <w:szCs w:val="32"/>
          <w:u w:val="none"/>
        </w:rPr>
      </w:pPr>
      <w:r>
        <w:rPr>
          <w:rFonts w:hint="eastAsia" w:ascii="仿宋_GB2312" w:hAnsi="仿宋" w:eastAsia="仿宋_GB2312"/>
          <w:color w:val="000000" w:themeColor="text1"/>
          <w:sz w:val="32"/>
          <w:szCs w:val="32"/>
        </w:rPr>
        <w:t>（二）公用经费</w:t>
      </w:r>
      <w:r>
        <w:rPr>
          <w:rFonts w:hint="eastAsia" w:ascii="仿宋_GB2312" w:hAnsi="仿宋" w:eastAsia="仿宋_GB2312"/>
          <w:color w:val="000000" w:themeColor="text1"/>
          <w:sz w:val="32"/>
          <w:szCs w:val="32"/>
          <w:lang w:val="en-US" w:eastAsia="zh-CN"/>
        </w:rPr>
        <w:t>30.56</w:t>
      </w:r>
      <w:r>
        <w:rPr>
          <w:rFonts w:hint="eastAsia" w:ascii="仿宋_GB2312" w:hAnsi="仿宋" w:eastAsia="仿宋_GB2312"/>
          <w:color w:val="000000" w:themeColor="text1"/>
          <w:sz w:val="32"/>
          <w:szCs w:val="32"/>
        </w:rPr>
        <w:t>万元，主要包括：</w:t>
      </w:r>
      <w:r>
        <w:rPr>
          <w:rFonts w:hint="eastAsia" w:ascii="仿宋_GB2312" w:hAnsi="仿宋" w:eastAsia="仿宋_GB2312"/>
          <w:color w:val="000000" w:themeColor="text1"/>
          <w:sz w:val="32"/>
          <w:szCs w:val="32"/>
          <w:u w:val="none"/>
        </w:rPr>
        <w:t>培训费、公务接待费、工会经费、福利费、公务用车运行维护费</w:t>
      </w:r>
      <w:r>
        <w:rPr>
          <w:rFonts w:hint="eastAsia" w:ascii="仿宋_GB2312" w:hAnsi="仿宋" w:eastAsia="仿宋_GB2312"/>
          <w:color w:val="000000" w:themeColor="text1"/>
          <w:sz w:val="32"/>
          <w:szCs w:val="32"/>
          <w:u w:val="none"/>
          <w:lang w:eastAsia="zh-CN"/>
        </w:rPr>
        <w:t>、其他交通费用、其他商品和服务支出</w:t>
      </w:r>
      <w:r>
        <w:rPr>
          <w:rFonts w:hint="eastAsia" w:ascii="仿宋_GB2312" w:hAnsi="仿宋" w:eastAsia="仿宋_GB2312"/>
          <w:color w:val="000000" w:themeColor="text1"/>
          <w:sz w:val="32"/>
          <w:szCs w:val="32"/>
          <w:u w:val="none"/>
        </w:rPr>
        <w:t>。</w:t>
      </w:r>
    </w:p>
    <w:p>
      <w:pPr>
        <w:pStyle w:val="4"/>
        <w:adjustRightInd w:val="0"/>
        <w:snapToGrid w:val="0"/>
        <w:spacing w:before="0" w:beforeAutospacing="0" w:after="0" w:afterAutospacing="0" w:line="600" w:lineRule="exact"/>
        <w:ind w:firstLine="640" w:firstLineChars="200"/>
        <w:rPr>
          <w:rFonts w:ascii="黑体" w:hAnsi="仿宋" w:eastAsia="黑体"/>
          <w:sz w:val="32"/>
          <w:szCs w:val="32"/>
        </w:rPr>
      </w:pPr>
      <w:r>
        <w:rPr>
          <w:rFonts w:hint="eastAsia" w:ascii="黑体" w:hAnsi="仿宋" w:eastAsia="黑体"/>
          <w:sz w:val="32"/>
          <w:szCs w:val="32"/>
        </w:rPr>
        <w:t>七、关于</w:t>
      </w:r>
      <w:r>
        <w:rPr>
          <w:rFonts w:hint="eastAsia" w:ascii="黑体" w:hAnsi="仿宋" w:eastAsia="黑体"/>
          <w:sz w:val="32"/>
          <w:szCs w:val="32"/>
          <w:lang w:eastAsia="zh-CN"/>
        </w:rPr>
        <w:t>2024</w:t>
      </w:r>
      <w:r>
        <w:rPr>
          <w:rFonts w:hint="eastAsia" w:ascii="黑体" w:hAnsi="仿宋" w:eastAsia="黑体"/>
          <w:sz w:val="32"/>
          <w:szCs w:val="32"/>
        </w:rPr>
        <w:t>年政府性基金预算支出表的说明</w:t>
      </w:r>
    </w:p>
    <w:p>
      <w:pPr>
        <w:pStyle w:val="4"/>
        <w:adjustRightInd w:val="0"/>
        <w:snapToGrid w:val="0"/>
        <w:spacing w:before="0" w:beforeAutospacing="0" w:after="0" w:afterAutospacing="0" w:line="580" w:lineRule="exact"/>
        <w:ind w:firstLine="640" w:firstLineChars="200"/>
        <w:jc w:val="both"/>
        <w:rPr>
          <w:rFonts w:ascii="仿宋_GB2312" w:hAnsi="仿宋" w:eastAsia="仿宋_GB2312"/>
          <w:sz w:val="32"/>
          <w:szCs w:val="32"/>
        </w:rPr>
      </w:pPr>
      <w:r>
        <w:rPr>
          <w:rFonts w:hint="eastAsia" w:ascii="仿宋_GB2312" w:hAnsi="仿宋" w:eastAsia="仿宋_GB2312"/>
          <w:sz w:val="32"/>
          <w:szCs w:val="32"/>
          <w:lang w:eastAsia="zh-CN"/>
        </w:rPr>
        <w:t>淮南市食品药品检验中心2024</w:t>
      </w:r>
      <w:r>
        <w:rPr>
          <w:rFonts w:hint="eastAsia" w:ascii="仿宋_GB2312" w:hAnsi="仿宋" w:eastAsia="仿宋_GB2312"/>
          <w:sz w:val="32"/>
          <w:szCs w:val="32"/>
        </w:rPr>
        <w:t>年没有政府性基金预算拨款收入，也没有使用政府性基金预算拨款安排的支出。</w:t>
      </w:r>
    </w:p>
    <w:p>
      <w:pPr>
        <w:pStyle w:val="4"/>
        <w:adjustRightInd w:val="0"/>
        <w:snapToGrid w:val="0"/>
        <w:spacing w:before="0" w:beforeAutospacing="0" w:after="0" w:afterAutospacing="0" w:line="600" w:lineRule="exact"/>
        <w:ind w:firstLine="640" w:firstLineChars="200"/>
        <w:rPr>
          <w:rFonts w:ascii="黑体" w:hAnsi="仿宋" w:eastAsia="黑体"/>
          <w:sz w:val="32"/>
          <w:szCs w:val="32"/>
        </w:rPr>
      </w:pPr>
      <w:r>
        <w:rPr>
          <w:rFonts w:hint="eastAsia" w:ascii="黑体" w:hAnsi="仿宋" w:eastAsia="黑体"/>
          <w:sz w:val="32"/>
          <w:szCs w:val="32"/>
        </w:rPr>
        <w:t>八、关于</w:t>
      </w:r>
      <w:r>
        <w:rPr>
          <w:rFonts w:hint="eastAsia" w:ascii="黑体" w:hAnsi="仿宋" w:eastAsia="黑体"/>
          <w:sz w:val="32"/>
          <w:szCs w:val="32"/>
          <w:lang w:eastAsia="zh-CN"/>
        </w:rPr>
        <w:t>2024</w:t>
      </w:r>
      <w:r>
        <w:rPr>
          <w:rFonts w:hint="eastAsia" w:ascii="黑体" w:hAnsi="仿宋" w:eastAsia="黑体"/>
          <w:sz w:val="32"/>
          <w:szCs w:val="32"/>
        </w:rPr>
        <w:t>年国有资本经营预算支出表的说明</w:t>
      </w:r>
    </w:p>
    <w:p>
      <w:pPr>
        <w:pStyle w:val="4"/>
        <w:adjustRightInd w:val="0"/>
        <w:snapToGrid w:val="0"/>
        <w:spacing w:before="0" w:beforeAutospacing="0" w:after="0" w:afterAutospacing="0" w:line="60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淮南市食品药品检验中心2024</w:t>
      </w:r>
      <w:r>
        <w:rPr>
          <w:rFonts w:hint="eastAsia" w:ascii="仿宋_GB2312" w:hAnsi="仿宋" w:eastAsia="仿宋_GB2312"/>
          <w:sz w:val="32"/>
          <w:szCs w:val="32"/>
        </w:rPr>
        <w:t>年没有国有资本经营预算拨款收入，也没有使用国有资本经营预算拨款安排的支出。</w:t>
      </w:r>
    </w:p>
    <w:p>
      <w:pPr>
        <w:pStyle w:val="4"/>
        <w:adjustRightInd w:val="0"/>
        <w:snapToGrid w:val="0"/>
        <w:spacing w:before="0" w:beforeAutospacing="0" w:after="0" w:afterAutospacing="0" w:line="600" w:lineRule="exact"/>
        <w:ind w:firstLine="640" w:firstLineChars="200"/>
        <w:rPr>
          <w:rFonts w:ascii="黑体" w:hAnsi="仿宋" w:eastAsia="黑体"/>
          <w:sz w:val="32"/>
          <w:szCs w:val="32"/>
        </w:rPr>
      </w:pPr>
      <w:r>
        <w:rPr>
          <w:rFonts w:hint="eastAsia" w:ascii="黑体" w:hAnsi="仿宋" w:eastAsia="黑体"/>
          <w:sz w:val="32"/>
          <w:szCs w:val="32"/>
        </w:rPr>
        <w:t>九、关于</w:t>
      </w:r>
      <w:r>
        <w:rPr>
          <w:rFonts w:hint="eastAsia" w:ascii="黑体" w:hAnsi="仿宋" w:eastAsia="黑体"/>
          <w:sz w:val="32"/>
          <w:szCs w:val="32"/>
          <w:lang w:eastAsia="zh-CN"/>
        </w:rPr>
        <w:t>2024</w:t>
      </w:r>
      <w:r>
        <w:rPr>
          <w:rFonts w:hint="eastAsia" w:ascii="黑体" w:hAnsi="仿宋" w:eastAsia="黑体"/>
          <w:sz w:val="32"/>
          <w:szCs w:val="32"/>
        </w:rPr>
        <w:t>年项目支出表的说明</w:t>
      </w:r>
    </w:p>
    <w:p>
      <w:pPr>
        <w:pStyle w:val="4"/>
        <w:adjustRightInd w:val="0"/>
        <w:snapToGrid w:val="0"/>
        <w:spacing w:before="0" w:beforeAutospacing="0" w:after="0" w:afterAutospacing="0" w:line="60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淮南市食品药品检验中心2024</w:t>
      </w:r>
      <w:r>
        <w:rPr>
          <w:rFonts w:hint="eastAsia" w:ascii="仿宋_GB2312" w:hAnsi="仿宋" w:eastAsia="仿宋_GB2312"/>
          <w:sz w:val="32"/>
          <w:szCs w:val="32"/>
        </w:rPr>
        <w:t>年预算共安排项目支出</w:t>
      </w:r>
      <w:r>
        <w:rPr>
          <w:rFonts w:hint="eastAsia" w:ascii="仿宋_GB2312" w:hAnsi="仿宋" w:eastAsia="仿宋_GB2312"/>
          <w:sz w:val="32"/>
          <w:szCs w:val="32"/>
          <w:lang w:val="en-US" w:eastAsia="zh-CN"/>
        </w:rPr>
        <w:t>262.24</w:t>
      </w:r>
      <w:r>
        <w:rPr>
          <w:rFonts w:hint="eastAsia" w:ascii="仿宋_GB2312" w:hAnsi="仿宋" w:eastAsia="仿宋_GB2312"/>
          <w:sz w:val="32"/>
          <w:szCs w:val="32"/>
        </w:rPr>
        <w:t>万元，比</w:t>
      </w:r>
      <w:r>
        <w:rPr>
          <w:rFonts w:hint="eastAsia" w:ascii="仿宋_GB2312" w:hAnsi="仿宋" w:eastAsia="仿宋_GB2312"/>
          <w:sz w:val="32"/>
          <w:szCs w:val="32"/>
          <w:lang w:eastAsia="zh-CN"/>
        </w:rPr>
        <w:t>2023</w:t>
      </w:r>
      <w:r>
        <w:rPr>
          <w:rFonts w:hint="eastAsia" w:ascii="仿宋_GB2312" w:hAnsi="仿宋" w:eastAsia="仿宋_GB2312"/>
          <w:sz w:val="32"/>
          <w:szCs w:val="32"/>
        </w:rPr>
        <w:t>年预算增加</w:t>
      </w:r>
      <w:r>
        <w:rPr>
          <w:rFonts w:hint="eastAsia" w:ascii="仿宋_GB2312" w:hAnsi="仿宋" w:eastAsia="仿宋_GB2312"/>
          <w:sz w:val="32"/>
          <w:szCs w:val="32"/>
          <w:lang w:val="en-US" w:eastAsia="zh-CN"/>
        </w:rPr>
        <w:t>2.05</w:t>
      </w:r>
      <w:r>
        <w:rPr>
          <w:rFonts w:hint="eastAsia" w:ascii="仿宋_GB2312" w:hAnsi="仿宋" w:eastAsia="仿宋_GB2312"/>
          <w:sz w:val="32"/>
          <w:szCs w:val="32"/>
        </w:rPr>
        <w:t>万元，增长</w:t>
      </w:r>
      <w:r>
        <w:rPr>
          <w:rFonts w:hint="eastAsia" w:ascii="仿宋_GB2312" w:hAnsi="仿宋" w:eastAsia="仿宋_GB2312"/>
          <w:sz w:val="32"/>
          <w:szCs w:val="32"/>
          <w:lang w:val="en-US" w:eastAsia="zh-CN"/>
        </w:rPr>
        <w:t>0.79%</w:t>
      </w:r>
      <w:r>
        <w:rPr>
          <w:rFonts w:hint="eastAsia" w:ascii="仿宋_GB2312" w:hAnsi="仿宋" w:eastAsia="仿宋_GB2312"/>
          <w:sz w:val="32"/>
          <w:szCs w:val="32"/>
        </w:rPr>
        <w:t>，增长原因主要是</w:t>
      </w:r>
      <w:r>
        <w:rPr>
          <w:rFonts w:hint="eastAsia" w:ascii="仿宋_GB2312" w:hAnsi="仿宋" w:eastAsia="仿宋_GB2312"/>
          <w:sz w:val="32"/>
          <w:szCs w:val="32"/>
          <w:lang w:eastAsia="zh-CN"/>
        </w:rPr>
        <w:t>单位资金安排的项目支出增加</w:t>
      </w:r>
      <w:r>
        <w:rPr>
          <w:rFonts w:hint="eastAsia" w:ascii="仿宋_GB2312" w:hAnsi="仿宋" w:eastAsia="仿宋_GB2312"/>
          <w:sz w:val="32"/>
          <w:szCs w:val="32"/>
        </w:rPr>
        <w:t>。主要包括：本年财政拨款安排262.24万元（其中，一般公共预算拨款安排</w:t>
      </w:r>
      <w:r>
        <w:rPr>
          <w:rFonts w:hint="eastAsia" w:ascii="仿宋_GB2312" w:hAnsi="仿宋" w:eastAsia="仿宋_GB2312"/>
          <w:sz w:val="32"/>
          <w:szCs w:val="32"/>
          <w:lang w:val="en-US" w:eastAsia="zh-CN"/>
        </w:rPr>
        <w:t>262.24</w:t>
      </w:r>
      <w:r>
        <w:rPr>
          <w:rFonts w:hint="eastAsia" w:ascii="仿宋_GB2312" w:hAnsi="仿宋" w:eastAsia="仿宋_GB2312"/>
          <w:sz w:val="32"/>
          <w:szCs w:val="32"/>
        </w:rPr>
        <w:t>万元），财政拨款结转结余安排</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万元（其中，一般公共预算拨款安排</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w:t>
      </w:r>
      <w:r>
        <w:rPr>
          <w:rFonts w:hint="eastAsia" w:ascii="仿宋_GB2312" w:hAnsi="仿宋" w:eastAsia="仿宋_GB2312"/>
          <w:sz w:val="32"/>
          <w:szCs w:val="32"/>
          <w:lang w:eastAsia="zh-CN"/>
        </w:rPr>
        <w:t>，</w:t>
      </w:r>
      <w:r>
        <w:rPr>
          <w:rFonts w:hint="eastAsia" w:ascii="仿宋_GB2312" w:hAnsi="仿宋" w:eastAsia="仿宋_GB2312"/>
          <w:sz w:val="32"/>
          <w:szCs w:val="32"/>
        </w:rPr>
        <w:t>单位资金安排</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w:t>
      </w:r>
    </w:p>
    <w:p>
      <w:pPr>
        <w:pStyle w:val="4"/>
        <w:adjustRightInd w:val="0"/>
        <w:snapToGrid w:val="0"/>
        <w:spacing w:before="0" w:beforeAutospacing="0" w:after="0" w:afterAutospacing="0" w:line="600" w:lineRule="exact"/>
        <w:ind w:firstLine="640" w:firstLineChars="200"/>
        <w:rPr>
          <w:rFonts w:ascii="黑体" w:hAnsi="仿宋" w:eastAsia="黑体"/>
          <w:sz w:val="32"/>
          <w:szCs w:val="32"/>
        </w:rPr>
      </w:pPr>
      <w:r>
        <w:rPr>
          <w:rFonts w:hint="eastAsia" w:ascii="黑体" w:hAnsi="仿宋" w:eastAsia="黑体"/>
          <w:sz w:val="32"/>
          <w:szCs w:val="32"/>
        </w:rPr>
        <w:t>十、关于</w:t>
      </w:r>
      <w:r>
        <w:rPr>
          <w:rFonts w:hint="eastAsia" w:ascii="黑体" w:hAnsi="仿宋" w:eastAsia="黑体"/>
          <w:sz w:val="32"/>
          <w:szCs w:val="32"/>
          <w:lang w:eastAsia="zh-CN"/>
        </w:rPr>
        <w:t>2024</w:t>
      </w:r>
      <w:r>
        <w:rPr>
          <w:rFonts w:hint="eastAsia" w:ascii="黑体" w:hAnsi="仿宋" w:eastAsia="黑体"/>
          <w:sz w:val="32"/>
          <w:szCs w:val="32"/>
        </w:rPr>
        <w:t>年政府采购支出表的说明</w:t>
      </w:r>
    </w:p>
    <w:p>
      <w:pPr>
        <w:pStyle w:val="4"/>
        <w:adjustRightInd w:val="0"/>
        <w:snapToGrid w:val="0"/>
        <w:spacing w:before="0" w:beforeAutospacing="0" w:after="0" w:afterAutospacing="0" w:line="600" w:lineRule="exact"/>
        <w:ind w:firstLine="640" w:firstLineChars="200"/>
        <w:outlineLvl w:val="0"/>
        <w:rPr>
          <w:rFonts w:ascii="仿宋_GB2312" w:hAnsi="仿宋" w:eastAsia="仿宋_GB2312"/>
          <w:sz w:val="32"/>
          <w:szCs w:val="32"/>
        </w:rPr>
      </w:pPr>
      <w:r>
        <w:rPr>
          <w:rFonts w:hint="eastAsia" w:ascii="仿宋_GB2312" w:hAnsi="仿宋" w:eastAsia="仿宋_GB2312"/>
          <w:sz w:val="32"/>
          <w:szCs w:val="32"/>
          <w:lang w:eastAsia="zh-CN"/>
        </w:rPr>
        <w:t>淮南市食品药品检验中心2024</w:t>
      </w:r>
      <w:r>
        <w:rPr>
          <w:rFonts w:hint="eastAsia" w:ascii="仿宋_GB2312" w:hAnsi="仿宋" w:eastAsia="仿宋_GB2312"/>
          <w:sz w:val="32"/>
          <w:szCs w:val="32"/>
        </w:rPr>
        <w:t>年预算安排政府采购支出</w:t>
      </w:r>
      <w:r>
        <w:rPr>
          <w:rFonts w:hint="eastAsia" w:ascii="仿宋_GB2312" w:hAnsi="仿宋" w:eastAsia="仿宋_GB2312"/>
          <w:sz w:val="32"/>
          <w:szCs w:val="32"/>
          <w:lang w:val="en-US" w:eastAsia="zh-CN"/>
        </w:rPr>
        <w:t>3.10</w:t>
      </w:r>
      <w:r>
        <w:rPr>
          <w:rFonts w:hint="eastAsia" w:ascii="仿宋_GB2312" w:hAnsi="仿宋" w:eastAsia="仿宋_GB2312"/>
          <w:sz w:val="32"/>
          <w:szCs w:val="32"/>
        </w:rPr>
        <w:t>万元，</w:t>
      </w:r>
      <w:r>
        <w:rPr>
          <w:rFonts w:hint="eastAsia" w:ascii="仿宋_GB2312" w:hAnsi="仿宋" w:eastAsia="仿宋_GB2312"/>
          <w:sz w:val="32"/>
          <w:szCs w:val="32"/>
          <w:lang w:val="en-US" w:eastAsia="zh-CN"/>
        </w:rPr>
        <w:t>与2023年预算相比无增减变化</w:t>
      </w:r>
      <w:r>
        <w:rPr>
          <w:rFonts w:hint="eastAsia" w:ascii="仿宋_GB2312" w:hAnsi="仿宋" w:eastAsia="仿宋_GB2312"/>
          <w:sz w:val="32"/>
          <w:szCs w:val="32"/>
        </w:rPr>
        <w:t>。其中，一般公共预算安排</w:t>
      </w:r>
      <w:r>
        <w:rPr>
          <w:rFonts w:hint="eastAsia" w:ascii="仿宋_GB2312" w:hAnsi="仿宋" w:eastAsia="仿宋_GB2312"/>
          <w:sz w:val="32"/>
          <w:szCs w:val="32"/>
          <w:lang w:val="en-US" w:eastAsia="zh-CN"/>
        </w:rPr>
        <w:t>3.10</w:t>
      </w:r>
      <w:r>
        <w:rPr>
          <w:rFonts w:hint="eastAsia" w:ascii="仿宋_GB2312" w:hAnsi="仿宋" w:eastAsia="仿宋_GB2312"/>
          <w:sz w:val="32"/>
          <w:szCs w:val="32"/>
        </w:rPr>
        <w:t>万元，占</w:t>
      </w:r>
      <w:r>
        <w:rPr>
          <w:rFonts w:hint="eastAsia" w:ascii="仿宋_GB2312" w:hAnsi="仿宋" w:eastAsia="仿宋_GB2312"/>
          <w:sz w:val="32"/>
          <w:szCs w:val="32"/>
          <w:lang w:val="en-US" w:eastAsia="zh-CN"/>
        </w:rPr>
        <w:t>0</w:t>
      </w:r>
      <w:r>
        <w:rPr>
          <w:rFonts w:ascii="仿宋_GB2312" w:hAnsi="仿宋" w:eastAsia="仿宋_GB2312"/>
          <w:sz w:val="32"/>
          <w:szCs w:val="32"/>
        </w:rPr>
        <w:t>%</w:t>
      </w:r>
      <w:r>
        <w:rPr>
          <w:rFonts w:hint="eastAsia" w:ascii="仿宋_GB2312" w:hAnsi="仿宋" w:eastAsia="仿宋_GB2312"/>
          <w:sz w:val="32"/>
          <w:szCs w:val="32"/>
        </w:rPr>
        <w:t>；政府性基金预算安排</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万元，占</w:t>
      </w:r>
      <w:r>
        <w:rPr>
          <w:rFonts w:hint="eastAsia" w:ascii="仿宋_GB2312" w:hAnsi="仿宋" w:eastAsia="仿宋_GB2312"/>
          <w:sz w:val="32"/>
          <w:szCs w:val="32"/>
          <w:lang w:val="en-US" w:eastAsia="zh-CN"/>
        </w:rPr>
        <w:t>0</w:t>
      </w:r>
      <w:r>
        <w:rPr>
          <w:rFonts w:ascii="仿宋_GB2312" w:hAnsi="仿宋" w:eastAsia="仿宋_GB2312"/>
          <w:sz w:val="32"/>
          <w:szCs w:val="32"/>
        </w:rPr>
        <w:t>%</w:t>
      </w:r>
      <w:r>
        <w:rPr>
          <w:rFonts w:hint="eastAsia" w:ascii="仿宋_GB2312" w:hAnsi="仿宋" w:eastAsia="仿宋_GB2312"/>
          <w:sz w:val="32"/>
          <w:szCs w:val="32"/>
        </w:rPr>
        <w:t>；国有资本经营预算安排</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万元，占</w:t>
      </w:r>
      <w:r>
        <w:rPr>
          <w:rFonts w:hint="eastAsia" w:ascii="仿宋_GB2312" w:hAnsi="仿宋" w:eastAsia="仿宋_GB2312"/>
          <w:sz w:val="32"/>
          <w:szCs w:val="32"/>
          <w:lang w:val="en-US" w:eastAsia="zh-CN"/>
        </w:rPr>
        <w:t>0</w:t>
      </w:r>
      <w:r>
        <w:rPr>
          <w:rFonts w:ascii="仿宋_GB2312" w:hAnsi="仿宋" w:eastAsia="仿宋_GB2312"/>
          <w:sz w:val="32"/>
          <w:szCs w:val="32"/>
        </w:rPr>
        <w:t>%</w:t>
      </w:r>
      <w:r>
        <w:rPr>
          <w:rFonts w:hint="eastAsia" w:ascii="仿宋_GB2312" w:hAnsi="仿宋" w:eastAsia="仿宋_GB2312"/>
          <w:sz w:val="32"/>
          <w:szCs w:val="32"/>
        </w:rPr>
        <w:t>；财政专户管理资金安排</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万元，占</w:t>
      </w:r>
      <w:r>
        <w:rPr>
          <w:rFonts w:hint="eastAsia" w:ascii="仿宋_GB2312" w:hAnsi="仿宋" w:eastAsia="仿宋_GB2312"/>
          <w:sz w:val="32"/>
          <w:szCs w:val="32"/>
          <w:lang w:val="en-US" w:eastAsia="zh-CN"/>
        </w:rPr>
        <w:t>0</w:t>
      </w:r>
      <w:r>
        <w:rPr>
          <w:rFonts w:ascii="仿宋_GB2312" w:hAnsi="仿宋" w:eastAsia="仿宋_GB2312"/>
          <w:sz w:val="32"/>
          <w:szCs w:val="32"/>
        </w:rPr>
        <w:t>%</w:t>
      </w:r>
      <w:r>
        <w:rPr>
          <w:rFonts w:hint="eastAsia" w:ascii="仿宋_GB2312" w:hAnsi="仿宋" w:eastAsia="仿宋_GB2312"/>
          <w:sz w:val="32"/>
          <w:szCs w:val="32"/>
        </w:rPr>
        <w:t>；单位资金安排</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万元，占</w:t>
      </w:r>
      <w:r>
        <w:rPr>
          <w:rFonts w:hint="eastAsia" w:ascii="仿宋_GB2312" w:hAnsi="仿宋" w:eastAsia="仿宋_GB2312"/>
          <w:sz w:val="32"/>
          <w:szCs w:val="32"/>
          <w:lang w:val="en-US" w:eastAsia="zh-CN"/>
        </w:rPr>
        <w:t>100</w:t>
      </w:r>
      <w:r>
        <w:rPr>
          <w:rFonts w:ascii="仿宋_GB2312" w:hAnsi="仿宋" w:eastAsia="仿宋_GB2312"/>
          <w:sz w:val="32"/>
          <w:szCs w:val="32"/>
        </w:rPr>
        <w:t>%</w:t>
      </w:r>
      <w:r>
        <w:rPr>
          <w:rFonts w:hint="eastAsia" w:ascii="仿宋_GB2312" w:hAnsi="仿宋" w:eastAsia="仿宋_GB2312"/>
          <w:sz w:val="32"/>
          <w:szCs w:val="32"/>
        </w:rPr>
        <w:t>。</w:t>
      </w:r>
    </w:p>
    <w:p>
      <w:pPr>
        <w:pStyle w:val="4"/>
        <w:adjustRightInd w:val="0"/>
        <w:snapToGrid w:val="0"/>
        <w:spacing w:before="0" w:beforeAutospacing="0" w:after="0" w:afterAutospacing="0" w:line="600" w:lineRule="exact"/>
        <w:ind w:firstLine="640" w:firstLineChars="200"/>
        <w:rPr>
          <w:rFonts w:ascii="黑体" w:hAnsi="仿宋" w:eastAsia="黑体"/>
          <w:sz w:val="32"/>
          <w:szCs w:val="32"/>
        </w:rPr>
      </w:pPr>
      <w:r>
        <w:rPr>
          <w:rFonts w:hint="eastAsia" w:ascii="黑体" w:hAnsi="仿宋" w:eastAsia="黑体"/>
          <w:sz w:val="32"/>
          <w:szCs w:val="32"/>
        </w:rPr>
        <w:t>十一、关于</w:t>
      </w:r>
      <w:r>
        <w:rPr>
          <w:rFonts w:hint="eastAsia" w:ascii="黑体" w:hAnsi="仿宋" w:eastAsia="黑体"/>
          <w:sz w:val="32"/>
          <w:szCs w:val="32"/>
          <w:lang w:eastAsia="zh-CN"/>
        </w:rPr>
        <w:t>2024</w:t>
      </w:r>
      <w:r>
        <w:rPr>
          <w:rFonts w:hint="eastAsia" w:ascii="黑体" w:hAnsi="仿宋" w:eastAsia="黑体"/>
          <w:sz w:val="32"/>
          <w:szCs w:val="32"/>
        </w:rPr>
        <w:t>年政府购买服务支出表的说明</w:t>
      </w:r>
    </w:p>
    <w:p>
      <w:pPr>
        <w:pStyle w:val="4"/>
        <w:adjustRightInd w:val="0"/>
        <w:snapToGrid w:val="0"/>
        <w:spacing w:before="0" w:beforeAutospacing="0" w:after="0" w:afterAutospacing="0" w:line="600" w:lineRule="exact"/>
        <w:ind w:firstLine="640" w:firstLineChars="200"/>
        <w:outlineLvl w:val="0"/>
        <w:rPr>
          <w:rFonts w:ascii="仿宋_GB2312" w:hAnsi="仿宋" w:eastAsia="仿宋_GB2312"/>
          <w:sz w:val="32"/>
          <w:szCs w:val="32"/>
        </w:rPr>
      </w:pPr>
      <w:r>
        <w:rPr>
          <w:rFonts w:hint="eastAsia" w:ascii="仿宋_GB2312" w:hAnsi="仿宋" w:eastAsia="仿宋_GB2312"/>
          <w:sz w:val="32"/>
          <w:szCs w:val="32"/>
          <w:lang w:eastAsia="zh-CN"/>
        </w:rPr>
        <w:t>淮南市食品药品检验中心2024</w:t>
      </w:r>
      <w:r>
        <w:rPr>
          <w:rFonts w:hint="eastAsia" w:ascii="仿宋_GB2312" w:hAnsi="仿宋" w:eastAsia="仿宋_GB2312"/>
          <w:sz w:val="32"/>
          <w:szCs w:val="32"/>
        </w:rPr>
        <w:t>年没有安排政府购买服务支出。</w:t>
      </w:r>
    </w:p>
    <w:p>
      <w:pPr>
        <w:adjustRightInd w:val="0"/>
        <w:snapToGrid w:val="0"/>
        <w:spacing w:line="600" w:lineRule="exact"/>
        <w:ind w:firstLine="640" w:firstLineChars="200"/>
        <w:rPr>
          <w:rFonts w:ascii="黑体" w:hAnsi="黑体" w:eastAsia="黑体"/>
          <w:sz w:val="32"/>
          <w:szCs w:val="32"/>
        </w:rPr>
      </w:pPr>
      <w:r>
        <w:rPr>
          <w:rFonts w:hint="eastAsia" w:ascii="黑体" w:hAnsi="黑体" w:eastAsia="黑体"/>
          <w:sz w:val="32"/>
          <w:szCs w:val="32"/>
        </w:rPr>
        <w:t>十二、其他重要事项情况说明</w:t>
      </w:r>
    </w:p>
    <w:p>
      <w:pPr>
        <w:adjustRightInd w:val="0"/>
        <w:snapToGrid w:val="0"/>
        <w:spacing w:line="600" w:lineRule="exact"/>
        <w:ind w:firstLine="640" w:firstLineChars="200"/>
        <w:rPr>
          <w:rFonts w:hint="eastAsia" w:ascii="黑体" w:hAnsi="黑体" w:eastAsia="黑体"/>
          <w:sz w:val="32"/>
          <w:szCs w:val="32"/>
        </w:rPr>
      </w:pPr>
      <w:r>
        <w:rPr>
          <w:rFonts w:hint="eastAsia" w:ascii="黑体" w:hAnsi="黑体" w:eastAsia="黑体"/>
          <w:sz w:val="32"/>
          <w:szCs w:val="32"/>
        </w:rPr>
        <w:t>（一）项目及绩效目标情况。</w:t>
      </w:r>
    </w:p>
    <w:p>
      <w:pPr>
        <w:adjustRightInd w:val="0"/>
        <w:snapToGrid w:val="0"/>
        <w:spacing w:line="600" w:lineRule="exact"/>
        <w:ind w:firstLine="640" w:firstLineChars="200"/>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1.“省级药品医疗器械化妆品监督抽检”项目。</w:t>
      </w:r>
    </w:p>
    <w:p>
      <w:pPr>
        <w:adjustRightInd w:val="0"/>
        <w:snapToGrid w:val="0"/>
        <w:spacing w:line="600" w:lineRule="exact"/>
        <w:ind w:firstLine="640" w:firstLineChars="200"/>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1）项目概述。以习近平新时代中国特色社会主义思想为指导，以落实“四个最严”为根本遵循，坚持问题导向，及时发现药品医疗器械化妆品潜在安全隐患，加大违法违规行为打击力度，规范药品医疗器械化妆品生产经营秩序，保障人民群众用药安全，全面完成2024年省级安排抽检工作任务。</w:t>
      </w:r>
    </w:p>
    <w:p>
      <w:pPr>
        <w:adjustRightInd w:val="0"/>
        <w:snapToGrid w:val="0"/>
        <w:spacing w:line="600" w:lineRule="exact"/>
        <w:ind w:firstLine="640" w:firstLineChars="200"/>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（2）立项依据。省级资金安排。</w:t>
      </w:r>
    </w:p>
    <w:p>
      <w:pPr>
        <w:adjustRightInd w:val="0"/>
        <w:snapToGrid w:val="0"/>
        <w:spacing w:line="600" w:lineRule="exact"/>
        <w:ind w:firstLine="640" w:firstLineChars="200"/>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（3）实施主体。淮南市食品药品检验中心。</w:t>
      </w:r>
    </w:p>
    <w:p>
      <w:pPr>
        <w:adjustRightInd w:val="0"/>
        <w:snapToGrid w:val="0"/>
        <w:spacing w:line="600" w:lineRule="exact"/>
        <w:ind w:firstLine="640" w:firstLineChars="200"/>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（4）起止时间。2024年1月1日-2024年12月31日</w:t>
      </w:r>
    </w:p>
    <w:p>
      <w:pPr>
        <w:adjustRightInd w:val="0"/>
        <w:snapToGrid w:val="0"/>
        <w:spacing w:line="600" w:lineRule="exact"/>
        <w:ind w:firstLine="640" w:firstLineChars="200"/>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（5）项目内容。及时发现药品医疗器械化妆品潜在安全隐患，规范药品医疗器械化妆品生产经营秩序，完成2024年省级安排抽检工作任务。保障人民群众用药安全。</w:t>
      </w:r>
    </w:p>
    <w:p>
      <w:pPr>
        <w:adjustRightInd w:val="0"/>
        <w:snapToGrid w:val="0"/>
        <w:spacing w:line="600" w:lineRule="exact"/>
        <w:ind w:firstLine="640" w:firstLineChars="200"/>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（6）年度预算安排。年度资金总额172.2万元。</w:t>
      </w:r>
    </w:p>
    <w:p>
      <w:pPr>
        <w:adjustRightInd w:val="0"/>
        <w:snapToGrid w:val="0"/>
        <w:spacing w:line="600" w:lineRule="exact"/>
        <w:ind w:firstLine="640" w:firstLineChars="200"/>
        <w:rPr>
          <w:rFonts w:hint="eastAsia" w:ascii="仿宋_GB2312" w:hAnsi="仿宋" w:eastAsia="仿宋_GB2312" w:cs="宋体"/>
          <w:kern w:val="0"/>
          <w:sz w:val="32"/>
          <w:szCs w:val="32"/>
          <w:lang w:val="en-US" w:eastAsia="zh-CN" w:bidi="ar-SA"/>
        </w:rPr>
      </w:pPr>
      <w:r>
        <w:rPr>
          <w:rFonts w:hint="eastAsia" w:ascii="仿宋_GB2312" w:hAnsi="仿宋" w:eastAsia="仿宋_GB2312" w:cs="宋体"/>
          <w:kern w:val="0"/>
          <w:sz w:val="32"/>
          <w:szCs w:val="32"/>
          <w:lang w:val="en-US" w:eastAsia="zh-CN" w:bidi="ar-SA"/>
        </w:rPr>
        <w:t>（7）绩效目标。</w:t>
      </w:r>
    </w:p>
    <w:p>
      <w:pPr>
        <w:adjustRightInd w:val="0"/>
        <w:snapToGrid w:val="0"/>
        <w:spacing w:line="600" w:lineRule="exact"/>
        <w:ind w:firstLine="640" w:firstLineChars="200"/>
        <w:rPr>
          <w:rFonts w:ascii="仿宋_GB2312" w:hAnsi="楷体" w:eastAsia="仿宋_GB2312"/>
          <w:color w:val="FF0000"/>
          <w:sz w:val="32"/>
          <w:szCs w:val="32"/>
        </w:rPr>
      </w:pPr>
    </w:p>
    <w:tbl>
      <w:tblPr>
        <w:tblStyle w:val="5"/>
        <w:tblW w:w="90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723"/>
        <w:gridCol w:w="282"/>
        <w:gridCol w:w="477"/>
        <w:gridCol w:w="2872"/>
        <w:gridCol w:w="1848"/>
        <w:gridCol w:w="2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9020" w:type="dxa"/>
            <w:gridSpan w:val="7"/>
            <w:tcBorders>
              <w:top w:val="nil"/>
              <w:left w:val="nil"/>
              <w:bottom w:val="nil"/>
              <w:right w:val="nil"/>
            </w:tcBorders>
            <w:noWrap w:val="0"/>
            <w:vAlign w:val="center"/>
          </w:tcPr>
          <w:p>
            <w:pPr>
              <w:keepNext w:val="0"/>
              <w:keepLines w:val="0"/>
              <w:widowControl/>
              <w:suppressLineNumbers w:val="0"/>
              <w:jc w:val="center"/>
              <w:textAlignment w:val="center"/>
              <w:rPr>
                <w:rFonts w:hint="default" w:ascii="TimesNewRoman" w:hAnsi="TimesNewRoman" w:cs="TimesNewRoman"/>
                <w:b/>
                <w:bCs/>
                <w:color w:val="000000"/>
                <w:szCs w:val="32"/>
                <w:highlight w:val="none"/>
              </w:rPr>
            </w:pPr>
            <w:r>
              <w:rPr>
                <w:rFonts w:hint="default" w:ascii="TimesNewRoman" w:hAnsi="TimesNewRoman" w:eastAsia="宋体" w:cs="TimesNewRoman"/>
                <w:b/>
                <w:i w:val="0"/>
                <w:color w:val="000000"/>
                <w:kern w:val="0"/>
                <w:sz w:val="28"/>
                <w:szCs w:val="28"/>
                <w:highlight w:val="none"/>
                <w:u w:val="none"/>
                <w:lang w:val="en-US" w:eastAsia="zh-CN" w:bidi="ar"/>
              </w:rPr>
              <w:t>项目支出绩效目标表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020" w:type="dxa"/>
            <w:gridSpan w:val="7"/>
            <w:tcBorders>
              <w:top w:val="nil"/>
              <w:left w:val="nil"/>
              <w:right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w:t>
            </w:r>
            <w:r>
              <w:rPr>
                <w:rFonts w:hint="default" w:ascii="TimesNewRoman" w:hAnsi="TimesNewRoman" w:eastAsia="宋体" w:cs="TimesNewRoman"/>
                <w:i w:val="0"/>
                <w:color w:val="000000"/>
                <w:kern w:val="0"/>
                <w:sz w:val="20"/>
                <w:szCs w:val="20"/>
                <w:highlight w:val="none"/>
                <w:u w:val="none"/>
                <w:lang w:val="en" w:eastAsia="zh-CN" w:bidi="ar"/>
              </w:rPr>
              <w:t>2024</w:t>
            </w:r>
            <w:r>
              <w:rPr>
                <w:rFonts w:hint="default" w:ascii="TimesNewRoman" w:hAnsi="TimesNewRoman" w:eastAsia="宋体" w:cs="TimesNewRoman"/>
                <w:i w:val="0"/>
                <w:color w:val="000000"/>
                <w:kern w:val="0"/>
                <w:sz w:val="20"/>
                <w:szCs w:val="20"/>
                <w:highlight w:val="none"/>
                <w:u w:val="none"/>
                <w:lang w:val="en-US" w:eastAsia="zh-CN" w:bidi="ar"/>
              </w:rPr>
              <w:t xml:space="preserve">年度）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项目名称</w:t>
            </w:r>
          </w:p>
        </w:tc>
        <w:tc>
          <w:tcPr>
            <w:tcW w:w="7577" w:type="dxa"/>
            <w:gridSpan w:val="4"/>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省级药品(含医疗器械、化妆品）监督抽检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443" w:type="dxa"/>
            <w:gridSpan w:val="3"/>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主管部门   及代码</w:t>
            </w:r>
          </w:p>
        </w:tc>
        <w:tc>
          <w:tcPr>
            <w:tcW w:w="334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[059]淮南市市场监督管理局</w:t>
            </w:r>
          </w:p>
        </w:tc>
        <w:tc>
          <w:tcPr>
            <w:tcW w:w="1848"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实施单位</w:t>
            </w:r>
          </w:p>
        </w:tc>
        <w:tc>
          <w:tcPr>
            <w:tcW w:w="2380"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淮南市食品药品检验中心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项目来源</w:t>
            </w:r>
          </w:p>
        </w:tc>
        <w:tc>
          <w:tcPr>
            <w:tcW w:w="334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财政拨款</w:t>
            </w:r>
          </w:p>
        </w:tc>
        <w:tc>
          <w:tcPr>
            <w:tcW w:w="1848"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项目期</w:t>
            </w:r>
          </w:p>
        </w:tc>
        <w:tc>
          <w:tcPr>
            <w:tcW w:w="2380"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 xml:space="preserve"> 1年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项目资金</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（万元）</w:t>
            </w:r>
          </w:p>
        </w:tc>
        <w:tc>
          <w:tcPr>
            <w:tcW w:w="334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 xml:space="preserve"> 年度资金总额：</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172.7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334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 xml:space="preserve">   其中：财政拨款</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172.7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334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 xml:space="preserve">         上年结转</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eastAsia"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334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 xml:space="preserve">         其他资金</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eastAsia"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438"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年度</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目标</w:t>
            </w:r>
          </w:p>
        </w:tc>
        <w:tc>
          <w:tcPr>
            <w:tcW w:w="8582" w:type="dxa"/>
            <w:gridSpan w:val="6"/>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以习近平新时代中国特色社会主义思想为指导，以落实“四个最严”为根本遵循，坚持问题导向，及时发现药品医疗器械化妆品潜在安全隐患，加大违法违规行为打击力度，规范药品医疗器械化妆品生产经营秩序，保障人民群众用药安全，全面完成2024年省级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438"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绩</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效</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指</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标</w:t>
            </w:r>
          </w:p>
        </w:tc>
        <w:tc>
          <w:tcPr>
            <w:tcW w:w="723"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一级</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指标</w:t>
            </w:r>
          </w:p>
        </w:tc>
        <w:tc>
          <w:tcPr>
            <w:tcW w:w="75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二级指标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三级指标</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指标值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产出指标</w:t>
            </w:r>
          </w:p>
        </w:tc>
        <w:tc>
          <w:tcPr>
            <w:tcW w:w="759" w:type="dxa"/>
            <w:gridSpan w:val="2"/>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数量指标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指标1：基本药物和高风险药品专项抽样</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≥190批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vMerge w:val="continue"/>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指标2：基本药物和高风险药品专项检验</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≥220批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vMerge w:val="continue"/>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指标3：药品日常监督抽检</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≥365批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vMerge w:val="continue"/>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指标4：化妆品监督抽检</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≥10批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质量指标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指标1：药品、医疗器械、化妆品抽验工作质量</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符合规范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时效指标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指标1：完成时限</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2024年12月31日前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成本指标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指标1：省级药品（含医疗器械、化妆品）抽检成本</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≤172.7万元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效益指标</w:t>
            </w:r>
          </w:p>
        </w:tc>
        <w:tc>
          <w:tcPr>
            <w:tcW w:w="75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经济效益指标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指标1：</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社会效益指标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指标1：药品、医疗器械、化妆品安全水平</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持续提高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生态效益指标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指标1：</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可持续影响指标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指标1：药品、医疗器械、化妆品安全监管能力</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不断增强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default" w:ascii="TimesNewRoman" w:hAnsi="TimesNewRoman" w:eastAsia="宋体" w:cs="TimesNewRoman"/>
                <w:color w:val="000000"/>
                <w:sz w:val="20"/>
                <w:highlight w:val="none"/>
                <w:lang w:eastAsia="zh-CN"/>
              </w:rPr>
            </w:pPr>
            <w:r>
              <w:rPr>
                <w:rFonts w:hint="default" w:ascii="TimesNewRoman" w:hAnsi="TimesNewRoman" w:eastAsia="宋体" w:cs="TimesNewRoman"/>
                <w:color w:val="000000"/>
                <w:sz w:val="20"/>
                <w:highlight w:val="none"/>
                <w:lang w:eastAsia="zh-CN"/>
              </w:rPr>
              <w:t>满意度指标</w:t>
            </w:r>
          </w:p>
        </w:tc>
        <w:tc>
          <w:tcPr>
            <w:tcW w:w="75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满意度指标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指标1：服务对象对药品安全监管工作满意度</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≥90%</w:t>
            </w:r>
          </w:p>
        </w:tc>
      </w:tr>
    </w:tbl>
    <w:p>
      <w:pPr>
        <w:adjustRightInd w:val="0"/>
        <w:snapToGrid w:val="0"/>
        <w:spacing w:line="600" w:lineRule="exact"/>
        <w:rPr>
          <w:rFonts w:ascii="仿宋_GB2312" w:hAnsi="楷体" w:eastAsia="仿宋_GB2312"/>
          <w:b/>
          <w:sz w:val="32"/>
          <w:szCs w:val="32"/>
        </w:rPr>
      </w:pPr>
    </w:p>
    <w:p>
      <w:pPr>
        <w:adjustRightInd w:val="0"/>
        <w:snapToGrid w:val="0"/>
        <w:spacing w:line="600" w:lineRule="exact"/>
        <w:ind w:firstLine="643" w:firstLineChars="200"/>
        <w:rPr>
          <w:rFonts w:ascii="仿宋_GB2312" w:hAnsi="楷体" w:eastAsia="仿宋_GB2312"/>
          <w:b/>
          <w:sz w:val="32"/>
          <w:szCs w:val="32"/>
        </w:rPr>
      </w:pPr>
      <w:r>
        <w:rPr>
          <w:rFonts w:hint="eastAsia" w:ascii="仿宋_GB2312" w:hAnsi="楷体" w:eastAsia="仿宋_GB2312"/>
          <w:b/>
          <w:sz w:val="32"/>
          <w:szCs w:val="32"/>
        </w:rPr>
        <w:t>（二）机关运行经费。</w:t>
      </w:r>
    </w:p>
    <w:p>
      <w:pPr>
        <w:adjustRightInd w:val="0"/>
        <w:snapToGrid w:val="0"/>
        <w:spacing w:line="600" w:lineRule="exact"/>
        <w:ind w:firstLine="640" w:firstLineChars="200"/>
        <w:rPr>
          <w:rFonts w:ascii="仿宋_GB2312" w:hAnsi="仿宋" w:eastAsia="仿宋_GB2312"/>
          <w:sz w:val="32"/>
          <w:szCs w:val="32"/>
        </w:rPr>
      </w:pPr>
      <w:r>
        <w:rPr>
          <w:rFonts w:hint="eastAsia" w:ascii="仿宋_GB2312" w:hAnsi="仿宋" w:eastAsia="仿宋_GB2312" w:cs="宋体"/>
          <w:kern w:val="0"/>
          <w:sz w:val="32"/>
          <w:szCs w:val="32"/>
          <w:lang w:eastAsia="zh-CN"/>
        </w:rPr>
        <w:t>淮南市食品药品检验中心</w:t>
      </w:r>
      <w:r>
        <w:rPr>
          <w:rFonts w:hint="eastAsia" w:ascii="仿宋_GB2312" w:hAnsi="仿宋" w:eastAsia="仿宋_GB2312"/>
          <w:sz w:val="32"/>
          <w:szCs w:val="32"/>
          <w:lang w:eastAsia="zh-CN"/>
        </w:rPr>
        <w:t>2024</w:t>
      </w:r>
      <w:r>
        <w:rPr>
          <w:rFonts w:hint="eastAsia" w:ascii="仿宋_GB2312" w:hAnsi="仿宋" w:eastAsia="仿宋_GB2312"/>
          <w:sz w:val="32"/>
          <w:szCs w:val="32"/>
        </w:rPr>
        <w:t>年机关运行经费财政拨款预算</w:t>
      </w:r>
      <w:r>
        <w:rPr>
          <w:rFonts w:hint="eastAsia" w:ascii="仿宋_GB2312" w:hAnsi="仿宋" w:eastAsia="仿宋_GB2312"/>
          <w:sz w:val="32"/>
          <w:szCs w:val="32"/>
          <w:lang w:val="en-US" w:eastAsia="zh-CN"/>
        </w:rPr>
        <w:t>30.56</w:t>
      </w:r>
      <w:r>
        <w:rPr>
          <w:rFonts w:hint="eastAsia" w:ascii="仿宋_GB2312" w:hAnsi="仿宋" w:eastAsia="仿宋_GB2312"/>
          <w:sz w:val="32"/>
          <w:szCs w:val="32"/>
        </w:rPr>
        <w:t>万元，比</w:t>
      </w:r>
      <w:r>
        <w:rPr>
          <w:rFonts w:hint="eastAsia" w:ascii="仿宋_GB2312" w:hAnsi="仿宋" w:eastAsia="仿宋_GB2312"/>
          <w:sz w:val="32"/>
          <w:szCs w:val="32"/>
          <w:lang w:eastAsia="zh-CN"/>
        </w:rPr>
        <w:t>2023</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增加9.15</w:t>
      </w:r>
      <w:r>
        <w:rPr>
          <w:rFonts w:hint="eastAsia" w:ascii="仿宋_GB2312" w:hAnsi="仿宋" w:eastAsia="仿宋_GB2312"/>
          <w:sz w:val="32"/>
          <w:szCs w:val="32"/>
        </w:rPr>
        <w:t>万元，</w:t>
      </w:r>
      <w:r>
        <w:rPr>
          <w:rFonts w:hint="eastAsia" w:ascii="仿宋_GB2312" w:hAnsi="仿宋" w:eastAsia="仿宋_GB2312"/>
          <w:sz w:val="32"/>
          <w:szCs w:val="32"/>
          <w:lang w:val="en-US" w:eastAsia="zh-CN"/>
        </w:rPr>
        <w:t>增长42.78%</w:t>
      </w:r>
      <w:r>
        <w:rPr>
          <w:rFonts w:hint="eastAsia" w:ascii="仿宋_GB2312" w:hAnsi="仿宋" w:eastAsia="仿宋_GB2312"/>
          <w:sz w:val="32"/>
          <w:szCs w:val="32"/>
        </w:rPr>
        <w:t>，</w:t>
      </w:r>
      <w:r>
        <w:rPr>
          <w:rFonts w:hint="eastAsia" w:ascii="仿宋_GB2312" w:hAnsi="仿宋" w:eastAsia="仿宋_GB2312"/>
          <w:sz w:val="32"/>
          <w:szCs w:val="32"/>
          <w:lang w:val="en-US" w:eastAsia="zh-CN"/>
        </w:rPr>
        <w:t>增长</w:t>
      </w:r>
      <w:r>
        <w:rPr>
          <w:rFonts w:hint="eastAsia" w:ascii="仿宋_GB2312" w:hAnsi="仿宋" w:eastAsia="仿宋_GB2312"/>
          <w:sz w:val="32"/>
          <w:szCs w:val="32"/>
        </w:rPr>
        <w:t>主要原因是</w:t>
      </w:r>
      <w:r>
        <w:rPr>
          <w:rFonts w:hint="eastAsia" w:ascii="仿宋_GB2312" w:hAnsi="仿宋" w:eastAsia="仿宋_GB2312"/>
          <w:sz w:val="32"/>
          <w:szCs w:val="32"/>
          <w:lang w:eastAsia="zh-CN"/>
        </w:rPr>
        <w:t>日常办公支出</w:t>
      </w:r>
      <w:r>
        <w:rPr>
          <w:rFonts w:hint="eastAsia" w:ascii="仿宋_GB2312" w:hAnsi="仿宋" w:eastAsia="仿宋_GB2312"/>
          <w:sz w:val="32"/>
          <w:szCs w:val="32"/>
          <w:lang w:val="en-US" w:eastAsia="zh-CN"/>
        </w:rPr>
        <w:t>增加</w:t>
      </w:r>
      <w:r>
        <w:rPr>
          <w:rFonts w:hint="eastAsia" w:ascii="仿宋_GB2312" w:hAnsi="仿宋" w:eastAsia="仿宋_GB2312"/>
          <w:sz w:val="32"/>
          <w:szCs w:val="32"/>
        </w:rPr>
        <w:t>。</w:t>
      </w:r>
    </w:p>
    <w:p>
      <w:pPr>
        <w:adjustRightInd w:val="0"/>
        <w:snapToGrid w:val="0"/>
        <w:spacing w:line="600" w:lineRule="exact"/>
        <w:ind w:firstLine="643" w:firstLineChars="200"/>
        <w:rPr>
          <w:rFonts w:ascii="仿宋_GB2312" w:hAnsi="楷体" w:eastAsia="仿宋_GB2312"/>
          <w:b/>
          <w:sz w:val="32"/>
          <w:szCs w:val="32"/>
        </w:rPr>
      </w:pPr>
      <w:r>
        <w:rPr>
          <w:rFonts w:hint="eastAsia" w:ascii="仿宋_GB2312" w:hAnsi="楷体" w:eastAsia="仿宋_GB2312"/>
          <w:b/>
          <w:sz w:val="32"/>
          <w:szCs w:val="32"/>
        </w:rPr>
        <w:t>（三）政府采购情况。</w:t>
      </w:r>
    </w:p>
    <w:p>
      <w:pPr>
        <w:adjustRightInd w:val="0"/>
        <w:snapToGrid w:val="0"/>
        <w:spacing w:line="600" w:lineRule="exact"/>
        <w:ind w:firstLine="640" w:firstLineChars="200"/>
        <w:rPr>
          <w:rFonts w:ascii="仿宋_GB2312" w:hAnsi="楷体" w:eastAsia="仿宋_GB2312"/>
          <w:sz w:val="32"/>
          <w:szCs w:val="32"/>
        </w:rPr>
      </w:pPr>
      <w:r>
        <w:rPr>
          <w:rFonts w:hint="eastAsia" w:ascii="仿宋_GB2312" w:hAnsi="仿宋" w:eastAsia="仿宋_GB2312" w:cs="宋体"/>
          <w:kern w:val="0"/>
          <w:sz w:val="32"/>
          <w:szCs w:val="32"/>
          <w:lang w:eastAsia="zh-CN"/>
        </w:rPr>
        <w:t>淮南市食品药品检验中心</w:t>
      </w:r>
      <w:r>
        <w:rPr>
          <w:rFonts w:hint="eastAsia" w:ascii="仿宋_GB2312" w:hAnsi="楷体" w:eastAsia="仿宋_GB2312"/>
          <w:sz w:val="32"/>
          <w:szCs w:val="32"/>
          <w:lang w:eastAsia="zh-CN"/>
        </w:rPr>
        <w:t>2024</w:t>
      </w:r>
      <w:r>
        <w:rPr>
          <w:rFonts w:hint="eastAsia" w:ascii="仿宋_GB2312" w:hAnsi="楷体" w:eastAsia="仿宋_GB2312"/>
          <w:sz w:val="32"/>
          <w:szCs w:val="32"/>
        </w:rPr>
        <w:t>年政府采购预算</w:t>
      </w:r>
      <w:r>
        <w:rPr>
          <w:rFonts w:hint="eastAsia" w:ascii="仿宋_GB2312" w:hAnsi="楷体" w:eastAsia="仿宋_GB2312"/>
          <w:sz w:val="32"/>
          <w:szCs w:val="32"/>
          <w:lang w:val="en-US" w:eastAsia="zh-CN"/>
        </w:rPr>
        <w:t>3.1</w:t>
      </w:r>
      <w:r>
        <w:rPr>
          <w:rFonts w:hint="eastAsia" w:ascii="仿宋_GB2312" w:hAnsi="楷体" w:eastAsia="仿宋_GB2312"/>
          <w:sz w:val="32"/>
          <w:szCs w:val="32"/>
        </w:rPr>
        <w:t>万元。其中：政府采购货物预算</w:t>
      </w:r>
      <w:r>
        <w:rPr>
          <w:rFonts w:hint="eastAsia" w:ascii="仿宋_GB2312" w:hAnsi="楷体" w:eastAsia="仿宋_GB2312"/>
          <w:sz w:val="32"/>
          <w:szCs w:val="32"/>
          <w:lang w:val="en-US" w:eastAsia="zh-CN"/>
        </w:rPr>
        <w:t>3.1</w:t>
      </w:r>
      <w:r>
        <w:rPr>
          <w:rFonts w:hint="eastAsia" w:ascii="仿宋_GB2312" w:hAnsi="楷体" w:eastAsia="仿宋_GB2312"/>
          <w:sz w:val="32"/>
          <w:szCs w:val="32"/>
        </w:rPr>
        <w:t>万元，政府采购工程预算</w:t>
      </w:r>
      <w:r>
        <w:rPr>
          <w:rFonts w:hint="eastAsia" w:ascii="仿宋_GB2312" w:hAnsi="楷体" w:eastAsia="仿宋_GB2312"/>
          <w:sz w:val="32"/>
          <w:szCs w:val="32"/>
          <w:lang w:val="en-US" w:eastAsia="zh-CN"/>
        </w:rPr>
        <w:t>0</w:t>
      </w:r>
      <w:r>
        <w:rPr>
          <w:rFonts w:hint="eastAsia" w:ascii="仿宋_GB2312" w:hAnsi="楷体" w:eastAsia="仿宋_GB2312"/>
          <w:sz w:val="32"/>
          <w:szCs w:val="32"/>
        </w:rPr>
        <w:t>万元，政府采购服务预算</w:t>
      </w:r>
      <w:r>
        <w:rPr>
          <w:rFonts w:hint="eastAsia" w:ascii="仿宋_GB2312" w:hAnsi="楷体" w:eastAsia="仿宋_GB2312"/>
          <w:sz w:val="32"/>
          <w:szCs w:val="32"/>
          <w:lang w:val="en-US" w:eastAsia="zh-CN"/>
        </w:rPr>
        <w:t>0</w:t>
      </w:r>
      <w:r>
        <w:rPr>
          <w:rFonts w:hint="eastAsia" w:ascii="仿宋_GB2312" w:hAnsi="楷体" w:eastAsia="仿宋_GB2312"/>
          <w:sz w:val="32"/>
          <w:szCs w:val="32"/>
        </w:rPr>
        <w:t>万元。</w:t>
      </w:r>
    </w:p>
    <w:p>
      <w:pPr>
        <w:adjustRightInd w:val="0"/>
        <w:snapToGrid w:val="0"/>
        <w:spacing w:line="600" w:lineRule="exact"/>
        <w:ind w:firstLine="643" w:firstLineChars="200"/>
        <w:rPr>
          <w:rFonts w:ascii="仿宋_GB2312" w:hAnsi="楷体" w:eastAsia="仿宋_GB2312"/>
          <w:b/>
          <w:color w:val="000000" w:themeColor="text1"/>
          <w:sz w:val="32"/>
          <w:szCs w:val="32"/>
        </w:rPr>
      </w:pPr>
      <w:r>
        <w:rPr>
          <w:rFonts w:hint="eastAsia" w:ascii="仿宋_GB2312" w:hAnsi="楷体" w:eastAsia="仿宋_GB2312"/>
          <w:b/>
          <w:color w:val="000000" w:themeColor="text1"/>
          <w:sz w:val="32"/>
          <w:szCs w:val="32"/>
        </w:rPr>
        <w:t>（四）国有资产占有使用情况。</w:t>
      </w:r>
    </w:p>
    <w:p>
      <w:pPr>
        <w:adjustRightInd w:val="0"/>
        <w:snapToGrid w:val="0"/>
        <w:spacing w:line="600" w:lineRule="exact"/>
        <w:ind w:firstLine="640" w:firstLineChars="200"/>
        <w:rPr>
          <w:rFonts w:ascii="仿宋_GB2312" w:hAnsi="楷体" w:eastAsia="仿宋_GB2312"/>
          <w:color w:val="3366FF"/>
          <w:sz w:val="32"/>
          <w:szCs w:val="32"/>
        </w:rPr>
      </w:pPr>
      <w:r>
        <w:rPr>
          <w:rFonts w:hint="eastAsia" w:ascii="仿宋_GB2312" w:hAnsi="仿宋" w:eastAsia="仿宋_GB2312"/>
          <w:sz w:val="32"/>
          <w:szCs w:val="32"/>
        </w:rPr>
        <w:t>截至</w:t>
      </w:r>
      <w:r>
        <w:rPr>
          <w:rFonts w:hint="eastAsia" w:ascii="仿宋_GB2312" w:hAnsi="仿宋" w:eastAsia="仿宋_GB2312"/>
          <w:sz w:val="32"/>
          <w:szCs w:val="32"/>
          <w:lang w:eastAsia="zh-CN"/>
        </w:rPr>
        <w:t>2023</w:t>
      </w:r>
      <w:r>
        <w:rPr>
          <w:rFonts w:hint="eastAsia" w:ascii="仿宋_GB2312" w:hAnsi="仿宋" w:eastAsia="仿宋_GB2312"/>
          <w:sz w:val="32"/>
          <w:szCs w:val="32"/>
        </w:rPr>
        <w:t>年</w:t>
      </w:r>
      <w:r>
        <w:rPr>
          <w:rFonts w:ascii="仿宋_GB2312" w:hAnsi="仿宋" w:eastAsia="仿宋_GB2312"/>
          <w:sz w:val="32"/>
          <w:szCs w:val="32"/>
        </w:rPr>
        <w:t>12</w:t>
      </w:r>
      <w:r>
        <w:rPr>
          <w:rFonts w:hint="eastAsia" w:ascii="仿宋_GB2312" w:hAnsi="仿宋" w:eastAsia="仿宋_GB2312"/>
          <w:sz w:val="32"/>
          <w:szCs w:val="32"/>
        </w:rPr>
        <w:t>月</w:t>
      </w:r>
      <w:r>
        <w:rPr>
          <w:rFonts w:ascii="仿宋_GB2312" w:hAnsi="仿宋" w:eastAsia="仿宋_GB2312"/>
          <w:sz w:val="32"/>
          <w:szCs w:val="32"/>
        </w:rPr>
        <w:t>31</w:t>
      </w:r>
      <w:r>
        <w:rPr>
          <w:rFonts w:hint="eastAsia" w:ascii="仿宋_GB2312" w:hAnsi="仿宋" w:eastAsia="仿宋_GB2312"/>
          <w:sz w:val="32"/>
          <w:szCs w:val="32"/>
        </w:rPr>
        <w:t>日，</w:t>
      </w:r>
      <w:r>
        <w:rPr>
          <w:rFonts w:hint="eastAsia" w:ascii="仿宋_GB2312" w:hAnsi="仿宋" w:eastAsia="仿宋_GB2312" w:cs="宋体"/>
          <w:kern w:val="0"/>
          <w:sz w:val="32"/>
          <w:szCs w:val="32"/>
          <w:lang w:eastAsia="zh-CN"/>
        </w:rPr>
        <w:t>淮南市食品药品检验中心</w:t>
      </w:r>
      <w:r>
        <w:rPr>
          <w:rFonts w:hint="eastAsia" w:ascii="仿宋_GB2312" w:hAnsi="楷体" w:eastAsia="仿宋_GB2312"/>
          <w:sz w:val="32"/>
          <w:szCs w:val="32"/>
        </w:rPr>
        <w:t>共有车辆</w:t>
      </w:r>
      <w:r>
        <w:rPr>
          <w:rFonts w:hint="eastAsia" w:ascii="仿宋_GB2312" w:hAnsi="楷体" w:eastAsia="仿宋_GB2312"/>
          <w:sz w:val="32"/>
          <w:szCs w:val="32"/>
          <w:lang w:val="en-US" w:eastAsia="zh-CN"/>
        </w:rPr>
        <w:t>3</w:t>
      </w:r>
      <w:r>
        <w:rPr>
          <w:rFonts w:hint="eastAsia" w:ascii="仿宋_GB2312" w:hAnsi="楷体" w:eastAsia="仿宋_GB2312"/>
          <w:sz w:val="32"/>
          <w:szCs w:val="32"/>
        </w:rPr>
        <w:t>辆，其中：执法执勤用车</w:t>
      </w:r>
      <w:r>
        <w:rPr>
          <w:rFonts w:hint="eastAsia" w:ascii="仿宋_GB2312" w:hAnsi="楷体" w:eastAsia="仿宋_GB2312"/>
          <w:sz w:val="32"/>
          <w:szCs w:val="32"/>
          <w:lang w:val="en-US" w:eastAsia="zh-CN"/>
        </w:rPr>
        <w:t>2</w:t>
      </w:r>
      <w:r>
        <w:rPr>
          <w:rFonts w:hint="eastAsia" w:ascii="仿宋_GB2312" w:hAnsi="楷体" w:eastAsia="仿宋_GB2312"/>
          <w:sz w:val="32"/>
          <w:szCs w:val="32"/>
        </w:rPr>
        <w:t>辆、其他用车</w:t>
      </w:r>
      <w:r>
        <w:rPr>
          <w:rFonts w:hint="eastAsia" w:ascii="仿宋_GB2312" w:hAnsi="楷体" w:eastAsia="仿宋_GB2312"/>
          <w:sz w:val="32"/>
          <w:szCs w:val="32"/>
          <w:lang w:val="en-US" w:eastAsia="zh-CN"/>
        </w:rPr>
        <w:t>1</w:t>
      </w:r>
      <w:r>
        <w:rPr>
          <w:rFonts w:hint="eastAsia" w:ascii="仿宋_GB2312" w:hAnsi="楷体" w:eastAsia="仿宋_GB2312"/>
          <w:sz w:val="32"/>
          <w:szCs w:val="32"/>
        </w:rPr>
        <w:t>辆。单位价值</w:t>
      </w:r>
      <w:r>
        <w:rPr>
          <w:rFonts w:ascii="仿宋_GB2312" w:hAnsi="楷体" w:eastAsia="仿宋_GB2312"/>
          <w:sz w:val="32"/>
          <w:szCs w:val="32"/>
        </w:rPr>
        <w:t>50</w:t>
      </w:r>
      <w:r>
        <w:rPr>
          <w:rFonts w:hint="eastAsia" w:ascii="仿宋_GB2312" w:hAnsi="楷体" w:eastAsia="仿宋_GB2312"/>
          <w:sz w:val="32"/>
          <w:szCs w:val="32"/>
        </w:rPr>
        <w:t>万元以上的通用设备</w:t>
      </w:r>
      <w:r>
        <w:rPr>
          <w:rFonts w:hint="eastAsia" w:ascii="仿宋_GB2312" w:hAnsi="楷体" w:eastAsia="仿宋_GB2312"/>
          <w:sz w:val="32"/>
          <w:szCs w:val="32"/>
          <w:lang w:val="en-US" w:eastAsia="zh-CN"/>
        </w:rPr>
        <w:t>0</w:t>
      </w:r>
      <w:r>
        <w:rPr>
          <w:rFonts w:hint="eastAsia" w:ascii="仿宋_GB2312" w:hAnsi="楷体" w:eastAsia="仿宋_GB2312"/>
          <w:sz w:val="32"/>
          <w:szCs w:val="32"/>
        </w:rPr>
        <w:t>台（套），单位价值</w:t>
      </w:r>
      <w:r>
        <w:rPr>
          <w:rFonts w:ascii="仿宋_GB2312" w:hAnsi="楷体" w:eastAsia="仿宋_GB2312"/>
          <w:sz w:val="32"/>
          <w:szCs w:val="32"/>
        </w:rPr>
        <w:t>100</w:t>
      </w:r>
      <w:r>
        <w:rPr>
          <w:rFonts w:hint="eastAsia" w:ascii="仿宋_GB2312" w:hAnsi="楷体" w:eastAsia="仿宋_GB2312"/>
          <w:sz w:val="32"/>
          <w:szCs w:val="32"/>
        </w:rPr>
        <w:t>万元以上的专用设备</w:t>
      </w:r>
      <w:r>
        <w:rPr>
          <w:rFonts w:hint="eastAsia" w:ascii="仿宋_GB2312" w:hAnsi="楷体" w:eastAsia="仿宋_GB2312"/>
          <w:sz w:val="32"/>
          <w:szCs w:val="32"/>
          <w:lang w:val="en-US" w:eastAsia="zh-CN"/>
        </w:rPr>
        <w:t>0</w:t>
      </w:r>
      <w:r>
        <w:rPr>
          <w:rFonts w:hint="eastAsia" w:ascii="仿宋_GB2312" w:hAnsi="楷体" w:eastAsia="仿宋_GB2312"/>
          <w:sz w:val="32"/>
          <w:szCs w:val="32"/>
        </w:rPr>
        <w:t>台（套）。</w:t>
      </w:r>
    </w:p>
    <w:p>
      <w:pPr>
        <w:adjustRightInd w:val="0"/>
        <w:snapToGrid w:val="0"/>
        <w:spacing w:line="600" w:lineRule="exact"/>
        <w:ind w:firstLine="640" w:firstLineChars="200"/>
        <w:rPr>
          <w:rFonts w:ascii="仿宋_GB2312" w:hAnsi="楷体" w:eastAsia="仿宋_GB2312"/>
          <w:sz w:val="32"/>
          <w:szCs w:val="32"/>
        </w:rPr>
      </w:pPr>
      <w:r>
        <w:rPr>
          <w:rFonts w:hint="eastAsia" w:ascii="仿宋_GB2312" w:hAnsi="楷体" w:eastAsia="仿宋_GB2312"/>
          <w:sz w:val="32"/>
          <w:szCs w:val="32"/>
          <w:lang w:eastAsia="zh-CN"/>
        </w:rPr>
        <w:t>2024</w:t>
      </w:r>
      <w:r>
        <w:rPr>
          <w:rFonts w:hint="eastAsia" w:ascii="仿宋_GB2312" w:hAnsi="楷体" w:eastAsia="仿宋_GB2312"/>
          <w:sz w:val="32"/>
          <w:szCs w:val="32"/>
        </w:rPr>
        <w:t>年部门</w:t>
      </w:r>
      <w:r>
        <w:rPr>
          <w:rFonts w:hint="eastAsia" w:ascii="仿宋_GB2312" w:hAnsi="楷体" w:eastAsia="仿宋_GB2312"/>
          <w:sz w:val="32"/>
          <w:szCs w:val="32"/>
          <w:u w:val="none"/>
        </w:rPr>
        <w:t>单位</w:t>
      </w:r>
      <w:r>
        <w:rPr>
          <w:rFonts w:hint="eastAsia" w:ascii="仿宋_GB2312" w:hAnsi="楷体" w:eastAsia="仿宋_GB2312"/>
          <w:sz w:val="32"/>
          <w:szCs w:val="32"/>
        </w:rPr>
        <w:t>预算安排购置公务用车</w:t>
      </w:r>
      <w:r>
        <w:rPr>
          <w:rFonts w:hint="eastAsia" w:ascii="仿宋_GB2312" w:hAnsi="楷体" w:eastAsia="仿宋_GB2312"/>
          <w:sz w:val="32"/>
          <w:szCs w:val="32"/>
          <w:lang w:val="en-US" w:eastAsia="zh-CN"/>
        </w:rPr>
        <w:t>0</w:t>
      </w:r>
      <w:r>
        <w:rPr>
          <w:rFonts w:hint="eastAsia" w:ascii="仿宋_GB2312" w:hAnsi="楷体" w:eastAsia="仿宋_GB2312"/>
          <w:sz w:val="32"/>
          <w:szCs w:val="32"/>
        </w:rPr>
        <w:t>辆，购置费</w:t>
      </w:r>
      <w:r>
        <w:rPr>
          <w:rFonts w:hint="eastAsia" w:ascii="仿宋_GB2312" w:hAnsi="楷体" w:eastAsia="仿宋_GB2312"/>
          <w:sz w:val="32"/>
          <w:szCs w:val="32"/>
          <w:lang w:val="en-US" w:eastAsia="zh-CN"/>
        </w:rPr>
        <w:t>0</w:t>
      </w:r>
      <w:r>
        <w:rPr>
          <w:rFonts w:hint="eastAsia" w:ascii="仿宋_GB2312" w:hAnsi="楷体" w:eastAsia="仿宋_GB2312"/>
          <w:sz w:val="32"/>
          <w:szCs w:val="32"/>
        </w:rPr>
        <w:t>万元；安排购置单位价值</w:t>
      </w:r>
      <w:r>
        <w:rPr>
          <w:rFonts w:ascii="仿宋_GB2312" w:hAnsi="楷体" w:eastAsia="仿宋_GB2312"/>
          <w:sz w:val="32"/>
          <w:szCs w:val="32"/>
        </w:rPr>
        <w:t>50</w:t>
      </w:r>
      <w:r>
        <w:rPr>
          <w:rFonts w:hint="eastAsia" w:ascii="仿宋_GB2312" w:hAnsi="楷体" w:eastAsia="仿宋_GB2312"/>
          <w:sz w:val="32"/>
          <w:szCs w:val="32"/>
        </w:rPr>
        <w:t>万元以上的通用设备</w:t>
      </w:r>
      <w:r>
        <w:rPr>
          <w:rFonts w:hint="eastAsia" w:ascii="仿宋_GB2312" w:hAnsi="楷体" w:eastAsia="仿宋_GB2312"/>
          <w:sz w:val="32"/>
          <w:szCs w:val="32"/>
          <w:lang w:val="en-US" w:eastAsia="zh-CN"/>
        </w:rPr>
        <w:t>0</w:t>
      </w:r>
      <w:r>
        <w:rPr>
          <w:rFonts w:hint="eastAsia" w:ascii="仿宋_GB2312" w:hAnsi="楷体" w:eastAsia="仿宋_GB2312"/>
          <w:sz w:val="32"/>
          <w:szCs w:val="32"/>
        </w:rPr>
        <w:t>台（套），购置费</w:t>
      </w:r>
      <w:r>
        <w:rPr>
          <w:rFonts w:hint="eastAsia" w:ascii="仿宋_GB2312" w:hAnsi="楷体" w:eastAsia="仿宋_GB2312"/>
          <w:sz w:val="32"/>
          <w:szCs w:val="32"/>
          <w:lang w:val="en-US" w:eastAsia="zh-CN"/>
        </w:rPr>
        <w:t>0</w:t>
      </w:r>
      <w:r>
        <w:rPr>
          <w:rFonts w:hint="eastAsia" w:ascii="仿宋_GB2312" w:hAnsi="楷体" w:eastAsia="仿宋_GB2312"/>
          <w:sz w:val="32"/>
          <w:szCs w:val="32"/>
        </w:rPr>
        <w:t>万元；安排购置单位价值</w:t>
      </w:r>
      <w:r>
        <w:rPr>
          <w:rFonts w:ascii="仿宋_GB2312" w:hAnsi="楷体" w:eastAsia="仿宋_GB2312"/>
          <w:sz w:val="32"/>
          <w:szCs w:val="32"/>
        </w:rPr>
        <w:t>100</w:t>
      </w:r>
      <w:r>
        <w:rPr>
          <w:rFonts w:hint="eastAsia" w:ascii="仿宋_GB2312" w:hAnsi="楷体" w:eastAsia="仿宋_GB2312"/>
          <w:sz w:val="32"/>
          <w:szCs w:val="32"/>
        </w:rPr>
        <w:t>万元以上专用设备</w:t>
      </w:r>
      <w:r>
        <w:rPr>
          <w:rFonts w:hint="eastAsia" w:ascii="仿宋_GB2312" w:hAnsi="楷体" w:eastAsia="仿宋_GB2312"/>
          <w:sz w:val="32"/>
          <w:szCs w:val="32"/>
          <w:lang w:val="en-US" w:eastAsia="zh-CN"/>
        </w:rPr>
        <w:t>0</w:t>
      </w:r>
      <w:r>
        <w:rPr>
          <w:rFonts w:hint="eastAsia" w:ascii="仿宋_GB2312" w:hAnsi="楷体" w:eastAsia="仿宋_GB2312"/>
          <w:sz w:val="32"/>
          <w:szCs w:val="32"/>
        </w:rPr>
        <w:t>台（套），购置费</w:t>
      </w:r>
      <w:r>
        <w:rPr>
          <w:rFonts w:hint="eastAsia" w:ascii="仿宋_GB2312" w:hAnsi="楷体" w:eastAsia="仿宋_GB2312"/>
          <w:sz w:val="32"/>
          <w:szCs w:val="32"/>
          <w:lang w:val="en-US" w:eastAsia="zh-CN"/>
        </w:rPr>
        <w:t>0</w:t>
      </w:r>
      <w:r>
        <w:rPr>
          <w:rFonts w:hint="eastAsia" w:ascii="仿宋_GB2312" w:hAnsi="楷体" w:eastAsia="仿宋_GB2312"/>
          <w:sz w:val="32"/>
          <w:szCs w:val="32"/>
        </w:rPr>
        <w:t>万元。</w:t>
      </w:r>
    </w:p>
    <w:p>
      <w:pPr>
        <w:adjustRightInd w:val="0"/>
        <w:snapToGrid w:val="0"/>
        <w:spacing w:line="600" w:lineRule="exact"/>
        <w:ind w:firstLine="643" w:firstLineChars="200"/>
        <w:rPr>
          <w:rFonts w:ascii="仿宋_GB2312" w:hAnsi="楷体" w:eastAsia="仿宋_GB2312"/>
          <w:b/>
          <w:sz w:val="32"/>
          <w:szCs w:val="32"/>
        </w:rPr>
      </w:pPr>
      <w:r>
        <w:rPr>
          <w:rFonts w:hint="eastAsia" w:ascii="仿宋_GB2312" w:hAnsi="楷体" w:eastAsia="仿宋_GB2312"/>
          <w:b/>
          <w:sz w:val="32"/>
          <w:szCs w:val="32"/>
        </w:rPr>
        <w:t>（五）绩效目标设置情况。</w:t>
      </w:r>
    </w:p>
    <w:p>
      <w:pPr>
        <w:adjustRightInd w:val="0"/>
        <w:snapToGrid w:val="0"/>
        <w:spacing w:line="600" w:lineRule="exact"/>
        <w:ind w:firstLine="640" w:firstLineChars="200"/>
        <w:outlineLvl w:val="0"/>
        <w:rPr>
          <w:rFonts w:ascii="仿宋_GB2312" w:hAnsi="仿宋" w:eastAsia="仿宋_GB2312"/>
          <w:sz w:val="32"/>
          <w:szCs w:val="32"/>
        </w:rPr>
      </w:pPr>
      <w:r>
        <w:rPr>
          <w:rFonts w:hint="eastAsia" w:ascii="仿宋_GB2312" w:hAnsi="仿宋" w:eastAsia="仿宋_GB2312"/>
          <w:sz w:val="32"/>
          <w:szCs w:val="32"/>
          <w:lang w:eastAsia="zh-CN"/>
        </w:rPr>
        <w:t>2024</w:t>
      </w:r>
      <w:r>
        <w:rPr>
          <w:rFonts w:hint="eastAsia" w:ascii="仿宋_GB2312" w:hAnsi="仿宋" w:eastAsia="仿宋_GB2312"/>
          <w:sz w:val="32"/>
          <w:szCs w:val="32"/>
        </w:rPr>
        <w:t>年，</w:t>
      </w:r>
      <w:r>
        <w:rPr>
          <w:rFonts w:hint="eastAsia" w:ascii="仿宋_GB2312" w:hAnsi="仿宋" w:eastAsia="仿宋_GB2312" w:cs="宋体"/>
          <w:kern w:val="0"/>
          <w:sz w:val="32"/>
          <w:szCs w:val="32"/>
          <w:lang w:eastAsia="zh-CN"/>
        </w:rPr>
        <w:t>淮南市食品药品检验中心</w:t>
      </w:r>
      <w:r>
        <w:rPr>
          <w:rFonts w:hint="eastAsia" w:ascii="仿宋_GB2312" w:hAnsi="仿宋" w:eastAsia="仿宋_GB2312"/>
          <w:sz w:val="32"/>
          <w:szCs w:val="32"/>
          <w:lang w:val="en-US" w:eastAsia="zh-CN"/>
        </w:rPr>
        <w:t>6</w:t>
      </w:r>
      <w:r>
        <w:rPr>
          <w:rFonts w:hint="eastAsia" w:ascii="仿宋_GB2312" w:hAnsi="仿宋" w:eastAsia="仿宋_GB2312"/>
          <w:sz w:val="32"/>
          <w:szCs w:val="32"/>
        </w:rPr>
        <w:t>个项目实行了绩效目标管理，涉及一般公共预算当年财政拨款</w:t>
      </w:r>
      <w:r>
        <w:rPr>
          <w:rFonts w:hint="eastAsia" w:ascii="仿宋_GB2312" w:hAnsi="仿宋" w:eastAsia="仿宋_GB2312"/>
          <w:sz w:val="32"/>
          <w:szCs w:val="32"/>
          <w:lang w:val="en-US" w:eastAsia="zh-CN"/>
        </w:rPr>
        <w:t>262.24</w:t>
      </w:r>
      <w:r>
        <w:rPr>
          <w:rFonts w:hint="eastAsia" w:ascii="仿宋_GB2312" w:hAnsi="仿宋" w:eastAsia="仿宋_GB2312"/>
          <w:sz w:val="32"/>
          <w:szCs w:val="32"/>
        </w:rPr>
        <w:t>万元、政府性基金预算当年财政拨款</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万元、国有资本经营预算当年财政拨款</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万元、财政专户管理资金当年安排</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万元和单位资金安排安排</w:t>
      </w:r>
      <w:r>
        <w:rPr>
          <w:rFonts w:hint="eastAsia" w:ascii="仿宋_GB2312" w:hAnsi="仿宋" w:eastAsia="仿宋_GB2312"/>
          <w:sz w:val="32"/>
          <w:szCs w:val="32"/>
          <w:lang w:val="en-US" w:eastAsia="zh-CN"/>
        </w:rPr>
        <w:t>0</w:t>
      </w:r>
      <w:r>
        <w:rPr>
          <w:rFonts w:hint="eastAsia" w:ascii="仿宋_GB2312" w:hAnsi="仿宋" w:eastAsia="仿宋_GB2312"/>
          <w:sz w:val="32"/>
          <w:szCs w:val="32"/>
        </w:rPr>
        <w:t>万元。</w:t>
      </w:r>
    </w:p>
    <w:p>
      <w:pPr>
        <w:adjustRightInd w:val="0"/>
        <w:snapToGrid w:val="0"/>
        <w:spacing w:line="600" w:lineRule="exact"/>
        <w:jc w:val="both"/>
        <w:rPr>
          <w:rFonts w:ascii="黑体" w:eastAsia="黑体" w:cs="宋体"/>
          <w:sz w:val="36"/>
          <w:szCs w:val="36"/>
        </w:rPr>
      </w:pPr>
    </w:p>
    <w:p>
      <w:pPr>
        <w:adjustRightInd w:val="0"/>
        <w:snapToGrid w:val="0"/>
        <w:spacing w:line="600" w:lineRule="exact"/>
        <w:jc w:val="center"/>
        <w:rPr>
          <w:rFonts w:ascii="黑体" w:eastAsia="黑体" w:cs="宋体"/>
          <w:sz w:val="36"/>
          <w:szCs w:val="36"/>
        </w:rPr>
      </w:pPr>
      <w:r>
        <w:rPr>
          <w:rFonts w:hint="eastAsia" w:ascii="黑体" w:eastAsia="黑体" w:cs="宋体"/>
          <w:sz w:val="36"/>
          <w:szCs w:val="36"/>
        </w:rPr>
        <w:t>第四部分</w:t>
      </w:r>
      <w:r>
        <w:rPr>
          <w:rFonts w:ascii="黑体" w:eastAsia="黑体" w:cs="宋体"/>
          <w:sz w:val="36"/>
          <w:szCs w:val="36"/>
        </w:rPr>
        <w:t xml:space="preserve"> </w:t>
      </w:r>
      <w:r>
        <w:rPr>
          <w:rFonts w:hint="eastAsia" w:ascii="黑体" w:eastAsia="黑体" w:cs="宋体"/>
          <w:sz w:val="36"/>
          <w:szCs w:val="36"/>
        </w:rPr>
        <w:t>名词解释</w:t>
      </w:r>
    </w:p>
    <w:p>
      <w:pPr>
        <w:adjustRightInd w:val="0"/>
        <w:snapToGrid w:val="0"/>
        <w:spacing w:line="600" w:lineRule="exact"/>
        <w:jc w:val="center"/>
        <w:rPr>
          <w:rFonts w:ascii="黑体" w:hAnsi="黑体" w:eastAsia="黑体"/>
          <w:sz w:val="32"/>
          <w:szCs w:val="32"/>
        </w:rPr>
      </w:pPr>
    </w:p>
    <w:p>
      <w:pPr>
        <w:adjustRightInd w:val="0"/>
        <w:snapToGrid w:val="0"/>
        <w:spacing w:line="600" w:lineRule="exact"/>
        <w:ind w:firstLine="640" w:firstLineChars="200"/>
        <w:rPr>
          <w:rFonts w:ascii="仿宋_GB2312" w:hAnsi="仿宋" w:eastAsia="仿宋_GB2312"/>
          <w:sz w:val="32"/>
          <w:szCs w:val="32"/>
        </w:rPr>
      </w:pPr>
      <w:r>
        <w:rPr>
          <w:rFonts w:hint="eastAsia" w:ascii="黑体" w:hAnsi="仿宋" w:eastAsia="黑体"/>
          <w:sz w:val="32"/>
          <w:szCs w:val="32"/>
        </w:rPr>
        <w:t>一、财政拨款收入</w:t>
      </w:r>
      <w:r>
        <w:rPr>
          <w:rFonts w:hint="eastAsia" w:ascii="仿宋_GB2312" w:hAnsi="仿宋" w:eastAsia="仿宋_GB2312"/>
          <w:b/>
          <w:sz w:val="32"/>
          <w:szCs w:val="32"/>
        </w:rPr>
        <w:t>：</w:t>
      </w:r>
      <w:r>
        <w:rPr>
          <w:rFonts w:hint="eastAsia" w:ascii="仿宋_GB2312" w:hAnsi="仿宋" w:eastAsia="仿宋_GB2312"/>
          <w:sz w:val="32"/>
          <w:szCs w:val="32"/>
        </w:rPr>
        <w:t>指部门或单位从同级财政部门取得的财政预算资金。</w:t>
      </w:r>
    </w:p>
    <w:p>
      <w:pPr>
        <w:pStyle w:val="4"/>
        <w:adjustRightInd w:val="0"/>
        <w:snapToGrid w:val="0"/>
        <w:spacing w:line="600" w:lineRule="exact"/>
        <w:ind w:firstLine="627" w:firstLineChars="196"/>
        <w:rPr>
          <w:rFonts w:ascii="黑体" w:hAnsi="黑体" w:eastAsia="黑体"/>
          <w:sz w:val="32"/>
          <w:szCs w:val="32"/>
        </w:rPr>
      </w:pPr>
      <w:r>
        <w:rPr>
          <w:rFonts w:hint="eastAsia" w:ascii="黑体" w:hAnsi="仿宋" w:eastAsia="黑体" w:cs="Times New Roman"/>
          <w:kern w:val="2"/>
          <w:sz w:val="32"/>
          <w:szCs w:val="32"/>
        </w:rPr>
        <w:t>二、事业收入：</w:t>
      </w:r>
      <w:r>
        <w:rPr>
          <w:rFonts w:hint="eastAsia" w:ascii="仿宋_GB2312" w:hAnsi="仿宋" w:eastAsia="仿宋_GB2312" w:cs="Times New Roman"/>
          <w:kern w:val="2"/>
          <w:sz w:val="32"/>
          <w:szCs w:val="32"/>
        </w:rPr>
        <w:t>指事业单位开展专业业务活动及辅助活动所取得的收入。</w:t>
      </w:r>
    </w:p>
    <w:p>
      <w:pPr>
        <w:pStyle w:val="4"/>
        <w:adjustRightInd w:val="0"/>
        <w:snapToGrid w:val="0"/>
        <w:spacing w:before="0" w:beforeAutospacing="0" w:after="0" w:afterAutospacing="0" w:line="600" w:lineRule="exact"/>
        <w:ind w:firstLine="627" w:firstLineChars="196"/>
        <w:rPr>
          <w:rFonts w:ascii="仿宋_GB2312" w:hAnsi="仿宋" w:eastAsia="仿宋_GB2312" w:cs="Times New Roman"/>
          <w:kern w:val="2"/>
          <w:sz w:val="32"/>
          <w:szCs w:val="32"/>
        </w:rPr>
      </w:pPr>
      <w:r>
        <w:rPr>
          <w:rFonts w:hint="eastAsia" w:ascii="黑体" w:hAnsi="黑体" w:eastAsia="黑体"/>
          <w:sz w:val="32"/>
          <w:szCs w:val="32"/>
        </w:rPr>
        <w:t>三、财政专户管理资金：</w:t>
      </w:r>
      <w:r>
        <w:rPr>
          <w:rFonts w:hint="eastAsia" w:ascii="仿宋_GB2312" w:hAnsi="仿宋" w:eastAsia="仿宋_GB2312" w:cs="Times New Roman"/>
          <w:kern w:val="2"/>
          <w:sz w:val="32"/>
          <w:szCs w:val="32"/>
        </w:rPr>
        <w:t>指按照非税收入管理相关规定，纳入财政专户管理的教育收费等。</w:t>
      </w:r>
    </w:p>
    <w:p>
      <w:pPr>
        <w:pStyle w:val="4"/>
        <w:adjustRightInd w:val="0"/>
        <w:snapToGrid w:val="0"/>
        <w:spacing w:line="600" w:lineRule="exact"/>
        <w:ind w:firstLine="627" w:firstLineChars="196"/>
        <w:rPr>
          <w:rFonts w:ascii="仿宋_GB2312" w:hAnsi="仿宋" w:eastAsia="仿宋_GB2312" w:cs="Times New Roman"/>
          <w:kern w:val="2"/>
          <w:sz w:val="32"/>
          <w:szCs w:val="32"/>
        </w:rPr>
      </w:pPr>
      <w:r>
        <w:rPr>
          <w:rFonts w:hint="eastAsia" w:ascii="黑体" w:hAnsi="黑体" w:eastAsia="黑体"/>
          <w:sz w:val="32"/>
          <w:szCs w:val="32"/>
        </w:rPr>
        <w:t>四、事业单位经营收入：</w:t>
      </w:r>
      <w:r>
        <w:rPr>
          <w:rFonts w:hint="eastAsia" w:ascii="仿宋_GB2312" w:hAnsi="仿宋" w:eastAsia="仿宋_GB2312" w:cs="Times New Roman"/>
          <w:kern w:val="2"/>
          <w:sz w:val="32"/>
          <w:szCs w:val="32"/>
        </w:rPr>
        <w:t>指事业单位在专业业务活动及其辅助活动之外开展非独立核算经营活动取得的收入。</w:t>
      </w:r>
    </w:p>
    <w:p>
      <w:pPr>
        <w:pStyle w:val="4"/>
        <w:adjustRightInd w:val="0"/>
        <w:snapToGrid w:val="0"/>
        <w:spacing w:line="600" w:lineRule="exact"/>
        <w:ind w:firstLine="627" w:firstLineChars="196"/>
        <w:rPr>
          <w:rFonts w:ascii="仿宋_GB2312" w:hAnsi="仿宋" w:eastAsia="仿宋_GB2312" w:cs="Times New Roman"/>
          <w:kern w:val="2"/>
          <w:sz w:val="32"/>
          <w:szCs w:val="32"/>
        </w:rPr>
      </w:pPr>
      <w:r>
        <w:rPr>
          <w:rFonts w:hint="eastAsia" w:ascii="黑体" w:hAnsi="黑体" w:eastAsia="黑体"/>
          <w:sz w:val="32"/>
          <w:szCs w:val="32"/>
        </w:rPr>
        <w:t>五、附属单位上缴收入：</w:t>
      </w:r>
      <w:r>
        <w:rPr>
          <w:rFonts w:hint="eastAsia" w:ascii="仿宋_GB2312" w:hAnsi="仿宋" w:eastAsia="仿宋_GB2312" w:cs="Times New Roman"/>
          <w:kern w:val="2"/>
          <w:sz w:val="32"/>
          <w:szCs w:val="32"/>
        </w:rPr>
        <w:t>本单位所属下级单位上缴给本单位的全部收入。</w:t>
      </w:r>
    </w:p>
    <w:p>
      <w:pPr>
        <w:pStyle w:val="4"/>
        <w:adjustRightInd w:val="0"/>
        <w:snapToGrid w:val="0"/>
        <w:spacing w:before="0" w:beforeAutospacing="0" w:after="0" w:afterAutospacing="0" w:line="600" w:lineRule="exact"/>
        <w:ind w:firstLine="627" w:firstLineChars="196"/>
        <w:rPr>
          <w:rFonts w:ascii="仿宋_GB2312" w:hAnsi="仿宋" w:eastAsia="仿宋_GB2312" w:cs="Times New Roman"/>
          <w:kern w:val="2"/>
          <w:sz w:val="32"/>
          <w:szCs w:val="32"/>
        </w:rPr>
      </w:pPr>
      <w:r>
        <w:rPr>
          <w:rFonts w:hint="eastAsia" w:ascii="黑体" w:hAnsi="黑体" w:eastAsia="黑体"/>
          <w:sz w:val="32"/>
          <w:szCs w:val="32"/>
        </w:rPr>
        <w:t>六、上年结转：</w:t>
      </w:r>
      <w:r>
        <w:rPr>
          <w:rFonts w:hint="eastAsia" w:ascii="仿宋_GB2312" w:hAnsi="仿宋" w:eastAsia="仿宋_GB2312" w:cs="Times New Roman"/>
          <w:kern w:val="2"/>
          <w:sz w:val="32"/>
          <w:szCs w:val="32"/>
        </w:rPr>
        <w:t>指以前年度安排、结转到本年仍按原用途继续使用的资金。</w:t>
      </w:r>
    </w:p>
    <w:p>
      <w:pPr>
        <w:pStyle w:val="4"/>
        <w:adjustRightInd w:val="0"/>
        <w:snapToGrid w:val="0"/>
        <w:spacing w:before="0" w:beforeAutospacing="0" w:after="0" w:afterAutospacing="0" w:line="600" w:lineRule="exact"/>
        <w:ind w:firstLine="627" w:firstLineChars="196"/>
        <w:rPr>
          <w:rFonts w:ascii="仿宋_GB2312" w:hAnsi="仿宋" w:eastAsia="仿宋_GB2312" w:cs="Times New Roman"/>
          <w:kern w:val="2"/>
          <w:sz w:val="32"/>
          <w:szCs w:val="32"/>
        </w:rPr>
      </w:pPr>
      <w:r>
        <w:rPr>
          <w:rFonts w:hint="eastAsia" w:ascii="黑体" w:hAnsi="黑体" w:eastAsia="黑体"/>
          <w:sz w:val="32"/>
          <w:szCs w:val="32"/>
        </w:rPr>
        <w:t>七、结转下年：</w:t>
      </w:r>
      <w:r>
        <w:rPr>
          <w:rFonts w:hint="eastAsia" w:ascii="仿宋_GB2312" w:hAnsi="仿宋" w:eastAsia="仿宋_GB2312" w:cs="Times New Roman"/>
          <w:kern w:val="2"/>
          <w:sz w:val="32"/>
          <w:szCs w:val="32"/>
        </w:rPr>
        <w:t>指以前年度预算安排、因客观条件发生变化无法按原计划实施，需以后年度按原用途继续使用的资金。</w:t>
      </w:r>
    </w:p>
    <w:p>
      <w:pPr>
        <w:pStyle w:val="4"/>
        <w:adjustRightInd w:val="0"/>
        <w:snapToGrid w:val="0"/>
        <w:spacing w:before="0" w:beforeAutospacing="0" w:after="0" w:afterAutospacing="0" w:line="600" w:lineRule="exact"/>
        <w:ind w:firstLine="627" w:firstLineChars="196"/>
        <w:rPr>
          <w:rFonts w:ascii="仿宋_GB2312" w:hAnsi="黑体" w:eastAsia="仿宋_GB2312"/>
          <w:sz w:val="32"/>
          <w:szCs w:val="32"/>
        </w:rPr>
      </w:pPr>
      <w:r>
        <w:rPr>
          <w:rFonts w:hint="eastAsia" w:ascii="黑体" w:hAnsi="黑体" w:eastAsia="黑体"/>
          <w:sz w:val="32"/>
          <w:szCs w:val="32"/>
        </w:rPr>
        <w:t>八、基本支出</w:t>
      </w:r>
      <w:r>
        <w:rPr>
          <w:rFonts w:hint="eastAsia" w:ascii="仿宋_GB2312" w:hAnsi="黑体" w:eastAsia="仿宋_GB2312"/>
          <w:b/>
          <w:sz w:val="32"/>
          <w:szCs w:val="32"/>
        </w:rPr>
        <w:t>：</w:t>
      </w:r>
      <w:r>
        <w:rPr>
          <w:rFonts w:hint="eastAsia" w:ascii="仿宋_GB2312" w:hAnsi="黑体" w:eastAsia="仿宋_GB2312"/>
          <w:sz w:val="32"/>
          <w:szCs w:val="32"/>
        </w:rPr>
        <w:t>指为保障机构正常运转、完成日常工作任务而发生的人员支出和公用支出。</w:t>
      </w:r>
    </w:p>
    <w:p>
      <w:pPr>
        <w:pStyle w:val="4"/>
        <w:spacing w:before="0" w:beforeAutospacing="0" w:after="0" w:afterAutospacing="0" w:line="600" w:lineRule="exact"/>
        <w:ind w:firstLine="627" w:firstLineChars="196"/>
        <w:jc w:val="both"/>
        <w:rPr>
          <w:rFonts w:hint="eastAsia" w:ascii="仿宋_GB2312" w:hAnsi="黑体" w:eastAsia="仿宋_GB2312"/>
          <w:sz w:val="32"/>
          <w:szCs w:val="32"/>
          <w:lang w:eastAsia="zh-CN"/>
        </w:rPr>
      </w:pPr>
      <w:r>
        <w:rPr>
          <w:rFonts w:hint="eastAsia" w:ascii="黑体" w:hAnsi="黑体" w:eastAsia="黑体"/>
          <w:sz w:val="32"/>
          <w:szCs w:val="32"/>
        </w:rPr>
        <w:t>九、项目支出</w:t>
      </w:r>
      <w:r>
        <w:rPr>
          <w:rFonts w:hint="eastAsia" w:ascii="仿宋_GB2312" w:hAnsi="黑体" w:eastAsia="仿宋_GB2312"/>
          <w:b/>
          <w:sz w:val="32"/>
          <w:szCs w:val="32"/>
        </w:rPr>
        <w:t>：</w:t>
      </w:r>
      <w:r>
        <w:rPr>
          <w:rFonts w:hint="eastAsia" w:ascii="仿宋_GB2312" w:hAnsi="黑体" w:eastAsia="仿宋_GB2312"/>
          <w:sz w:val="32"/>
          <w:szCs w:val="32"/>
        </w:rPr>
        <w:t>指在除基本支出之外的支出，主要用于完成特定的工作任务和事业发展目标。</w:t>
      </w:r>
    </w:p>
    <w:p>
      <w:pPr>
        <w:pStyle w:val="4"/>
        <w:spacing w:before="0" w:beforeAutospacing="0" w:after="0" w:afterAutospacing="0" w:line="600" w:lineRule="exact"/>
        <w:ind w:firstLine="627" w:firstLineChars="196"/>
        <w:jc w:val="both"/>
        <w:rPr>
          <w:rFonts w:ascii="仿宋_GB2312" w:hAnsi="黑体" w:eastAsia="仿宋_GB2312"/>
          <w:sz w:val="32"/>
          <w:szCs w:val="32"/>
        </w:rPr>
      </w:pPr>
      <w:r>
        <w:rPr>
          <w:rFonts w:ascii="黑体" w:hAnsi="黑体" w:eastAsia="黑体"/>
          <w:sz w:val="32"/>
          <w:szCs w:val="32"/>
        </w:rPr>
        <w:t xml:space="preserve"> </w:t>
      </w:r>
      <w:r>
        <w:rPr>
          <w:rFonts w:hint="eastAsia" w:ascii="黑体" w:hAnsi="黑体" w:eastAsia="黑体"/>
          <w:sz w:val="32"/>
          <w:szCs w:val="32"/>
        </w:rPr>
        <w:t>十、机关运行经费</w:t>
      </w:r>
      <w:r>
        <w:rPr>
          <w:rFonts w:ascii="黑体" w:hAnsi="黑体" w:eastAsia="黑体"/>
          <w:sz w:val="32"/>
          <w:szCs w:val="32"/>
        </w:rPr>
        <w:t>:</w:t>
      </w:r>
      <w:r>
        <w:rPr>
          <w:rFonts w:hint="eastAsia" w:ascii="仿宋_GB2312" w:hAnsi="黑体" w:eastAsia="仿宋_GB2312"/>
          <w:sz w:val="32"/>
          <w:szCs w:val="32"/>
        </w:rPr>
        <w:t>为保障行政单位（包括参照公务员法管理的事业单位）运行用于购买货物和服务的各项资金，包括办公及印刷费、邮电费、差旅费、会议费、福利费、日常维修费、一般设备购置费、办公用房水电费、办公用房取暖费、办公用房物业管理费、公务用车运行维护费以及其他费用。</w:t>
      </w:r>
    </w:p>
    <w:p>
      <w:pPr>
        <w:pStyle w:val="4"/>
        <w:keepNext w:val="0"/>
        <w:keepLines w:val="0"/>
        <w:pageBreakBefore w:val="0"/>
        <w:kinsoku/>
        <w:overflowPunct/>
        <w:topLinePunct w:val="0"/>
        <w:autoSpaceDE/>
        <w:autoSpaceDN/>
        <w:bidi w:val="0"/>
        <w:adjustRightInd w:val="0"/>
        <w:snapToGrid w:val="0"/>
        <w:spacing w:line="560" w:lineRule="exact"/>
        <w:ind w:firstLine="627" w:firstLineChars="196"/>
        <w:rPr>
          <w:rFonts w:hint="default" w:ascii="TimesNewRoman" w:hAnsi="TimesNewRoman" w:eastAsia="仿宋_GB2312" w:cs="TimesNewRoman"/>
          <w:color w:val="000000"/>
          <w:sz w:val="32"/>
          <w:szCs w:val="32"/>
        </w:rPr>
      </w:pPr>
      <w:r>
        <w:rPr>
          <w:rFonts w:hint="default" w:ascii="TimesNewRoman" w:hAnsi="TimesNewRoman" w:eastAsia="黑体" w:cs="TimesNewRoman"/>
          <w:color w:val="000000"/>
          <w:sz w:val="32"/>
          <w:szCs w:val="32"/>
        </w:rPr>
        <w:t>十一、</w:t>
      </w:r>
      <w:r>
        <w:rPr>
          <w:rFonts w:hint="default" w:ascii="TimesNewRoman" w:hAnsi="TimesNewRoman" w:eastAsia="黑体" w:cs="TimesNewRoman"/>
          <w:color w:val="000000"/>
          <w:sz w:val="32"/>
          <w:szCs w:val="32"/>
          <w:u w:val="single"/>
        </w:rPr>
        <w:t>一般公共服务支出（类）市场监督管理事务（款）药品事务</w:t>
      </w:r>
      <w:r>
        <w:rPr>
          <w:rFonts w:hint="default" w:ascii="TimesNewRoman" w:hAnsi="TimesNewRoman" w:eastAsia="黑体" w:cs="TimesNewRoman"/>
          <w:color w:val="000000"/>
          <w:sz w:val="32"/>
          <w:szCs w:val="32"/>
        </w:rPr>
        <w:t>：</w:t>
      </w:r>
      <w:r>
        <w:rPr>
          <w:rFonts w:hint="default" w:ascii="TimesNewRoman" w:hAnsi="TimesNewRoman" w:eastAsia="仿宋_GB2312" w:cs="TimesNewRoman"/>
          <w:color w:val="000000"/>
          <w:sz w:val="32"/>
          <w:szCs w:val="32"/>
        </w:rPr>
        <w:t>反映</w:t>
      </w:r>
      <w:r>
        <w:rPr>
          <w:rFonts w:hint="eastAsia" w:ascii="TimesNewRoman" w:hAnsi="TimesNewRoman" w:eastAsia="仿宋_GB2312" w:cs="TimesNewRoman"/>
          <w:color w:val="000000"/>
          <w:sz w:val="32"/>
          <w:szCs w:val="32"/>
          <w:lang w:eastAsia="zh-CN"/>
        </w:rPr>
        <w:t>市</w:t>
      </w:r>
      <w:r>
        <w:rPr>
          <w:rFonts w:hint="default" w:ascii="TimesNewRoman" w:hAnsi="TimesNewRoman" w:eastAsia="仿宋_GB2312" w:cs="TimesNewRoman"/>
          <w:color w:val="000000"/>
          <w:sz w:val="32"/>
          <w:szCs w:val="32"/>
          <w:u w:val="single"/>
        </w:rPr>
        <w:t>淮南市食品药品检验中心</w:t>
      </w:r>
      <w:r>
        <w:rPr>
          <w:rFonts w:hint="default" w:ascii="TimesNewRoman" w:hAnsi="TimesNewRoman" w:eastAsia="仿宋_GB2312" w:cs="TimesNewRoman"/>
          <w:color w:val="000000"/>
          <w:sz w:val="32"/>
          <w:szCs w:val="32"/>
        </w:rPr>
        <w:t>用于国库集中收付业务方面的支出。（</w:t>
      </w:r>
      <w:r>
        <w:rPr>
          <w:rFonts w:hint="default" w:ascii="TimesNewRoman" w:hAnsi="TimesNewRoman" w:eastAsia="楷体_GB2312" w:cs="TimesNewRoman"/>
          <w:color w:val="000000"/>
          <w:sz w:val="32"/>
          <w:szCs w:val="32"/>
        </w:rPr>
        <w:t>根据部门预算实际对重要的支出功能科目进行解释</w:t>
      </w:r>
      <w:r>
        <w:rPr>
          <w:rFonts w:hint="default" w:ascii="TimesNewRoman" w:hAnsi="TimesNewRoman" w:eastAsia="仿宋_GB2312" w:cs="TimesNewRoman"/>
          <w:color w:val="000000"/>
          <w:sz w:val="32"/>
          <w:szCs w:val="32"/>
        </w:rPr>
        <w:t>）</w:t>
      </w: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keepNext w:val="0"/>
        <w:keepLines w:val="0"/>
        <w:pageBreakBefore w:val="0"/>
        <w:kinsoku/>
        <w:overflowPunct/>
        <w:topLinePunct w:val="0"/>
        <w:autoSpaceDE/>
        <w:autoSpaceDN/>
        <w:bidi w:val="0"/>
        <w:adjustRightInd w:val="0"/>
        <w:snapToGrid w:val="0"/>
        <w:spacing w:line="560" w:lineRule="exact"/>
        <w:outlineLvl w:val="0"/>
        <w:rPr>
          <w:rFonts w:hint="eastAsia" w:ascii="方正黑体_GBK" w:hAnsi="方正黑体_GBK" w:eastAsia="方正黑体_GBK" w:cs="方正黑体_GBK"/>
          <w:color w:val="000000"/>
          <w:sz w:val="32"/>
          <w:szCs w:val="32"/>
          <w:highlight w:val="none"/>
          <w:lang w:eastAsia="zh-CN"/>
        </w:rPr>
      </w:pPr>
      <w:r>
        <w:rPr>
          <w:rFonts w:hint="eastAsia" w:ascii="方正黑体_GBK" w:hAnsi="方正黑体_GBK" w:eastAsia="方正黑体_GBK" w:cs="方正黑体_GBK"/>
          <w:color w:val="000000"/>
          <w:sz w:val="32"/>
          <w:szCs w:val="32"/>
          <w:highlight w:val="none"/>
          <w:lang w:eastAsia="zh-CN"/>
        </w:rPr>
        <w:t>附件：</w:t>
      </w:r>
    </w:p>
    <w:p>
      <w:pPr>
        <w:keepNext w:val="0"/>
        <w:keepLines w:val="0"/>
        <w:pageBreakBefore w:val="0"/>
        <w:kinsoku/>
        <w:overflowPunct/>
        <w:topLinePunct w:val="0"/>
        <w:autoSpaceDE/>
        <w:autoSpaceDN/>
        <w:bidi w:val="0"/>
        <w:spacing w:line="560" w:lineRule="exact"/>
        <w:jc w:val="center"/>
        <w:rPr>
          <w:rFonts w:hint="default" w:ascii="TimesNewRoman" w:hAnsi="TimesNewRoman" w:eastAsia="华文中宋" w:cs="TimesNewRoman"/>
          <w:b/>
          <w:color w:val="000000"/>
          <w:sz w:val="36"/>
          <w:szCs w:val="36"/>
        </w:rPr>
      </w:pPr>
    </w:p>
    <w:p>
      <w:pPr>
        <w:keepNext w:val="0"/>
        <w:keepLines w:val="0"/>
        <w:pageBreakBefore w:val="0"/>
        <w:kinsoku/>
        <w:overflowPunct/>
        <w:topLinePunct w:val="0"/>
        <w:autoSpaceDE/>
        <w:autoSpaceDN/>
        <w:bidi w:val="0"/>
        <w:spacing w:line="560" w:lineRule="exact"/>
        <w:jc w:val="center"/>
        <w:rPr>
          <w:rFonts w:hint="default" w:ascii="TimesNewRoman" w:hAnsi="TimesNewRoman" w:eastAsia="华文中宋" w:cs="TimesNewRoman"/>
          <w:b/>
          <w:color w:val="000000"/>
          <w:sz w:val="36"/>
          <w:szCs w:val="36"/>
          <w:lang w:eastAsia="zh-CN"/>
        </w:rPr>
      </w:pPr>
      <w:r>
        <w:rPr>
          <w:rFonts w:hint="eastAsia" w:ascii="TimesNewRoman" w:hAnsi="TimesNewRoman" w:eastAsia="华文中宋" w:cs="TimesNewRoman"/>
          <w:b/>
          <w:color w:val="000000"/>
          <w:sz w:val="36"/>
          <w:szCs w:val="36"/>
          <w:lang w:eastAsia="zh-CN"/>
        </w:rPr>
        <w:t>淮南市食品药品检验中心</w:t>
      </w:r>
      <w:r>
        <w:rPr>
          <w:rFonts w:hint="default" w:ascii="TimesNewRoman" w:hAnsi="TimesNewRoman" w:eastAsia="华文中宋" w:cs="TimesNewRoman"/>
          <w:b/>
          <w:color w:val="000000"/>
          <w:sz w:val="36"/>
          <w:szCs w:val="36"/>
          <w:lang w:val="en-US" w:eastAsia="zh-CN"/>
        </w:rPr>
        <w:t>2024年度</w:t>
      </w:r>
      <w:r>
        <w:rPr>
          <w:rFonts w:hint="default" w:ascii="TimesNewRoman" w:hAnsi="TimesNewRoman" w:eastAsia="华文中宋" w:cs="TimesNewRoman"/>
          <w:b/>
          <w:color w:val="000000"/>
          <w:sz w:val="36"/>
          <w:szCs w:val="36"/>
        </w:rPr>
        <w:t>项目</w:t>
      </w:r>
      <w:r>
        <w:rPr>
          <w:rFonts w:hint="default" w:ascii="TimesNewRoman" w:hAnsi="TimesNewRoman" w:eastAsia="华文中宋" w:cs="TimesNewRoman"/>
          <w:b/>
          <w:color w:val="000000"/>
          <w:sz w:val="36"/>
          <w:szCs w:val="36"/>
          <w:lang w:eastAsia="zh-CN"/>
        </w:rPr>
        <w:t>支出绩效目标</w:t>
      </w:r>
    </w:p>
    <w:p>
      <w:pPr>
        <w:keepNext w:val="0"/>
        <w:keepLines w:val="0"/>
        <w:pageBreakBefore w:val="0"/>
        <w:kinsoku/>
        <w:overflowPunct/>
        <w:topLinePunct w:val="0"/>
        <w:autoSpaceDE/>
        <w:autoSpaceDN/>
        <w:bidi w:val="0"/>
        <w:adjustRightInd w:val="0"/>
        <w:snapToGrid w:val="0"/>
        <w:spacing w:line="560" w:lineRule="exact"/>
        <w:jc w:val="both"/>
        <w:outlineLvl w:val="0"/>
        <w:rPr>
          <w:rFonts w:hint="default" w:ascii="TimesNewRoman" w:hAnsi="TimesNewRoman" w:eastAsia="仿宋_GB2312" w:cs="TimesNewRoman"/>
          <w:b w:val="0"/>
          <w:bCs w:val="0"/>
          <w:color w:val="000000"/>
          <w:sz w:val="32"/>
          <w:szCs w:val="32"/>
          <w:highlight w:val="none"/>
          <w:lang w:eastAsia="zh-CN"/>
        </w:rPr>
      </w:pPr>
    </w:p>
    <w:tbl>
      <w:tblPr>
        <w:tblStyle w:val="6"/>
        <w:tblW w:w="8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0"/>
        <w:gridCol w:w="3795"/>
        <w:gridCol w:w="3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5" w:type="dxa"/>
            <w:gridSpan w:val="3"/>
            <w:noWrap w:val="0"/>
            <w:vAlign w:val="center"/>
          </w:tcPr>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0"/>
              <w:rPr>
                <w:rFonts w:hint="default" w:ascii="TimesNewRoman" w:hAnsi="TimesNewRoman" w:eastAsia="仿宋_GB2312" w:cs="TimesNewRoman"/>
                <w:b w:val="0"/>
                <w:bCs w:val="0"/>
                <w:color w:val="000000"/>
                <w:sz w:val="32"/>
                <w:szCs w:val="32"/>
                <w:highlight w:val="none"/>
                <w:vertAlign w:val="baseline"/>
                <w:lang w:val="en-US" w:eastAsia="zh-CN"/>
              </w:rPr>
            </w:pPr>
            <w:r>
              <w:rPr>
                <w:rFonts w:hint="default" w:ascii="TimesNewRoman" w:hAnsi="TimesNewRoman" w:eastAsia="仿宋_GB2312" w:cs="TimesNewRoman"/>
                <w:color w:val="000000"/>
                <w:kern w:val="2"/>
                <w:sz w:val="32"/>
                <w:szCs w:val="32"/>
                <w:lang w:val="en-US" w:eastAsia="zh-CN" w:bidi="ar-SA"/>
              </w:rPr>
              <w:t>项目支出绩效目标公开清单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0"/>
              <w:rPr>
                <w:rFonts w:hint="default" w:ascii="TimesNewRoman" w:hAnsi="TimesNewRoman" w:eastAsia="仿宋_GB2312" w:cs="TimesNewRoman"/>
                <w:color w:val="000000"/>
                <w:kern w:val="2"/>
                <w:sz w:val="32"/>
                <w:szCs w:val="32"/>
                <w:lang w:val="en-US" w:eastAsia="zh-CN" w:bidi="ar-SA"/>
              </w:rPr>
            </w:pPr>
            <w:r>
              <w:rPr>
                <w:rFonts w:hint="default" w:ascii="TimesNewRoman" w:hAnsi="TimesNewRoman" w:eastAsia="仿宋_GB2312" w:cs="TimesNewRoman"/>
                <w:color w:val="000000"/>
                <w:kern w:val="2"/>
                <w:sz w:val="32"/>
                <w:szCs w:val="32"/>
                <w:lang w:val="en-US" w:eastAsia="zh-CN" w:bidi="ar-SA"/>
              </w:rPr>
              <w:t>序号</w:t>
            </w:r>
          </w:p>
        </w:tc>
        <w:tc>
          <w:tcPr>
            <w:tcW w:w="379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0"/>
              <w:rPr>
                <w:rFonts w:hint="default" w:ascii="TimesNewRoman" w:hAnsi="TimesNewRoman" w:eastAsia="仿宋_GB2312" w:cs="TimesNewRoman"/>
                <w:color w:val="000000"/>
                <w:kern w:val="2"/>
                <w:sz w:val="32"/>
                <w:szCs w:val="32"/>
                <w:lang w:val="en-US" w:eastAsia="zh-CN" w:bidi="ar-SA"/>
              </w:rPr>
            </w:pPr>
            <w:r>
              <w:rPr>
                <w:rFonts w:hint="default" w:ascii="TimesNewRoman" w:hAnsi="TimesNewRoman" w:eastAsia="仿宋_GB2312" w:cs="TimesNewRoman"/>
                <w:color w:val="000000"/>
                <w:kern w:val="2"/>
                <w:sz w:val="32"/>
                <w:szCs w:val="32"/>
                <w:lang w:val="en-US" w:eastAsia="zh-CN" w:bidi="ar-SA"/>
              </w:rPr>
              <w:t>项目名称</w:t>
            </w:r>
          </w:p>
        </w:tc>
        <w:tc>
          <w:tcPr>
            <w:tcW w:w="360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0"/>
              <w:rPr>
                <w:rFonts w:hint="default" w:ascii="TimesNewRoman" w:hAnsi="TimesNewRoman" w:eastAsia="仿宋_GB2312" w:cs="TimesNewRoman"/>
                <w:color w:val="000000"/>
                <w:kern w:val="2"/>
                <w:sz w:val="32"/>
                <w:szCs w:val="32"/>
                <w:lang w:val="en-US" w:eastAsia="zh-CN" w:bidi="ar-SA"/>
              </w:rPr>
            </w:pPr>
            <w:r>
              <w:rPr>
                <w:rFonts w:hint="default" w:ascii="TimesNewRoman" w:hAnsi="TimesNewRoman" w:eastAsia="仿宋_GB2312" w:cs="TimesNewRoman"/>
                <w:color w:val="000000"/>
                <w:kern w:val="2"/>
                <w:sz w:val="32"/>
                <w:szCs w:val="32"/>
                <w:lang w:val="en-US" w:eastAsia="zh-CN" w:bidi="ar-SA"/>
              </w:rPr>
              <w:t>预算金额（单位：万元）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0"/>
              <w:rPr>
                <w:rFonts w:hint="default" w:ascii="TimesNewRoman" w:hAnsi="TimesNewRoman" w:eastAsia="仿宋_GB2312" w:cs="TimesNewRoman"/>
                <w:b w:val="0"/>
                <w:bCs w:val="0"/>
                <w:color w:val="000000"/>
                <w:sz w:val="32"/>
                <w:szCs w:val="32"/>
                <w:highlight w:val="none"/>
                <w:vertAlign w:val="baseline"/>
                <w:lang w:val="en-US" w:eastAsia="zh-CN"/>
              </w:rPr>
            </w:pPr>
            <w:r>
              <w:rPr>
                <w:rFonts w:hint="default" w:ascii="TimesNewRoman" w:hAnsi="TimesNewRoman" w:eastAsia="仿宋_GB2312" w:cs="TimesNewRoman"/>
                <w:b w:val="0"/>
                <w:bCs w:val="0"/>
                <w:color w:val="000000"/>
                <w:sz w:val="32"/>
                <w:szCs w:val="32"/>
                <w:highlight w:val="none"/>
                <w:vertAlign w:val="baseline"/>
                <w:lang w:val="en-US" w:eastAsia="zh-CN"/>
              </w:rPr>
              <w:t>1</w:t>
            </w:r>
          </w:p>
        </w:tc>
        <w:tc>
          <w:tcPr>
            <w:tcW w:w="3795" w:type="dxa"/>
            <w:noWrap w:val="0"/>
            <w:vAlign w:val="center"/>
          </w:tcPr>
          <w:p>
            <w:pPr>
              <w:keepNext w:val="0"/>
              <w:keepLines w:val="0"/>
              <w:widowControl/>
              <w:suppressLineNumbers w:val="0"/>
              <w:jc w:val="center"/>
              <w:textAlignment w:val="center"/>
              <w:rPr>
                <w:rFonts w:hint="eastAsia" w:ascii="仿宋" w:hAnsi="仿宋" w:eastAsia="仿宋" w:cs="仿宋"/>
                <w:b w:val="0"/>
                <w:bCs w:val="0"/>
                <w:color w:val="000000"/>
                <w:sz w:val="30"/>
                <w:szCs w:val="30"/>
                <w:highlight w:val="none"/>
                <w:vertAlign w:val="baseline"/>
                <w:lang w:val="en-US" w:eastAsia="zh-CN"/>
              </w:rPr>
            </w:pPr>
            <w:r>
              <w:rPr>
                <w:rFonts w:hint="eastAsia" w:ascii="仿宋" w:hAnsi="仿宋" w:eastAsia="仿宋" w:cs="仿宋"/>
                <w:i w:val="0"/>
                <w:iCs w:val="0"/>
                <w:color w:val="000000"/>
                <w:kern w:val="0"/>
                <w:sz w:val="30"/>
                <w:szCs w:val="30"/>
                <w:u w:val="none"/>
                <w:lang w:val="en-US" w:eastAsia="zh-CN" w:bidi="ar"/>
              </w:rPr>
              <w:t>乳制品抽检专项经费</w:t>
            </w:r>
          </w:p>
        </w:tc>
        <w:tc>
          <w:tcPr>
            <w:tcW w:w="3600" w:type="dxa"/>
            <w:noWrap w:val="0"/>
            <w:vAlign w:val="center"/>
          </w:tcPr>
          <w:p>
            <w:pPr>
              <w:keepNext w:val="0"/>
              <w:keepLines w:val="0"/>
              <w:widowControl/>
              <w:suppressLineNumbers w:val="0"/>
              <w:jc w:val="center"/>
              <w:textAlignment w:val="center"/>
              <w:rPr>
                <w:rFonts w:hint="eastAsia" w:ascii="仿宋" w:hAnsi="仿宋" w:eastAsia="仿宋" w:cs="仿宋"/>
                <w:b w:val="0"/>
                <w:bCs w:val="0"/>
                <w:color w:val="000000"/>
                <w:sz w:val="30"/>
                <w:szCs w:val="30"/>
                <w:highlight w:val="none"/>
                <w:vertAlign w:val="baseline"/>
                <w:lang w:val="en-US" w:eastAsia="zh-CN"/>
              </w:rPr>
            </w:pPr>
            <w:r>
              <w:rPr>
                <w:rFonts w:hint="eastAsia" w:ascii="仿宋" w:hAnsi="仿宋" w:eastAsia="仿宋" w:cs="仿宋"/>
                <w:i w:val="0"/>
                <w:iCs w:val="0"/>
                <w:color w:val="000000"/>
                <w:kern w:val="0"/>
                <w:sz w:val="30"/>
                <w:szCs w:val="30"/>
                <w:u w:val="none"/>
                <w:lang w:val="en-US" w:eastAsia="zh-CN" w:bidi="ar"/>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0"/>
              <w:rPr>
                <w:rFonts w:hint="default" w:ascii="TimesNewRoman" w:hAnsi="TimesNewRoman" w:eastAsia="仿宋_GB2312" w:cs="TimesNewRoman"/>
                <w:b w:val="0"/>
                <w:bCs w:val="0"/>
                <w:color w:val="000000"/>
                <w:sz w:val="32"/>
                <w:szCs w:val="32"/>
                <w:highlight w:val="none"/>
                <w:vertAlign w:val="baseline"/>
                <w:lang w:val="en-US" w:eastAsia="zh-CN"/>
              </w:rPr>
            </w:pPr>
            <w:r>
              <w:rPr>
                <w:rFonts w:hint="default" w:ascii="TimesNewRoman" w:hAnsi="TimesNewRoman" w:eastAsia="仿宋_GB2312" w:cs="TimesNewRoman"/>
                <w:b w:val="0"/>
                <w:bCs w:val="0"/>
                <w:color w:val="000000"/>
                <w:sz w:val="32"/>
                <w:szCs w:val="32"/>
                <w:highlight w:val="none"/>
                <w:vertAlign w:val="baseline"/>
                <w:lang w:val="en-US" w:eastAsia="zh-CN"/>
              </w:rPr>
              <w:t>2</w:t>
            </w:r>
          </w:p>
        </w:tc>
        <w:tc>
          <w:tcPr>
            <w:tcW w:w="3795" w:type="dxa"/>
            <w:noWrap w:val="0"/>
            <w:vAlign w:val="center"/>
          </w:tcPr>
          <w:p>
            <w:pPr>
              <w:keepNext w:val="0"/>
              <w:keepLines w:val="0"/>
              <w:widowControl/>
              <w:suppressLineNumbers w:val="0"/>
              <w:jc w:val="center"/>
              <w:textAlignment w:val="center"/>
              <w:rPr>
                <w:rFonts w:hint="eastAsia" w:ascii="仿宋" w:hAnsi="仿宋" w:eastAsia="仿宋" w:cs="仿宋"/>
                <w:b w:val="0"/>
                <w:bCs w:val="0"/>
                <w:color w:val="000000"/>
                <w:sz w:val="30"/>
                <w:szCs w:val="30"/>
                <w:highlight w:val="none"/>
                <w:vertAlign w:val="baseline"/>
                <w:lang w:val="en-US" w:eastAsia="zh-CN"/>
              </w:rPr>
            </w:pPr>
            <w:r>
              <w:rPr>
                <w:rFonts w:hint="eastAsia" w:ascii="仿宋" w:hAnsi="仿宋" w:eastAsia="仿宋" w:cs="仿宋"/>
                <w:i w:val="0"/>
                <w:iCs w:val="0"/>
                <w:color w:val="000000"/>
                <w:kern w:val="0"/>
                <w:sz w:val="30"/>
                <w:szCs w:val="30"/>
                <w:u w:val="none"/>
                <w:lang w:val="en-US" w:eastAsia="zh-CN" w:bidi="ar"/>
              </w:rPr>
              <w:t>食品、药品、保健品、医疗器械、药包材抽检运转经费</w:t>
            </w:r>
          </w:p>
        </w:tc>
        <w:tc>
          <w:tcPr>
            <w:tcW w:w="3600" w:type="dxa"/>
            <w:noWrap w:val="0"/>
            <w:vAlign w:val="center"/>
          </w:tcPr>
          <w:p>
            <w:pPr>
              <w:keepNext w:val="0"/>
              <w:keepLines w:val="0"/>
              <w:widowControl/>
              <w:suppressLineNumbers w:val="0"/>
              <w:jc w:val="center"/>
              <w:textAlignment w:val="center"/>
              <w:rPr>
                <w:rFonts w:hint="eastAsia" w:ascii="仿宋" w:hAnsi="仿宋" w:eastAsia="仿宋" w:cs="仿宋"/>
                <w:b w:val="0"/>
                <w:bCs w:val="0"/>
                <w:color w:val="000000"/>
                <w:sz w:val="30"/>
                <w:szCs w:val="30"/>
                <w:highlight w:val="none"/>
                <w:vertAlign w:val="baseline"/>
                <w:lang w:val="en-US" w:eastAsia="zh-CN"/>
              </w:rPr>
            </w:pPr>
            <w:r>
              <w:rPr>
                <w:rFonts w:hint="eastAsia" w:ascii="仿宋" w:hAnsi="仿宋" w:eastAsia="仿宋" w:cs="仿宋"/>
                <w:i w:val="0"/>
                <w:iCs w:val="0"/>
                <w:color w:val="000000"/>
                <w:kern w:val="0"/>
                <w:sz w:val="30"/>
                <w:szCs w:val="30"/>
                <w:u w:val="none"/>
                <w:lang w:val="en-US" w:eastAsia="zh-CN" w:bidi="ar"/>
              </w:rPr>
              <w:t>17.14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0"/>
              <w:rPr>
                <w:rFonts w:hint="default" w:ascii="TimesNewRoman" w:hAnsi="TimesNewRoman" w:eastAsia="仿宋_GB2312" w:cs="TimesNewRoman"/>
                <w:b w:val="0"/>
                <w:bCs w:val="0"/>
                <w:color w:val="000000"/>
                <w:sz w:val="32"/>
                <w:szCs w:val="32"/>
                <w:highlight w:val="none"/>
                <w:vertAlign w:val="baseline"/>
                <w:lang w:val="en-US" w:eastAsia="zh-CN"/>
              </w:rPr>
            </w:pPr>
            <w:r>
              <w:rPr>
                <w:rFonts w:hint="default" w:ascii="TimesNewRoman" w:hAnsi="TimesNewRoman" w:eastAsia="仿宋_GB2312" w:cs="TimesNewRoman"/>
                <w:b w:val="0"/>
                <w:bCs w:val="0"/>
                <w:color w:val="000000"/>
                <w:sz w:val="32"/>
                <w:szCs w:val="32"/>
                <w:highlight w:val="none"/>
                <w:vertAlign w:val="baseline"/>
                <w:lang w:val="en-US" w:eastAsia="zh-CN"/>
              </w:rPr>
              <w:t>3</w:t>
            </w:r>
          </w:p>
        </w:tc>
        <w:tc>
          <w:tcPr>
            <w:tcW w:w="3795" w:type="dxa"/>
            <w:noWrap w:val="0"/>
            <w:vAlign w:val="center"/>
          </w:tcPr>
          <w:p>
            <w:pPr>
              <w:keepNext w:val="0"/>
              <w:keepLines w:val="0"/>
              <w:widowControl/>
              <w:suppressLineNumbers w:val="0"/>
              <w:jc w:val="center"/>
              <w:textAlignment w:val="center"/>
              <w:rPr>
                <w:rFonts w:hint="eastAsia" w:ascii="仿宋" w:hAnsi="仿宋" w:eastAsia="仿宋" w:cs="仿宋"/>
                <w:b w:val="0"/>
                <w:bCs w:val="0"/>
                <w:color w:val="000000"/>
                <w:sz w:val="30"/>
                <w:szCs w:val="30"/>
                <w:highlight w:val="none"/>
                <w:vertAlign w:val="baseline"/>
                <w:lang w:val="en-US" w:eastAsia="zh-CN"/>
              </w:rPr>
            </w:pPr>
            <w:r>
              <w:rPr>
                <w:rFonts w:hint="eastAsia" w:ascii="仿宋" w:hAnsi="仿宋" w:eastAsia="仿宋" w:cs="仿宋"/>
                <w:i w:val="0"/>
                <w:iCs w:val="0"/>
                <w:color w:val="000000"/>
                <w:kern w:val="0"/>
                <w:sz w:val="30"/>
                <w:szCs w:val="30"/>
                <w:u w:val="none"/>
                <w:lang w:val="en-US" w:eastAsia="zh-CN" w:bidi="ar"/>
              </w:rPr>
              <w:t>食品药品监管补助资金中央</w:t>
            </w:r>
          </w:p>
        </w:tc>
        <w:tc>
          <w:tcPr>
            <w:tcW w:w="3600" w:type="dxa"/>
            <w:noWrap w:val="0"/>
            <w:vAlign w:val="center"/>
          </w:tcPr>
          <w:p>
            <w:pPr>
              <w:keepNext w:val="0"/>
              <w:keepLines w:val="0"/>
              <w:widowControl/>
              <w:suppressLineNumbers w:val="0"/>
              <w:jc w:val="center"/>
              <w:textAlignment w:val="center"/>
              <w:rPr>
                <w:rFonts w:hint="eastAsia" w:ascii="仿宋" w:hAnsi="仿宋" w:eastAsia="仿宋" w:cs="仿宋"/>
                <w:b w:val="0"/>
                <w:bCs w:val="0"/>
                <w:color w:val="000000"/>
                <w:sz w:val="30"/>
                <w:szCs w:val="30"/>
                <w:highlight w:val="none"/>
                <w:vertAlign w:val="baseline"/>
                <w:lang w:val="en-US" w:eastAsia="zh-CN"/>
              </w:rPr>
            </w:pPr>
            <w:r>
              <w:rPr>
                <w:rFonts w:hint="eastAsia" w:ascii="仿宋" w:hAnsi="仿宋" w:eastAsia="仿宋" w:cs="仿宋"/>
                <w:i w:val="0"/>
                <w:iCs w:val="0"/>
                <w:color w:val="000000"/>
                <w:kern w:val="0"/>
                <w:sz w:val="30"/>
                <w:szCs w:val="30"/>
                <w:u w:val="none"/>
                <w:lang w:val="en-US" w:eastAsia="zh-CN" w:bidi="ar"/>
              </w:rPr>
              <w:t>34.00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0"/>
              <w:rPr>
                <w:rFonts w:hint="default" w:ascii="TimesNewRoman" w:hAnsi="TimesNewRoman" w:eastAsia="仿宋_GB2312" w:cs="TimesNewRoman"/>
                <w:b w:val="0"/>
                <w:bCs w:val="0"/>
                <w:color w:val="000000"/>
                <w:sz w:val="32"/>
                <w:szCs w:val="32"/>
                <w:highlight w:val="none"/>
                <w:vertAlign w:val="baseline"/>
                <w:lang w:val="en-US" w:eastAsia="zh-CN"/>
              </w:rPr>
            </w:pPr>
            <w:r>
              <w:rPr>
                <w:rFonts w:hint="default" w:ascii="TimesNewRoman" w:hAnsi="TimesNewRoman" w:eastAsia="仿宋_GB2312" w:cs="TimesNewRoman"/>
                <w:b w:val="0"/>
                <w:bCs w:val="0"/>
                <w:color w:val="000000"/>
                <w:sz w:val="32"/>
                <w:szCs w:val="32"/>
                <w:highlight w:val="none"/>
                <w:vertAlign w:val="baseline"/>
                <w:lang w:val="en-US" w:eastAsia="zh-CN"/>
              </w:rPr>
              <w:t>4</w:t>
            </w:r>
          </w:p>
        </w:tc>
        <w:tc>
          <w:tcPr>
            <w:tcW w:w="3795" w:type="dxa"/>
            <w:noWrap w:val="0"/>
            <w:vAlign w:val="center"/>
          </w:tcPr>
          <w:p>
            <w:pPr>
              <w:keepNext w:val="0"/>
              <w:keepLines w:val="0"/>
              <w:widowControl/>
              <w:suppressLineNumbers w:val="0"/>
              <w:jc w:val="center"/>
              <w:textAlignment w:val="center"/>
              <w:rPr>
                <w:rFonts w:hint="eastAsia" w:ascii="仿宋" w:hAnsi="仿宋" w:eastAsia="仿宋" w:cs="仿宋"/>
                <w:b w:val="0"/>
                <w:bCs w:val="0"/>
                <w:color w:val="000000"/>
                <w:sz w:val="30"/>
                <w:szCs w:val="30"/>
                <w:highlight w:val="none"/>
                <w:vertAlign w:val="baseline"/>
                <w:lang w:val="en-US" w:eastAsia="zh-CN"/>
              </w:rPr>
            </w:pPr>
            <w:r>
              <w:rPr>
                <w:rFonts w:hint="eastAsia" w:ascii="仿宋" w:hAnsi="仿宋" w:eastAsia="仿宋" w:cs="仿宋"/>
                <w:i w:val="0"/>
                <w:iCs w:val="0"/>
                <w:color w:val="000000"/>
                <w:kern w:val="0"/>
                <w:sz w:val="30"/>
                <w:szCs w:val="30"/>
                <w:u w:val="none"/>
                <w:lang w:val="en-US" w:eastAsia="zh-CN" w:bidi="ar"/>
              </w:rPr>
              <w:t>物业管理费</w:t>
            </w:r>
          </w:p>
        </w:tc>
        <w:tc>
          <w:tcPr>
            <w:tcW w:w="3600" w:type="dxa"/>
            <w:noWrap w:val="0"/>
            <w:vAlign w:val="center"/>
          </w:tcPr>
          <w:p>
            <w:pPr>
              <w:keepNext w:val="0"/>
              <w:keepLines w:val="0"/>
              <w:widowControl/>
              <w:suppressLineNumbers w:val="0"/>
              <w:jc w:val="center"/>
              <w:textAlignment w:val="center"/>
              <w:rPr>
                <w:rFonts w:hint="eastAsia" w:ascii="仿宋" w:hAnsi="仿宋" w:eastAsia="仿宋" w:cs="仿宋"/>
                <w:b w:val="0"/>
                <w:bCs w:val="0"/>
                <w:color w:val="000000"/>
                <w:sz w:val="30"/>
                <w:szCs w:val="30"/>
                <w:highlight w:val="none"/>
                <w:vertAlign w:val="baseline"/>
                <w:lang w:val="en-US" w:eastAsia="zh-CN"/>
              </w:rPr>
            </w:pPr>
            <w:r>
              <w:rPr>
                <w:rFonts w:hint="eastAsia" w:ascii="仿宋" w:hAnsi="仿宋" w:eastAsia="仿宋" w:cs="仿宋"/>
                <w:i w:val="0"/>
                <w:iCs w:val="0"/>
                <w:color w:val="000000"/>
                <w:kern w:val="0"/>
                <w:sz w:val="30"/>
                <w:szCs w:val="30"/>
                <w:u w:val="none"/>
                <w:lang w:val="en-US" w:eastAsia="zh-CN" w:bidi="ar"/>
              </w:rPr>
              <w:t>21.90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0"/>
              <w:rPr>
                <w:rFonts w:hint="default" w:ascii="TimesNewRoman" w:hAnsi="TimesNewRoman" w:eastAsia="仿宋_GB2312" w:cs="TimesNewRoman"/>
                <w:b w:val="0"/>
                <w:bCs w:val="0"/>
                <w:color w:val="000000"/>
                <w:sz w:val="32"/>
                <w:szCs w:val="32"/>
                <w:highlight w:val="none"/>
                <w:vertAlign w:val="baseline"/>
                <w:lang w:val="en-US" w:eastAsia="zh-CN"/>
              </w:rPr>
            </w:pPr>
            <w:r>
              <w:rPr>
                <w:rFonts w:hint="eastAsia" w:ascii="TimesNewRoman" w:hAnsi="TimesNewRoman" w:eastAsia="仿宋_GB2312" w:cs="TimesNewRoman"/>
                <w:b w:val="0"/>
                <w:bCs w:val="0"/>
                <w:color w:val="000000"/>
                <w:sz w:val="32"/>
                <w:szCs w:val="32"/>
                <w:highlight w:val="none"/>
                <w:vertAlign w:val="baseline"/>
                <w:lang w:val="en-US" w:eastAsia="zh-CN"/>
              </w:rPr>
              <w:t>5</w:t>
            </w:r>
          </w:p>
        </w:tc>
        <w:tc>
          <w:tcPr>
            <w:tcW w:w="3795" w:type="dxa"/>
            <w:noWrap w:val="0"/>
            <w:vAlign w:val="center"/>
          </w:tcPr>
          <w:p>
            <w:pPr>
              <w:keepNext w:val="0"/>
              <w:keepLines w:val="0"/>
              <w:widowControl/>
              <w:suppressLineNumbers w:val="0"/>
              <w:jc w:val="center"/>
              <w:textAlignment w:val="center"/>
              <w:rPr>
                <w:rFonts w:hint="eastAsia" w:ascii="仿宋" w:hAnsi="仿宋" w:eastAsia="仿宋" w:cs="仿宋"/>
                <w:b w:val="0"/>
                <w:bCs w:val="0"/>
                <w:color w:val="000000"/>
                <w:sz w:val="30"/>
                <w:szCs w:val="30"/>
                <w:highlight w:val="none"/>
                <w:vertAlign w:val="baseline"/>
                <w:lang w:val="en-US" w:eastAsia="zh-CN"/>
              </w:rPr>
            </w:pPr>
            <w:r>
              <w:rPr>
                <w:rFonts w:hint="eastAsia" w:ascii="仿宋" w:hAnsi="仿宋" w:eastAsia="仿宋" w:cs="仿宋"/>
                <w:i w:val="0"/>
                <w:iCs w:val="0"/>
                <w:color w:val="000000"/>
                <w:kern w:val="0"/>
                <w:sz w:val="30"/>
                <w:szCs w:val="30"/>
                <w:u w:val="none"/>
                <w:lang w:val="en-US" w:eastAsia="zh-CN" w:bidi="ar"/>
              </w:rPr>
              <w:t>药品(含医疗器械、化妆品)抽验经费</w:t>
            </w:r>
          </w:p>
        </w:tc>
        <w:tc>
          <w:tcPr>
            <w:tcW w:w="3600" w:type="dxa"/>
            <w:noWrap w:val="0"/>
            <w:vAlign w:val="center"/>
          </w:tcPr>
          <w:p>
            <w:pPr>
              <w:keepNext w:val="0"/>
              <w:keepLines w:val="0"/>
              <w:widowControl/>
              <w:suppressLineNumbers w:val="0"/>
              <w:jc w:val="center"/>
              <w:textAlignment w:val="center"/>
              <w:rPr>
                <w:rFonts w:hint="eastAsia" w:ascii="仿宋" w:hAnsi="仿宋" w:eastAsia="仿宋" w:cs="仿宋"/>
                <w:b w:val="0"/>
                <w:bCs w:val="0"/>
                <w:color w:val="000000"/>
                <w:sz w:val="30"/>
                <w:szCs w:val="30"/>
                <w:highlight w:val="none"/>
                <w:vertAlign w:val="baseline"/>
                <w:lang w:val="en-US" w:eastAsia="zh-CN"/>
              </w:rPr>
            </w:pPr>
            <w:r>
              <w:rPr>
                <w:rFonts w:hint="eastAsia" w:ascii="仿宋" w:hAnsi="仿宋" w:eastAsia="仿宋" w:cs="仿宋"/>
                <w:i w:val="0"/>
                <w:iCs w:val="0"/>
                <w:color w:val="000000"/>
                <w:kern w:val="0"/>
                <w:sz w:val="30"/>
                <w:szCs w:val="30"/>
                <w:u w:val="none"/>
                <w:lang w:val="en-US" w:eastAsia="zh-CN" w:bidi="ar"/>
              </w:rPr>
              <w:t>172.70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0" w:type="dxa"/>
            <w:noWrap w:val="0"/>
            <w:vAlign w:val="center"/>
          </w:tcPr>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0"/>
              <w:rPr>
                <w:rFonts w:hint="default" w:ascii="TimesNewRoman" w:hAnsi="TimesNewRoman" w:eastAsia="仿宋_GB2312" w:cs="TimesNewRoman"/>
                <w:b w:val="0"/>
                <w:bCs w:val="0"/>
                <w:color w:val="000000"/>
                <w:sz w:val="32"/>
                <w:szCs w:val="32"/>
                <w:highlight w:val="none"/>
                <w:vertAlign w:val="baseline"/>
                <w:lang w:val="en-US" w:eastAsia="zh-CN"/>
              </w:rPr>
            </w:pPr>
            <w:r>
              <w:rPr>
                <w:rFonts w:hint="eastAsia" w:ascii="TimesNewRoman" w:hAnsi="TimesNewRoman" w:eastAsia="仿宋_GB2312" w:cs="TimesNewRoman"/>
                <w:b w:val="0"/>
                <w:bCs w:val="0"/>
                <w:color w:val="000000"/>
                <w:sz w:val="32"/>
                <w:szCs w:val="32"/>
                <w:highlight w:val="none"/>
                <w:vertAlign w:val="baseline"/>
                <w:lang w:val="en-US" w:eastAsia="zh-CN"/>
              </w:rPr>
              <w:t>6</w:t>
            </w:r>
          </w:p>
        </w:tc>
        <w:tc>
          <w:tcPr>
            <w:tcW w:w="3795" w:type="dxa"/>
            <w:noWrap w:val="0"/>
            <w:vAlign w:val="center"/>
          </w:tcPr>
          <w:p>
            <w:pPr>
              <w:keepNext w:val="0"/>
              <w:keepLines w:val="0"/>
              <w:widowControl/>
              <w:suppressLineNumbers w:val="0"/>
              <w:jc w:val="center"/>
              <w:textAlignment w:val="center"/>
              <w:rPr>
                <w:rFonts w:hint="eastAsia" w:ascii="仿宋" w:hAnsi="仿宋" w:eastAsia="仿宋" w:cs="仿宋"/>
                <w:b w:val="0"/>
                <w:bCs w:val="0"/>
                <w:color w:val="000000"/>
                <w:sz w:val="30"/>
                <w:szCs w:val="30"/>
                <w:highlight w:val="none"/>
                <w:vertAlign w:val="baseline"/>
                <w:lang w:val="en-US" w:eastAsia="zh-CN"/>
              </w:rPr>
            </w:pPr>
            <w:r>
              <w:rPr>
                <w:rFonts w:hint="eastAsia" w:ascii="仿宋" w:hAnsi="仿宋" w:eastAsia="仿宋" w:cs="仿宋"/>
                <w:i w:val="0"/>
                <w:iCs w:val="0"/>
                <w:color w:val="000000"/>
                <w:kern w:val="0"/>
                <w:sz w:val="30"/>
                <w:szCs w:val="30"/>
                <w:u w:val="none"/>
                <w:lang w:val="en-US" w:eastAsia="zh-CN" w:bidi="ar"/>
              </w:rPr>
              <w:t>药品安全监管城乡一体化建设经费</w:t>
            </w:r>
          </w:p>
        </w:tc>
        <w:tc>
          <w:tcPr>
            <w:tcW w:w="3600" w:type="dxa"/>
            <w:noWrap w:val="0"/>
            <w:vAlign w:val="center"/>
          </w:tcPr>
          <w:p>
            <w:pPr>
              <w:keepNext w:val="0"/>
              <w:keepLines w:val="0"/>
              <w:widowControl/>
              <w:suppressLineNumbers w:val="0"/>
              <w:jc w:val="center"/>
              <w:textAlignment w:val="center"/>
              <w:rPr>
                <w:rFonts w:hint="eastAsia" w:ascii="仿宋" w:hAnsi="仿宋" w:eastAsia="仿宋" w:cs="仿宋"/>
                <w:b w:val="0"/>
                <w:bCs w:val="0"/>
                <w:color w:val="000000"/>
                <w:sz w:val="30"/>
                <w:szCs w:val="30"/>
                <w:highlight w:val="none"/>
                <w:vertAlign w:val="baseline"/>
                <w:lang w:val="en-US" w:eastAsia="zh-CN"/>
              </w:rPr>
            </w:pPr>
            <w:r>
              <w:rPr>
                <w:rFonts w:hint="eastAsia" w:ascii="仿宋" w:hAnsi="仿宋" w:eastAsia="仿宋" w:cs="仿宋"/>
                <w:i w:val="0"/>
                <w:iCs w:val="0"/>
                <w:color w:val="000000"/>
                <w:kern w:val="0"/>
                <w:sz w:val="30"/>
                <w:szCs w:val="30"/>
                <w:u w:val="none"/>
                <w:lang w:val="en-US" w:eastAsia="zh-CN" w:bidi="ar"/>
              </w:rPr>
              <w:t>4.50</w:t>
            </w:r>
          </w:p>
        </w:tc>
      </w:tr>
    </w:tbl>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p>
      <w:pPr>
        <w:pStyle w:val="4"/>
        <w:adjustRightInd w:val="0"/>
        <w:snapToGrid w:val="0"/>
        <w:spacing w:before="0" w:beforeAutospacing="0" w:after="0" w:afterAutospacing="0" w:line="360" w:lineRule="auto"/>
        <w:ind w:left="359" w:leftChars="171"/>
        <w:jc w:val="both"/>
      </w:pPr>
    </w:p>
    <w:tbl>
      <w:tblPr>
        <w:tblStyle w:val="5"/>
        <w:tblW w:w="90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723"/>
        <w:gridCol w:w="282"/>
        <w:gridCol w:w="477"/>
        <w:gridCol w:w="2872"/>
        <w:gridCol w:w="1848"/>
        <w:gridCol w:w="2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9020" w:type="dxa"/>
            <w:gridSpan w:val="7"/>
            <w:tcBorders>
              <w:top w:val="nil"/>
              <w:left w:val="nil"/>
              <w:bottom w:val="nil"/>
              <w:right w:val="nil"/>
            </w:tcBorders>
            <w:noWrap w:val="0"/>
            <w:vAlign w:val="center"/>
          </w:tcPr>
          <w:p>
            <w:pPr>
              <w:keepNext w:val="0"/>
              <w:keepLines w:val="0"/>
              <w:widowControl/>
              <w:suppressLineNumbers w:val="0"/>
              <w:jc w:val="center"/>
              <w:textAlignment w:val="center"/>
              <w:rPr>
                <w:rFonts w:hint="default" w:ascii="TimesNewRoman" w:hAnsi="TimesNewRoman" w:cs="TimesNewRoman"/>
                <w:b/>
                <w:bCs/>
                <w:color w:val="000000"/>
                <w:szCs w:val="32"/>
                <w:highlight w:val="none"/>
              </w:rPr>
            </w:pPr>
            <w:r>
              <w:rPr>
                <w:rFonts w:hint="default" w:ascii="TimesNewRoman" w:hAnsi="TimesNewRoman" w:eastAsia="宋体" w:cs="TimesNewRoman"/>
                <w:b/>
                <w:i w:val="0"/>
                <w:color w:val="000000"/>
                <w:kern w:val="0"/>
                <w:sz w:val="28"/>
                <w:szCs w:val="28"/>
                <w:highlight w:val="none"/>
                <w:u w:val="none"/>
                <w:lang w:val="en-US" w:eastAsia="zh-CN" w:bidi="ar"/>
              </w:rPr>
              <w:t>项目支出绩效目标表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020" w:type="dxa"/>
            <w:gridSpan w:val="7"/>
            <w:tcBorders>
              <w:top w:val="nil"/>
              <w:left w:val="nil"/>
              <w:right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w:t>
            </w:r>
            <w:r>
              <w:rPr>
                <w:rFonts w:hint="default" w:ascii="TimesNewRoman" w:hAnsi="TimesNewRoman" w:eastAsia="宋体" w:cs="TimesNewRoman"/>
                <w:i w:val="0"/>
                <w:color w:val="000000"/>
                <w:kern w:val="0"/>
                <w:sz w:val="20"/>
                <w:szCs w:val="20"/>
                <w:highlight w:val="none"/>
                <w:u w:val="none"/>
                <w:lang w:val="en" w:eastAsia="zh-CN" w:bidi="ar"/>
              </w:rPr>
              <w:t>2024</w:t>
            </w:r>
            <w:r>
              <w:rPr>
                <w:rFonts w:hint="default" w:ascii="TimesNewRoman" w:hAnsi="TimesNewRoman" w:eastAsia="宋体" w:cs="TimesNewRoman"/>
                <w:i w:val="0"/>
                <w:color w:val="000000"/>
                <w:kern w:val="0"/>
                <w:sz w:val="20"/>
                <w:szCs w:val="20"/>
                <w:highlight w:val="none"/>
                <w:u w:val="none"/>
                <w:lang w:val="en-US" w:eastAsia="zh-CN" w:bidi="ar"/>
              </w:rPr>
              <w:t xml:space="preserve">年度）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443" w:type="dxa"/>
            <w:gridSpan w:val="3"/>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项目名称</w:t>
            </w:r>
          </w:p>
        </w:tc>
        <w:tc>
          <w:tcPr>
            <w:tcW w:w="7577" w:type="dxa"/>
            <w:gridSpan w:val="4"/>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乳制品抽检专项经费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443" w:type="dxa"/>
            <w:gridSpan w:val="3"/>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主管部门   及代码</w:t>
            </w:r>
          </w:p>
        </w:tc>
        <w:tc>
          <w:tcPr>
            <w:tcW w:w="334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[059]淮南市市场监督管理局</w:t>
            </w:r>
          </w:p>
        </w:tc>
        <w:tc>
          <w:tcPr>
            <w:tcW w:w="1848"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实施单位</w:t>
            </w:r>
          </w:p>
        </w:tc>
        <w:tc>
          <w:tcPr>
            <w:tcW w:w="238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 xml:space="preserve"> 1年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443" w:type="dxa"/>
            <w:gridSpan w:val="3"/>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项目来源</w:t>
            </w:r>
          </w:p>
        </w:tc>
        <w:tc>
          <w:tcPr>
            <w:tcW w:w="334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 xml:space="preserve">      财政拨款</w:t>
            </w:r>
          </w:p>
        </w:tc>
        <w:tc>
          <w:tcPr>
            <w:tcW w:w="1848"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项目期</w:t>
            </w:r>
          </w:p>
        </w:tc>
        <w:tc>
          <w:tcPr>
            <w:tcW w:w="238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项目资金</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（万元）</w:t>
            </w:r>
          </w:p>
        </w:tc>
        <w:tc>
          <w:tcPr>
            <w:tcW w:w="3349" w:type="dxa"/>
            <w:gridSpan w:val="2"/>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年度资金总额：</w:t>
            </w:r>
          </w:p>
        </w:tc>
        <w:tc>
          <w:tcPr>
            <w:tcW w:w="4228" w:type="dxa"/>
            <w:gridSpan w:val="2"/>
            <w:tcBorders>
              <w:tl2br w:val="nil"/>
              <w:tr2bl w:val="nil"/>
            </w:tcBorders>
            <w:noWrap w:val="0"/>
            <w:vAlign w:val="center"/>
          </w:tcPr>
          <w:p>
            <w:pPr>
              <w:jc w:val="center"/>
              <w:rPr>
                <w:rFonts w:hint="default" w:ascii="TimesNewRoman" w:hAnsi="TimesNewRoman" w:eastAsia="仿宋_GB2312" w:cs="TimesNewRoman"/>
                <w:color w:val="000000"/>
                <w:sz w:val="20"/>
                <w:highlight w:val="none"/>
                <w:lang w:val="en-US" w:eastAsia="zh-CN"/>
              </w:rPr>
            </w:pPr>
            <w:r>
              <w:rPr>
                <w:rFonts w:hint="eastAsia" w:ascii="TimesNewRoman" w:hAnsi="TimesNewRoman" w:cs="TimesNewRoman"/>
                <w:color w:val="000000"/>
                <w:sz w:val="20"/>
                <w:highlight w:val="none"/>
                <w:lang w:val="en-US"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3349" w:type="dxa"/>
            <w:gridSpan w:val="2"/>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其中：财政拨款</w:t>
            </w:r>
          </w:p>
        </w:tc>
        <w:tc>
          <w:tcPr>
            <w:tcW w:w="4228" w:type="dxa"/>
            <w:gridSpan w:val="2"/>
            <w:tcBorders>
              <w:tl2br w:val="nil"/>
              <w:tr2bl w:val="nil"/>
            </w:tcBorders>
            <w:noWrap w:val="0"/>
            <w:vAlign w:val="center"/>
          </w:tcPr>
          <w:p>
            <w:pPr>
              <w:jc w:val="center"/>
              <w:rPr>
                <w:rFonts w:hint="default" w:ascii="TimesNewRoman" w:hAnsi="TimesNewRoman" w:eastAsia="仿宋_GB2312" w:cs="TimesNewRoman"/>
                <w:color w:val="000000"/>
                <w:sz w:val="20"/>
                <w:highlight w:val="none"/>
                <w:lang w:val="en-US" w:eastAsia="zh-CN"/>
              </w:rPr>
            </w:pPr>
            <w:r>
              <w:rPr>
                <w:rFonts w:hint="eastAsia" w:ascii="TimesNewRoman" w:hAnsi="TimesNewRoman" w:cs="TimesNewRoman"/>
                <w:color w:val="000000"/>
                <w:sz w:val="20"/>
                <w:highlight w:val="none"/>
                <w:lang w:val="en-US"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3349" w:type="dxa"/>
            <w:gridSpan w:val="2"/>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上年结转</w:t>
            </w:r>
          </w:p>
        </w:tc>
        <w:tc>
          <w:tcPr>
            <w:tcW w:w="4228" w:type="dxa"/>
            <w:gridSpan w:val="2"/>
            <w:tcBorders>
              <w:tl2br w:val="nil"/>
              <w:tr2bl w:val="nil"/>
            </w:tcBorders>
            <w:noWrap w:val="0"/>
            <w:vAlign w:val="center"/>
          </w:tcPr>
          <w:p>
            <w:pPr>
              <w:jc w:val="center"/>
              <w:rPr>
                <w:rFonts w:hint="eastAsia" w:ascii="TimesNewRoman" w:hAnsi="TimesNewRoman" w:eastAsia="仿宋_GB2312" w:cs="TimesNewRoman"/>
                <w:color w:val="000000"/>
                <w:sz w:val="20"/>
                <w:highlight w:val="none"/>
                <w:lang w:val="en-US" w:eastAsia="zh-CN"/>
              </w:rPr>
            </w:pPr>
            <w:r>
              <w:rPr>
                <w:rFonts w:hint="eastAsia" w:ascii="TimesNewRoman" w:hAnsi="TimesNewRoman" w:cs="TimesNewRoman"/>
                <w:color w:val="000000"/>
                <w:sz w:val="20"/>
                <w:highlight w:val="no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3349" w:type="dxa"/>
            <w:gridSpan w:val="2"/>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其他资金</w:t>
            </w:r>
          </w:p>
        </w:tc>
        <w:tc>
          <w:tcPr>
            <w:tcW w:w="4228" w:type="dxa"/>
            <w:gridSpan w:val="2"/>
            <w:tcBorders>
              <w:tl2br w:val="nil"/>
              <w:tr2bl w:val="nil"/>
            </w:tcBorders>
            <w:noWrap w:val="0"/>
            <w:vAlign w:val="center"/>
          </w:tcPr>
          <w:p>
            <w:pPr>
              <w:jc w:val="center"/>
              <w:rPr>
                <w:rFonts w:hint="eastAsia" w:ascii="TimesNewRoman" w:hAnsi="TimesNewRoman" w:eastAsia="仿宋_GB2312" w:cs="TimesNewRoman"/>
                <w:color w:val="000000"/>
                <w:sz w:val="20"/>
                <w:highlight w:val="none"/>
                <w:lang w:val="en-US" w:eastAsia="zh-CN"/>
              </w:rPr>
            </w:pPr>
            <w:r>
              <w:rPr>
                <w:rFonts w:hint="eastAsia" w:ascii="TimesNewRoman" w:hAnsi="TimesNewRoman" w:cs="TimesNewRoman"/>
                <w:color w:val="000000"/>
                <w:sz w:val="20"/>
                <w:highlight w:val="no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438"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年度</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目标</w:t>
            </w:r>
          </w:p>
        </w:tc>
        <w:tc>
          <w:tcPr>
            <w:tcW w:w="8582" w:type="dxa"/>
            <w:gridSpan w:val="6"/>
            <w:tcBorders>
              <w:tl2br w:val="nil"/>
              <w:tr2bl w:val="nil"/>
            </w:tcBorders>
            <w:noWrap w:val="0"/>
            <w:vAlign w:val="center"/>
          </w:tcPr>
          <w:p>
            <w:pPr>
              <w:ind w:firstLine="400" w:firstLineChars="200"/>
              <w:jc w:val="left"/>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根据《国务院办公厅关于进一步加强乳品质量安全工作的通知》（国办发[2010]42号）文件精神，加强我市乳制品监管工作，对我市乳制品生产企业购进的生鲜乳、原料乳粉和生产的乳制品进行常态化抽检，对相关产品中三聚氰胺和黄曲霉毒素M1项目进行跟踪监测，落实食品安全责任，保障我市人民食品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438"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绩</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效</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指</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标</w:t>
            </w:r>
          </w:p>
        </w:tc>
        <w:tc>
          <w:tcPr>
            <w:tcW w:w="723"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一级</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指标</w:t>
            </w: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二级指标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三级指标</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产出指标</w:t>
            </w: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数量指标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指标1：生鲜乳、原料乳粉、乳制品抽验</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≥460批次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vMerge w:val="restar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质量指标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指标1：抽样退样率</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eastAsia="汉仪中秀体简"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指标</w:t>
            </w:r>
            <w:r>
              <w:rPr>
                <w:rFonts w:hint="eastAsia" w:ascii="TimesNewRoman" w:hAnsi="TimesNewRoman" w:eastAsia="宋体" w:cs="TimesNewRoman"/>
                <w:i w:val="0"/>
                <w:color w:val="000000"/>
                <w:kern w:val="0"/>
                <w:sz w:val="20"/>
                <w:szCs w:val="20"/>
                <w:highlight w:val="none"/>
                <w:u w:val="none"/>
                <w:lang w:val="en-US" w:eastAsia="zh-CN" w:bidi="ar"/>
              </w:rPr>
              <w:t>2</w:t>
            </w:r>
            <w:r>
              <w:rPr>
                <w:rFonts w:hint="default" w:ascii="TimesNewRoman" w:hAnsi="TimesNewRoman" w:eastAsia="宋体" w:cs="TimesNewRoman"/>
                <w:i w:val="0"/>
                <w:color w:val="000000"/>
                <w:kern w:val="0"/>
                <w:sz w:val="20"/>
                <w:szCs w:val="20"/>
                <w:highlight w:val="none"/>
                <w:u w:val="none"/>
                <w:lang w:val="en-US" w:eastAsia="zh-CN" w:bidi="ar"/>
              </w:rPr>
              <w:t>：检验报告规范率</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w:t>
            </w:r>
            <w:r>
              <w:rPr>
                <w:rFonts w:hint="eastAsia" w:ascii="TimesNewRoman" w:hAnsi="TimesNewRoman" w:eastAsia="宋体" w:cs="TimesNewRoman"/>
                <w:i w:val="0"/>
                <w:color w:val="000000"/>
                <w:kern w:val="0"/>
                <w:sz w:val="20"/>
                <w:szCs w:val="20"/>
                <w:highlight w:val="none"/>
                <w:u w:val="none"/>
                <w:lang w:val="en-US" w:eastAsia="zh-CN" w:bidi="ar"/>
              </w:rPr>
              <w:t>3</w:t>
            </w:r>
            <w:r>
              <w:rPr>
                <w:rFonts w:hint="default" w:ascii="TimesNewRoman" w:hAnsi="TimesNewRoman" w:eastAsia="宋体" w:cs="TimesNewRoman"/>
                <w:i w:val="0"/>
                <w:color w:val="000000"/>
                <w:kern w:val="0"/>
                <w:sz w:val="20"/>
                <w:szCs w:val="20"/>
                <w:highlight w:val="none"/>
                <w:u w:val="none"/>
                <w:lang w:val="en-US" w:eastAsia="zh-CN" w:bidi="ar"/>
              </w:rPr>
              <w:t>：检验机构复检一致率</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时效指标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指标1：抽样和检验任务完成时限</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2024年12月31日之前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成本指标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指标1：食品抽样、检验成本</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≤12万元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效益指标</w:t>
            </w: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经济效益指标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指标1：</w:t>
            </w:r>
          </w:p>
        </w:tc>
        <w:tc>
          <w:tcPr>
            <w:tcW w:w="4228" w:type="dxa"/>
            <w:gridSpan w:val="2"/>
            <w:tcBorders>
              <w:tl2br w:val="nil"/>
              <w:tr2bl w:val="nil"/>
            </w:tcBorders>
            <w:noWrap w:val="0"/>
            <w:vAlign w:val="center"/>
          </w:tcPr>
          <w:p>
            <w:pPr>
              <w:jc w:val="center"/>
              <w:rPr>
                <w:rFonts w:hint="default" w:ascii="TimesNewRoman" w:hAnsi="TimesNewRoman" w:cs="TimesNewRoman"/>
                <w:color w:val="00000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社会效益指标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指标1：乳品安全水平</w:t>
            </w:r>
          </w:p>
        </w:tc>
        <w:tc>
          <w:tcPr>
            <w:tcW w:w="4228" w:type="dxa"/>
            <w:gridSpan w:val="2"/>
            <w:tcBorders>
              <w:tl2br w:val="nil"/>
              <w:tr2bl w:val="nil"/>
            </w:tcBorders>
            <w:noWrap w:val="0"/>
            <w:vAlign w:val="center"/>
          </w:tcPr>
          <w:p>
            <w:pPr>
              <w:jc w:val="center"/>
              <w:rPr>
                <w:rFonts w:hint="eastAsia" w:asciiTheme="minorEastAsia" w:hAnsiTheme="minorEastAsia" w:eastAsiaTheme="minorEastAsia" w:cstheme="minorEastAsia"/>
                <w:color w:val="000000"/>
                <w:sz w:val="20"/>
                <w:highlight w:val="none"/>
              </w:rPr>
            </w:pPr>
            <w:r>
              <w:rPr>
                <w:rFonts w:hint="eastAsia" w:asciiTheme="minorEastAsia" w:hAnsiTheme="minorEastAsia" w:eastAsiaTheme="minorEastAsia" w:cstheme="minorEastAsia"/>
                <w:color w:val="000000"/>
                <w:sz w:val="20"/>
                <w:highlight w:val="none"/>
              </w:rPr>
              <w:t>持续提高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生态效益指标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指标1：</w:t>
            </w:r>
          </w:p>
        </w:tc>
        <w:tc>
          <w:tcPr>
            <w:tcW w:w="4228" w:type="dxa"/>
            <w:gridSpan w:val="2"/>
            <w:tcBorders>
              <w:tl2br w:val="nil"/>
              <w:tr2bl w:val="nil"/>
            </w:tcBorders>
            <w:noWrap w:val="0"/>
            <w:vAlign w:val="center"/>
          </w:tcPr>
          <w:p>
            <w:pPr>
              <w:jc w:val="center"/>
              <w:rPr>
                <w:rFonts w:hint="eastAsia" w:asciiTheme="minorEastAsia" w:hAnsiTheme="minorEastAsia" w:eastAsiaTheme="minorEastAsia" w:cstheme="minorEastAsia"/>
                <w:color w:val="00000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default" w:ascii="TimesNewRoman" w:hAnsi="TimesNewRoman" w:eastAsia="宋体" w:cs="TimesNewRoman"/>
                <w:color w:val="000000"/>
                <w:sz w:val="20"/>
                <w:highlight w:val="none"/>
              </w:rPr>
            </w:pPr>
            <w:r>
              <w:rPr>
                <w:rFonts w:hint="default" w:ascii="TimesNewRoman" w:hAnsi="TimesNewRoman" w:eastAsia="宋体" w:cs="TimesNewRoman"/>
                <w:color w:val="000000"/>
                <w:sz w:val="20"/>
                <w:highlight w:val="none"/>
              </w:rPr>
              <w:t>可持续影响指标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eastAsia="宋体" w:cs="TimesNewRoman"/>
                <w:color w:val="000000"/>
                <w:kern w:val="2"/>
                <w:sz w:val="20"/>
                <w:highlight w:val="none"/>
                <w:lang w:val="en-US" w:eastAsia="zh-CN" w:bidi="ar-SA"/>
              </w:rPr>
            </w:pPr>
            <w:r>
              <w:rPr>
                <w:rFonts w:hint="default" w:ascii="TimesNewRoman" w:hAnsi="TimesNewRoman" w:eastAsia="宋体" w:cs="TimesNewRoman"/>
                <w:i w:val="0"/>
                <w:color w:val="000000"/>
                <w:kern w:val="0"/>
                <w:sz w:val="20"/>
                <w:szCs w:val="20"/>
                <w:highlight w:val="none"/>
                <w:u w:val="none"/>
                <w:lang w:val="en-US" w:eastAsia="zh-CN" w:bidi="ar"/>
              </w:rPr>
              <w:t>指标1：乳品安全监管能力</w:t>
            </w:r>
          </w:p>
        </w:tc>
        <w:tc>
          <w:tcPr>
            <w:tcW w:w="4228" w:type="dxa"/>
            <w:gridSpan w:val="2"/>
            <w:tcBorders>
              <w:tl2br w:val="nil"/>
              <w:tr2bl w:val="nil"/>
            </w:tcBorders>
            <w:noWrap w:val="0"/>
            <w:vAlign w:val="center"/>
          </w:tcPr>
          <w:p>
            <w:pPr>
              <w:jc w:val="center"/>
              <w:rPr>
                <w:rFonts w:hint="eastAsia" w:asciiTheme="minorEastAsia" w:hAnsiTheme="minorEastAsia" w:eastAsiaTheme="minorEastAsia" w:cstheme="minorEastAsia"/>
                <w:color w:val="000000"/>
                <w:sz w:val="20"/>
                <w:highlight w:val="none"/>
              </w:rPr>
            </w:pPr>
            <w:r>
              <w:rPr>
                <w:rFonts w:hint="eastAsia" w:asciiTheme="minorEastAsia" w:hAnsiTheme="minorEastAsia" w:eastAsiaTheme="minorEastAsia" w:cstheme="minorEastAsia"/>
                <w:color w:val="000000"/>
                <w:sz w:val="20"/>
                <w:highlight w:val="none"/>
              </w:rPr>
              <w:t>不断增强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default" w:ascii="TimesNewRoman" w:hAnsi="TimesNewRoman" w:eastAsia="宋体" w:cs="TimesNewRoman"/>
                <w:color w:val="000000"/>
                <w:sz w:val="20"/>
                <w:highlight w:val="none"/>
                <w:lang w:eastAsia="zh-CN"/>
              </w:rPr>
            </w:pPr>
            <w:r>
              <w:rPr>
                <w:rFonts w:hint="default" w:ascii="TimesNewRoman" w:hAnsi="TimesNewRoman" w:eastAsia="宋体" w:cs="TimesNewRoman"/>
                <w:color w:val="000000"/>
                <w:sz w:val="20"/>
                <w:highlight w:val="none"/>
                <w:lang w:eastAsia="zh-CN"/>
              </w:rPr>
              <w:t>满意度指标</w:t>
            </w:r>
          </w:p>
        </w:tc>
        <w:tc>
          <w:tcPr>
            <w:tcW w:w="759"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default" w:ascii="TimesNewRoman" w:hAnsi="TimesNewRoman" w:eastAsia="宋体" w:cs="TimesNewRoman"/>
                <w:color w:val="000000"/>
                <w:sz w:val="20"/>
                <w:highlight w:val="none"/>
                <w:lang w:eastAsia="zh-CN"/>
              </w:rPr>
            </w:pPr>
            <w:r>
              <w:rPr>
                <w:rFonts w:hint="default" w:ascii="TimesNewRoman" w:hAnsi="TimesNewRoman" w:eastAsia="宋体" w:cs="TimesNewRoman"/>
                <w:color w:val="000000"/>
                <w:sz w:val="20"/>
                <w:highlight w:val="none"/>
                <w:lang w:eastAsia="zh-CN"/>
              </w:rPr>
              <w:t>满意度指标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eastAsia="宋体" w:cs="TimesNewRoman"/>
                <w:color w:val="000000"/>
                <w:kern w:val="2"/>
                <w:sz w:val="20"/>
                <w:highlight w:val="none"/>
                <w:lang w:val="en-US" w:eastAsia="zh-CN" w:bidi="ar-SA"/>
              </w:rPr>
            </w:pPr>
            <w:r>
              <w:rPr>
                <w:rFonts w:hint="default" w:ascii="TimesNewRoman" w:hAnsi="TimesNewRoman" w:eastAsia="宋体" w:cs="TimesNewRoman"/>
                <w:i w:val="0"/>
                <w:color w:val="000000"/>
                <w:kern w:val="0"/>
                <w:sz w:val="20"/>
                <w:szCs w:val="20"/>
                <w:highlight w:val="none"/>
                <w:u w:val="none"/>
                <w:lang w:val="en-US" w:eastAsia="zh-CN" w:bidi="ar"/>
              </w:rPr>
              <w:t>指标1：服务对象对药品安全监管工作满意度</w:t>
            </w:r>
          </w:p>
        </w:tc>
        <w:tc>
          <w:tcPr>
            <w:tcW w:w="4228" w:type="dxa"/>
            <w:gridSpan w:val="2"/>
            <w:tcBorders>
              <w:tl2br w:val="nil"/>
              <w:tr2bl w:val="nil"/>
            </w:tcBorders>
            <w:noWrap w:val="0"/>
            <w:vAlign w:val="center"/>
          </w:tcPr>
          <w:p>
            <w:pPr>
              <w:jc w:val="center"/>
              <w:rPr>
                <w:rFonts w:hint="eastAsia" w:asciiTheme="minorEastAsia" w:hAnsiTheme="minorEastAsia" w:eastAsiaTheme="minorEastAsia" w:cstheme="minorEastAsia"/>
                <w:color w:val="000000"/>
                <w:sz w:val="20"/>
                <w:highlight w:val="none"/>
              </w:rPr>
            </w:pPr>
            <w:r>
              <w:rPr>
                <w:rFonts w:hint="eastAsia" w:asciiTheme="minorEastAsia" w:hAnsiTheme="minorEastAsia" w:eastAsiaTheme="minorEastAsia" w:cstheme="minorEastAsia"/>
                <w:color w:val="000000"/>
                <w:sz w:val="20"/>
                <w:highlight w:val="none"/>
              </w:rPr>
              <w:t>≥90%</w:t>
            </w:r>
          </w:p>
        </w:tc>
      </w:tr>
    </w:tbl>
    <w:p/>
    <w:p/>
    <w:p/>
    <w:p/>
    <w:p/>
    <w:tbl>
      <w:tblPr>
        <w:tblStyle w:val="5"/>
        <w:tblW w:w="90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723"/>
        <w:gridCol w:w="282"/>
        <w:gridCol w:w="477"/>
        <w:gridCol w:w="2872"/>
        <w:gridCol w:w="1848"/>
        <w:gridCol w:w="2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9020" w:type="dxa"/>
            <w:gridSpan w:val="7"/>
            <w:tcBorders>
              <w:top w:val="nil"/>
              <w:left w:val="nil"/>
              <w:bottom w:val="nil"/>
              <w:right w:val="nil"/>
            </w:tcBorders>
            <w:noWrap w:val="0"/>
            <w:vAlign w:val="center"/>
          </w:tcPr>
          <w:p>
            <w:pPr>
              <w:keepNext w:val="0"/>
              <w:keepLines w:val="0"/>
              <w:widowControl/>
              <w:suppressLineNumbers w:val="0"/>
              <w:jc w:val="center"/>
              <w:textAlignment w:val="center"/>
              <w:rPr>
                <w:rFonts w:hint="default" w:ascii="TimesNewRoman" w:hAnsi="TimesNewRoman" w:cs="TimesNewRoman"/>
                <w:b/>
                <w:bCs/>
                <w:color w:val="000000"/>
                <w:szCs w:val="32"/>
                <w:highlight w:val="none"/>
              </w:rPr>
            </w:pPr>
            <w:r>
              <w:rPr>
                <w:rFonts w:hint="default" w:ascii="TimesNewRoman" w:hAnsi="TimesNewRoman" w:eastAsia="宋体" w:cs="TimesNewRoman"/>
                <w:b/>
                <w:i w:val="0"/>
                <w:color w:val="000000"/>
                <w:kern w:val="0"/>
                <w:sz w:val="28"/>
                <w:szCs w:val="28"/>
                <w:highlight w:val="none"/>
                <w:u w:val="none"/>
                <w:lang w:val="en-US" w:eastAsia="zh-CN" w:bidi="ar"/>
              </w:rPr>
              <w:t>项目支出绩效目标表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020" w:type="dxa"/>
            <w:gridSpan w:val="7"/>
            <w:tcBorders>
              <w:top w:val="nil"/>
              <w:left w:val="nil"/>
              <w:right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w:t>
            </w:r>
            <w:r>
              <w:rPr>
                <w:rFonts w:hint="default" w:ascii="TimesNewRoman" w:hAnsi="TimesNewRoman" w:eastAsia="宋体" w:cs="TimesNewRoman"/>
                <w:i w:val="0"/>
                <w:color w:val="000000"/>
                <w:kern w:val="0"/>
                <w:sz w:val="20"/>
                <w:szCs w:val="20"/>
                <w:highlight w:val="none"/>
                <w:u w:val="none"/>
                <w:lang w:val="en" w:eastAsia="zh-CN" w:bidi="ar"/>
              </w:rPr>
              <w:t>2024</w:t>
            </w:r>
            <w:r>
              <w:rPr>
                <w:rFonts w:hint="default" w:ascii="TimesNewRoman" w:hAnsi="TimesNewRoman" w:eastAsia="宋体" w:cs="TimesNewRoman"/>
                <w:i w:val="0"/>
                <w:color w:val="000000"/>
                <w:kern w:val="0"/>
                <w:sz w:val="20"/>
                <w:szCs w:val="20"/>
                <w:highlight w:val="none"/>
                <w:u w:val="none"/>
                <w:lang w:val="en-US" w:eastAsia="zh-CN" w:bidi="ar"/>
              </w:rPr>
              <w:t xml:space="preserve">年度）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443" w:type="dxa"/>
            <w:gridSpan w:val="3"/>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项目名称</w:t>
            </w:r>
          </w:p>
        </w:tc>
        <w:tc>
          <w:tcPr>
            <w:tcW w:w="7577" w:type="dxa"/>
            <w:gridSpan w:val="4"/>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食品、药品、保健品、医疗器械、药包材抽检运转经费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443" w:type="dxa"/>
            <w:gridSpan w:val="3"/>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主管部门   及代码</w:t>
            </w:r>
          </w:p>
        </w:tc>
        <w:tc>
          <w:tcPr>
            <w:tcW w:w="334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[059]淮南市市场监督管理局</w:t>
            </w:r>
          </w:p>
        </w:tc>
        <w:tc>
          <w:tcPr>
            <w:tcW w:w="1848"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实施单位</w:t>
            </w:r>
          </w:p>
        </w:tc>
        <w:tc>
          <w:tcPr>
            <w:tcW w:w="2380"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淮南市食品药品检验中心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项目来源</w:t>
            </w:r>
          </w:p>
        </w:tc>
        <w:tc>
          <w:tcPr>
            <w:tcW w:w="334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财政拨款</w:t>
            </w:r>
          </w:p>
        </w:tc>
        <w:tc>
          <w:tcPr>
            <w:tcW w:w="1848"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项目期</w:t>
            </w:r>
          </w:p>
        </w:tc>
        <w:tc>
          <w:tcPr>
            <w:tcW w:w="2380"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 xml:space="preserve"> 1年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443" w:type="dxa"/>
            <w:gridSpan w:val="3"/>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项目资金</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（万元）</w:t>
            </w:r>
          </w:p>
        </w:tc>
        <w:tc>
          <w:tcPr>
            <w:tcW w:w="3349" w:type="dxa"/>
            <w:gridSpan w:val="2"/>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年度资金总额：</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17.14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3349" w:type="dxa"/>
            <w:gridSpan w:val="2"/>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其中：财政拨款</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17.14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3349" w:type="dxa"/>
            <w:gridSpan w:val="2"/>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上年结转</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eastAsia"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3349" w:type="dxa"/>
            <w:gridSpan w:val="2"/>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其他资金</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eastAsia"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438"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年度</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目标</w:t>
            </w:r>
          </w:p>
        </w:tc>
        <w:tc>
          <w:tcPr>
            <w:tcW w:w="8582" w:type="dxa"/>
            <w:gridSpan w:val="6"/>
            <w:tcBorders>
              <w:tl2br w:val="nil"/>
              <w:tr2bl w:val="nil"/>
            </w:tcBorders>
            <w:noWrap w:val="0"/>
            <w:vAlign w:val="center"/>
          </w:tcPr>
          <w:p>
            <w:pPr>
              <w:jc w:val="left"/>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提高工作效率，按时完成国家、省、市下达的抽检任务。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438"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绩</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效</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指</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标</w:t>
            </w:r>
          </w:p>
        </w:tc>
        <w:tc>
          <w:tcPr>
            <w:tcW w:w="723"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一级</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指标</w:t>
            </w: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二级指标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三级指标</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产出指标</w:t>
            </w: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数量指标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指标1：</w:t>
            </w:r>
          </w:p>
        </w:tc>
        <w:tc>
          <w:tcPr>
            <w:tcW w:w="4228" w:type="dxa"/>
            <w:gridSpan w:val="2"/>
            <w:tcBorders>
              <w:tl2br w:val="nil"/>
              <w:tr2bl w:val="nil"/>
            </w:tcBorders>
            <w:noWrap w:val="0"/>
            <w:vAlign w:val="center"/>
          </w:tcPr>
          <w:p>
            <w:pPr>
              <w:jc w:val="center"/>
              <w:rPr>
                <w:rFonts w:hint="default" w:ascii="TimesNewRoman" w:hAnsi="TimesNewRoman" w:cs="TimesNewRoman"/>
                <w:color w:val="00000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质量指标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指标1：</w:t>
            </w:r>
          </w:p>
        </w:tc>
        <w:tc>
          <w:tcPr>
            <w:tcW w:w="4228" w:type="dxa"/>
            <w:gridSpan w:val="2"/>
            <w:tcBorders>
              <w:tl2br w:val="nil"/>
              <w:tr2bl w:val="nil"/>
            </w:tcBorders>
            <w:noWrap w:val="0"/>
            <w:vAlign w:val="center"/>
          </w:tcPr>
          <w:p>
            <w:pPr>
              <w:jc w:val="center"/>
              <w:rPr>
                <w:rFonts w:hint="default" w:ascii="TimesNewRoman" w:hAnsi="TimesNewRoman" w:cs="TimesNewRoman"/>
                <w:color w:val="00000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时效指标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指标1：</w:t>
            </w:r>
          </w:p>
        </w:tc>
        <w:tc>
          <w:tcPr>
            <w:tcW w:w="4228" w:type="dxa"/>
            <w:gridSpan w:val="2"/>
            <w:tcBorders>
              <w:tl2br w:val="nil"/>
              <w:tr2bl w:val="nil"/>
            </w:tcBorders>
            <w:noWrap w:val="0"/>
            <w:vAlign w:val="center"/>
          </w:tcPr>
          <w:p>
            <w:pPr>
              <w:jc w:val="center"/>
              <w:rPr>
                <w:rFonts w:hint="default" w:ascii="TimesNewRoman" w:hAnsi="TimesNewRoman" w:cs="TimesNewRoman"/>
                <w:color w:val="00000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成本指标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指标1：劳务费</w:t>
            </w:r>
          </w:p>
        </w:tc>
        <w:tc>
          <w:tcPr>
            <w:tcW w:w="4228" w:type="dxa"/>
            <w:gridSpan w:val="2"/>
            <w:tcBorders>
              <w:tl2br w:val="nil"/>
              <w:tr2bl w:val="nil"/>
            </w:tcBorders>
            <w:noWrap w:val="0"/>
            <w:vAlign w:val="center"/>
          </w:tcPr>
          <w:p>
            <w:pPr>
              <w:jc w:val="center"/>
              <w:rPr>
                <w:rFonts w:hint="default" w:ascii="TimesNewRoman" w:hAnsi="TimesNewRoman" w:cs="TimesNewRoman"/>
                <w:color w:val="000000"/>
                <w:sz w:val="20"/>
                <w:highlight w:val="none"/>
                <w:lang w:val="en-US"/>
              </w:rPr>
            </w:pPr>
            <w:r>
              <w:rPr>
                <w:rFonts w:hint="default" w:ascii="TimesNewRoman" w:hAnsi="TimesNewRoman" w:eastAsia="宋体" w:cs="TimesNewRoman"/>
                <w:i w:val="0"/>
                <w:color w:val="000000"/>
                <w:kern w:val="0"/>
                <w:sz w:val="20"/>
                <w:szCs w:val="20"/>
                <w:highlight w:val="none"/>
                <w:u w:val="none"/>
                <w:lang w:val="en-US" w:eastAsia="zh-CN" w:bidi="ar"/>
              </w:rPr>
              <w:t>≤</w:t>
            </w:r>
            <w:r>
              <w:rPr>
                <w:rFonts w:hint="eastAsia" w:ascii="TimesNewRoman" w:hAnsi="TimesNewRoman" w:eastAsia="宋体" w:cs="TimesNewRoman"/>
                <w:i w:val="0"/>
                <w:color w:val="000000"/>
                <w:kern w:val="0"/>
                <w:sz w:val="20"/>
                <w:szCs w:val="20"/>
                <w:highlight w:val="none"/>
                <w:u w:val="none"/>
                <w:lang w:val="en-US" w:eastAsia="zh-CN" w:bidi="ar"/>
              </w:rPr>
              <w:t>17.14万元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效益指标</w:t>
            </w: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经济效益指标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指标1：</w:t>
            </w:r>
          </w:p>
        </w:tc>
        <w:tc>
          <w:tcPr>
            <w:tcW w:w="4228" w:type="dxa"/>
            <w:gridSpan w:val="2"/>
            <w:tcBorders>
              <w:tl2br w:val="nil"/>
              <w:tr2bl w:val="nil"/>
            </w:tcBorders>
            <w:noWrap w:val="0"/>
            <w:vAlign w:val="center"/>
          </w:tcPr>
          <w:p>
            <w:pPr>
              <w:jc w:val="center"/>
              <w:rPr>
                <w:rFonts w:hint="default" w:ascii="TimesNewRoman" w:hAnsi="TimesNewRoman" w:cs="TimesNewRoman"/>
                <w:color w:val="00000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社会效益指标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指标1：检验检测效率提高</w:t>
            </w:r>
          </w:p>
        </w:tc>
        <w:tc>
          <w:tcPr>
            <w:tcW w:w="4228" w:type="dxa"/>
            <w:gridSpan w:val="2"/>
            <w:tcBorders>
              <w:tl2br w:val="nil"/>
              <w:tr2bl w:val="nil"/>
            </w:tcBorders>
            <w:noWrap w:val="0"/>
            <w:vAlign w:val="center"/>
          </w:tcPr>
          <w:p>
            <w:pPr>
              <w:jc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工作按时完成率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生态效益指标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指标1：</w:t>
            </w:r>
          </w:p>
        </w:tc>
        <w:tc>
          <w:tcPr>
            <w:tcW w:w="4228" w:type="dxa"/>
            <w:gridSpan w:val="2"/>
            <w:tcBorders>
              <w:tl2br w:val="nil"/>
              <w:tr2bl w:val="nil"/>
            </w:tcBorders>
            <w:noWrap w:val="0"/>
            <w:vAlign w:val="center"/>
          </w:tcPr>
          <w:p>
            <w:pPr>
              <w:jc w:val="center"/>
              <w:rPr>
                <w:rFonts w:hint="default" w:ascii="TimesNewRoman" w:hAnsi="TimesNewRoman" w:cs="TimesNewRoman"/>
                <w:color w:val="00000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default" w:ascii="TimesNewRoman" w:hAnsi="TimesNewRoman" w:eastAsia="宋体" w:cs="TimesNewRoman"/>
                <w:color w:val="000000"/>
                <w:sz w:val="20"/>
                <w:highlight w:val="none"/>
              </w:rPr>
            </w:pPr>
            <w:r>
              <w:rPr>
                <w:rFonts w:hint="default" w:ascii="TimesNewRoman" w:hAnsi="TimesNewRoman" w:eastAsia="宋体" w:cs="TimesNewRoman"/>
                <w:color w:val="000000"/>
                <w:sz w:val="20"/>
                <w:highlight w:val="none"/>
              </w:rPr>
              <w:t>可持续影响指标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eastAsia="宋体" w:cs="TimesNewRoman"/>
                <w:color w:val="000000"/>
                <w:kern w:val="2"/>
                <w:sz w:val="20"/>
                <w:highlight w:val="none"/>
                <w:lang w:val="en-US" w:eastAsia="zh-CN" w:bidi="ar-SA"/>
              </w:rPr>
            </w:pPr>
            <w:r>
              <w:rPr>
                <w:rFonts w:hint="default" w:ascii="TimesNewRoman" w:hAnsi="TimesNewRoman" w:eastAsia="宋体" w:cs="TimesNewRoman"/>
                <w:i w:val="0"/>
                <w:color w:val="000000"/>
                <w:kern w:val="0"/>
                <w:sz w:val="20"/>
                <w:szCs w:val="20"/>
                <w:highlight w:val="none"/>
                <w:u w:val="none"/>
                <w:lang w:val="en-US" w:eastAsia="zh-CN" w:bidi="ar"/>
              </w:rPr>
              <w:t>指标1：</w:t>
            </w:r>
          </w:p>
        </w:tc>
        <w:tc>
          <w:tcPr>
            <w:tcW w:w="4228" w:type="dxa"/>
            <w:gridSpan w:val="2"/>
            <w:tcBorders>
              <w:tl2br w:val="nil"/>
              <w:tr2bl w:val="nil"/>
            </w:tcBorders>
            <w:noWrap w:val="0"/>
            <w:vAlign w:val="center"/>
          </w:tcPr>
          <w:p>
            <w:pPr>
              <w:jc w:val="center"/>
              <w:rPr>
                <w:rFonts w:hint="default" w:ascii="TimesNewRoman" w:hAnsi="TimesNewRoman" w:cs="TimesNewRoman"/>
                <w:color w:val="00000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default" w:ascii="TimesNewRoman" w:hAnsi="TimesNewRoman" w:eastAsia="宋体" w:cs="TimesNewRoman"/>
                <w:color w:val="000000"/>
                <w:sz w:val="20"/>
                <w:highlight w:val="none"/>
                <w:lang w:eastAsia="zh-CN"/>
              </w:rPr>
            </w:pPr>
            <w:r>
              <w:rPr>
                <w:rFonts w:hint="default" w:ascii="TimesNewRoman" w:hAnsi="TimesNewRoman" w:eastAsia="宋体" w:cs="TimesNewRoman"/>
                <w:color w:val="000000"/>
                <w:sz w:val="20"/>
                <w:highlight w:val="none"/>
                <w:lang w:eastAsia="zh-CN"/>
              </w:rPr>
              <w:t>满意度指标</w:t>
            </w:r>
          </w:p>
        </w:tc>
        <w:tc>
          <w:tcPr>
            <w:tcW w:w="759"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default" w:ascii="TimesNewRoman" w:hAnsi="TimesNewRoman" w:eastAsia="宋体" w:cs="TimesNewRoman"/>
                <w:color w:val="000000"/>
                <w:sz w:val="20"/>
                <w:highlight w:val="none"/>
                <w:lang w:eastAsia="zh-CN"/>
              </w:rPr>
            </w:pPr>
            <w:r>
              <w:rPr>
                <w:rFonts w:hint="default" w:ascii="TimesNewRoman" w:hAnsi="TimesNewRoman" w:eastAsia="宋体" w:cs="TimesNewRoman"/>
                <w:color w:val="000000"/>
                <w:sz w:val="20"/>
                <w:highlight w:val="none"/>
                <w:lang w:eastAsia="zh-CN"/>
              </w:rPr>
              <w:t>满意度指标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eastAsia="宋体" w:cs="TimesNewRoman"/>
                <w:color w:val="000000"/>
                <w:kern w:val="2"/>
                <w:sz w:val="20"/>
                <w:highlight w:val="none"/>
                <w:lang w:val="en-US" w:eastAsia="zh-CN" w:bidi="ar-SA"/>
              </w:rPr>
            </w:pPr>
            <w:r>
              <w:rPr>
                <w:rFonts w:hint="default" w:ascii="TimesNewRoman" w:hAnsi="TimesNewRoman" w:eastAsia="宋体" w:cs="TimesNewRoman"/>
                <w:i w:val="0"/>
                <w:color w:val="000000"/>
                <w:kern w:val="0"/>
                <w:sz w:val="20"/>
                <w:szCs w:val="20"/>
                <w:highlight w:val="none"/>
                <w:u w:val="none"/>
                <w:lang w:val="en-US" w:eastAsia="zh-CN" w:bidi="ar"/>
              </w:rPr>
              <w:t>指标1：</w:t>
            </w:r>
          </w:p>
        </w:tc>
        <w:tc>
          <w:tcPr>
            <w:tcW w:w="4228" w:type="dxa"/>
            <w:gridSpan w:val="2"/>
            <w:tcBorders>
              <w:tl2br w:val="nil"/>
              <w:tr2bl w:val="nil"/>
            </w:tcBorders>
            <w:noWrap w:val="0"/>
            <w:vAlign w:val="center"/>
          </w:tcPr>
          <w:p>
            <w:pPr>
              <w:jc w:val="center"/>
              <w:rPr>
                <w:rFonts w:hint="default" w:ascii="TimesNewRoman" w:hAnsi="TimesNewRoman" w:cs="TimesNewRoman"/>
                <w:color w:val="000000"/>
                <w:sz w:val="20"/>
                <w:highlight w:val="none"/>
              </w:rPr>
            </w:pPr>
          </w:p>
        </w:tc>
      </w:tr>
    </w:tbl>
    <w:p/>
    <w:p/>
    <w:p/>
    <w:p/>
    <w:p/>
    <w:p/>
    <w:p/>
    <w:p/>
    <w:p/>
    <w:tbl>
      <w:tblPr>
        <w:tblStyle w:val="5"/>
        <w:tblpPr w:leftFromText="180" w:rightFromText="180" w:vertAnchor="text" w:horzAnchor="page" w:tblpX="1814" w:tblpY="555"/>
        <w:tblOverlap w:val="never"/>
        <w:tblW w:w="90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723"/>
        <w:gridCol w:w="282"/>
        <w:gridCol w:w="477"/>
        <w:gridCol w:w="2872"/>
        <w:gridCol w:w="1848"/>
        <w:gridCol w:w="2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9020" w:type="dxa"/>
            <w:gridSpan w:val="7"/>
            <w:tcBorders>
              <w:top w:val="nil"/>
              <w:left w:val="nil"/>
              <w:bottom w:val="nil"/>
              <w:right w:val="nil"/>
            </w:tcBorders>
            <w:noWrap w:val="0"/>
            <w:vAlign w:val="center"/>
          </w:tcPr>
          <w:p>
            <w:pPr>
              <w:keepNext w:val="0"/>
              <w:keepLines w:val="0"/>
              <w:widowControl/>
              <w:suppressLineNumbers w:val="0"/>
              <w:jc w:val="center"/>
              <w:textAlignment w:val="center"/>
              <w:rPr>
                <w:rFonts w:hint="default" w:ascii="TimesNewRoman" w:hAnsi="TimesNewRoman" w:cs="TimesNewRoman"/>
                <w:b/>
                <w:bCs/>
                <w:color w:val="000000"/>
                <w:szCs w:val="32"/>
                <w:highlight w:val="none"/>
              </w:rPr>
            </w:pPr>
            <w:r>
              <w:rPr>
                <w:rFonts w:hint="default" w:ascii="TimesNewRoman" w:hAnsi="TimesNewRoman" w:eastAsia="宋体" w:cs="TimesNewRoman"/>
                <w:b/>
                <w:i w:val="0"/>
                <w:color w:val="000000"/>
                <w:kern w:val="0"/>
                <w:sz w:val="28"/>
                <w:szCs w:val="28"/>
                <w:highlight w:val="none"/>
                <w:u w:val="none"/>
                <w:lang w:val="en-US" w:eastAsia="zh-CN" w:bidi="ar"/>
              </w:rPr>
              <w:t>项目支出绩效目标表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020" w:type="dxa"/>
            <w:gridSpan w:val="7"/>
            <w:tcBorders>
              <w:top w:val="nil"/>
              <w:left w:val="nil"/>
              <w:right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w:t>
            </w:r>
            <w:r>
              <w:rPr>
                <w:rFonts w:hint="default" w:ascii="TimesNewRoman" w:hAnsi="TimesNewRoman" w:eastAsia="宋体" w:cs="TimesNewRoman"/>
                <w:i w:val="0"/>
                <w:color w:val="000000"/>
                <w:kern w:val="0"/>
                <w:sz w:val="20"/>
                <w:szCs w:val="20"/>
                <w:highlight w:val="none"/>
                <w:u w:val="none"/>
                <w:lang w:val="en" w:eastAsia="zh-CN" w:bidi="ar"/>
              </w:rPr>
              <w:t>2024</w:t>
            </w:r>
            <w:r>
              <w:rPr>
                <w:rFonts w:hint="default" w:ascii="TimesNewRoman" w:hAnsi="TimesNewRoman" w:eastAsia="宋体" w:cs="TimesNewRoman"/>
                <w:i w:val="0"/>
                <w:color w:val="000000"/>
                <w:kern w:val="0"/>
                <w:sz w:val="20"/>
                <w:szCs w:val="20"/>
                <w:highlight w:val="none"/>
                <w:u w:val="none"/>
                <w:lang w:val="en-US" w:eastAsia="zh-CN" w:bidi="ar"/>
              </w:rPr>
              <w:t xml:space="preserve">年度）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443" w:type="dxa"/>
            <w:gridSpan w:val="3"/>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项目名称</w:t>
            </w:r>
          </w:p>
        </w:tc>
        <w:tc>
          <w:tcPr>
            <w:tcW w:w="7577" w:type="dxa"/>
            <w:gridSpan w:val="4"/>
            <w:tcBorders>
              <w:tl2br w:val="nil"/>
              <w:tr2bl w:val="nil"/>
            </w:tcBorders>
            <w:noWrap w:val="0"/>
            <w:vAlign w:val="center"/>
          </w:tcPr>
          <w:p>
            <w:pPr>
              <w:jc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食品药品监管补助资金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443" w:type="dxa"/>
            <w:gridSpan w:val="3"/>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主管部门   及代码</w:t>
            </w:r>
          </w:p>
        </w:tc>
        <w:tc>
          <w:tcPr>
            <w:tcW w:w="334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[059]淮南市市场监督管理局</w:t>
            </w:r>
          </w:p>
        </w:tc>
        <w:tc>
          <w:tcPr>
            <w:tcW w:w="1848"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实施单位</w:t>
            </w:r>
          </w:p>
        </w:tc>
        <w:tc>
          <w:tcPr>
            <w:tcW w:w="2380" w:type="dxa"/>
            <w:tcBorders>
              <w:tl2br w:val="nil"/>
              <w:tr2bl w:val="nil"/>
            </w:tcBorders>
            <w:noWrap w:val="0"/>
            <w:vAlign w:val="center"/>
          </w:tcPr>
          <w:p>
            <w:pPr>
              <w:keepNext w:val="0"/>
              <w:keepLines w:val="0"/>
              <w:widowControl/>
              <w:suppressLineNumbers w:val="0"/>
              <w:jc w:val="center"/>
              <w:textAlignment w:val="center"/>
              <w:rPr>
                <w:rFonts w:hint="eastAsia"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淮南市食品药品检验中心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项目来源</w:t>
            </w:r>
          </w:p>
        </w:tc>
        <w:tc>
          <w:tcPr>
            <w:tcW w:w="3349" w:type="dxa"/>
            <w:gridSpan w:val="2"/>
            <w:tcBorders>
              <w:tl2br w:val="nil"/>
              <w:tr2bl w:val="nil"/>
            </w:tcBorders>
            <w:noWrap w:val="0"/>
            <w:vAlign w:val="center"/>
          </w:tcPr>
          <w:p>
            <w:pPr>
              <w:jc w:val="center"/>
              <w:rPr>
                <w:rFonts w:hint="eastAsia" w:ascii="TimesNewRoman" w:hAnsi="TimesNewRoman" w:eastAsia="仿宋_GB2312" w:cs="TimesNewRoman"/>
                <w:color w:val="000000"/>
                <w:sz w:val="20"/>
                <w:highlight w:val="none"/>
                <w:lang w:val="en-US" w:eastAsia="zh-CN"/>
              </w:rPr>
            </w:pPr>
            <w:r>
              <w:rPr>
                <w:rFonts w:hint="eastAsia" w:ascii="TimesNewRoman" w:hAnsi="TimesNewRoman" w:eastAsia="宋体" w:cs="TimesNewRoman"/>
                <w:i w:val="0"/>
                <w:color w:val="000000"/>
                <w:kern w:val="0"/>
                <w:sz w:val="20"/>
                <w:szCs w:val="20"/>
                <w:highlight w:val="none"/>
                <w:u w:val="none"/>
                <w:lang w:val="en-US" w:eastAsia="zh-CN" w:bidi="ar"/>
              </w:rPr>
              <w:t>财政拨款</w:t>
            </w:r>
          </w:p>
        </w:tc>
        <w:tc>
          <w:tcPr>
            <w:tcW w:w="1848"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highlight w:val="none"/>
              </w:rPr>
            </w:pPr>
            <w:r>
              <w:rPr>
                <w:rFonts w:hint="default" w:ascii="TimesNewRoman" w:hAnsi="TimesNewRoman" w:eastAsia="宋体" w:cs="TimesNewRoman"/>
                <w:i w:val="0"/>
                <w:color w:val="000000"/>
                <w:kern w:val="0"/>
                <w:sz w:val="20"/>
                <w:szCs w:val="20"/>
                <w:highlight w:val="none"/>
                <w:u w:val="none"/>
                <w:lang w:val="en-US" w:eastAsia="zh-CN" w:bidi="ar"/>
              </w:rPr>
              <w:t>项目期</w:t>
            </w:r>
          </w:p>
        </w:tc>
        <w:tc>
          <w:tcPr>
            <w:tcW w:w="2380" w:type="dxa"/>
            <w:tcBorders>
              <w:tl2br w:val="nil"/>
              <w:tr2bl w:val="nil"/>
            </w:tcBorders>
            <w:noWrap w:val="0"/>
            <w:vAlign w:val="center"/>
          </w:tcPr>
          <w:p>
            <w:pPr>
              <w:jc w:val="center"/>
              <w:rPr>
                <w:rFonts w:hint="default" w:ascii="TimesNewRoman" w:hAnsi="TimesNewRoman" w:eastAsia="仿宋_GB2312" w:cs="TimesNewRoman"/>
                <w:color w:val="000000"/>
                <w:highlight w:val="none"/>
                <w:lang w:val="en-US" w:eastAsia="zh-CN"/>
              </w:rPr>
            </w:pPr>
            <w:r>
              <w:rPr>
                <w:rFonts w:hint="eastAsia" w:ascii="TimesNewRoman" w:hAnsi="TimesNewRoman" w:eastAsia="宋体" w:cs="TimesNewRoman"/>
                <w:i w:val="0"/>
                <w:color w:val="000000"/>
                <w:kern w:val="0"/>
                <w:sz w:val="20"/>
                <w:szCs w:val="20"/>
                <w:highlight w:val="none"/>
                <w:u w:val="none"/>
                <w:lang w:val="en-US" w:eastAsia="zh-CN" w:bidi="ar"/>
              </w:rPr>
              <w:t>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项目资金</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（万元）</w:t>
            </w:r>
          </w:p>
        </w:tc>
        <w:tc>
          <w:tcPr>
            <w:tcW w:w="3349" w:type="dxa"/>
            <w:gridSpan w:val="2"/>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年度资金总额：</w:t>
            </w:r>
          </w:p>
        </w:tc>
        <w:tc>
          <w:tcPr>
            <w:tcW w:w="4228" w:type="dxa"/>
            <w:gridSpan w:val="2"/>
            <w:tcBorders>
              <w:tl2br w:val="nil"/>
              <w:tr2bl w:val="nil"/>
            </w:tcBorders>
            <w:noWrap w:val="0"/>
            <w:vAlign w:val="center"/>
          </w:tcPr>
          <w:p>
            <w:pPr>
              <w:jc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34.00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3349" w:type="dxa"/>
            <w:gridSpan w:val="2"/>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其中：财政拨款</w:t>
            </w:r>
          </w:p>
        </w:tc>
        <w:tc>
          <w:tcPr>
            <w:tcW w:w="4228" w:type="dxa"/>
            <w:gridSpan w:val="2"/>
            <w:tcBorders>
              <w:tl2br w:val="nil"/>
              <w:tr2bl w:val="nil"/>
            </w:tcBorders>
            <w:noWrap w:val="0"/>
            <w:vAlign w:val="center"/>
          </w:tcPr>
          <w:p>
            <w:pPr>
              <w:jc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34.00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3349" w:type="dxa"/>
            <w:gridSpan w:val="2"/>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上年结转</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3349" w:type="dxa"/>
            <w:gridSpan w:val="2"/>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其他资金</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438"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年度</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目标</w:t>
            </w:r>
          </w:p>
        </w:tc>
        <w:tc>
          <w:tcPr>
            <w:tcW w:w="8582" w:type="dxa"/>
            <w:gridSpan w:val="6"/>
            <w:tcBorders>
              <w:tl2br w:val="nil"/>
              <w:tr2bl w:val="nil"/>
            </w:tcBorders>
            <w:noWrap w:val="0"/>
            <w:vAlign w:val="center"/>
          </w:tcPr>
          <w:p>
            <w:pPr>
              <w:jc w:val="left"/>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通过开展药品化妆品不良反应、医疗器械不良事件、药物滥用监测，及时发现药械化安全性问题，为药品监管提供数据支撑，保障人民群众用药用械用妆安全。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438"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绩</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效</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指</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标</w:t>
            </w:r>
          </w:p>
        </w:tc>
        <w:tc>
          <w:tcPr>
            <w:tcW w:w="723"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一级</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指标</w:t>
            </w: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二级指标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三级指标</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产出指标</w:t>
            </w:r>
          </w:p>
        </w:tc>
        <w:tc>
          <w:tcPr>
            <w:tcW w:w="759" w:type="dxa"/>
            <w:gridSpan w:val="2"/>
            <w:vMerge w:val="restar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数量指标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指标1:药品不良反应报告和监测</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百万人口数达1100份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指标2:医疗器械不良事件报告和监测</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百万人口数达300份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指标3:化妆品不良反应报告和监测</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百万人口数达150份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质量指标</w:t>
            </w:r>
          </w:p>
        </w:tc>
        <w:tc>
          <w:tcPr>
            <w:tcW w:w="2872" w:type="dxa"/>
            <w:tcBorders>
              <w:tl2br w:val="nil"/>
              <w:tr2bl w:val="nil"/>
            </w:tcBorders>
            <w:noWrap w:val="0"/>
            <w:vAlign w:val="center"/>
          </w:tcPr>
          <w:p>
            <w:pPr>
              <w:keepNext w:val="0"/>
              <w:keepLines w:val="0"/>
              <w:widowControl/>
              <w:suppressLineNumbers w:val="0"/>
              <w:jc w:val="both"/>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指标1:药品新的严重报告比例</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时效指标</w:t>
            </w:r>
          </w:p>
        </w:tc>
        <w:tc>
          <w:tcPr>
            <w:tcW w:w="2872" w:type="dxa"/>
            <w:tcBorders>
              <w:tl2br w:val="nil"/>
              <w:tr2bl w:val="nil"/>
            </w:tcBorders>
            <w:noWrap w:val="0"/>
            <w:vAlign w:val="center"/>
          </w:tcPr>
          <w:p>
            <w:pPr>
              <w:keepNext w:val="0"/>
              <w:keepLines w:val="0"/>
              <w:widowControl/>
              <w:suppressLineNumbers w:val="0"/>
              <w:jc w:val="both"/>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指标1:完成时间</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2024年12月之前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成本指标</w:t>
            </w:r>
          </w:p>
        </w:tc>
        <w:tc>
          <w:tcPr>
            <w:tcW w:w="2872" w:type="dxa"/>
            <w:tcBorders>
              <w:tl2br w:val="nil"/>
              <w:tr2bl w:val="nil"/>
            </w:tcBorders>
            <w:noWrap w:val="0"/>
            <w:vAlign w:val="center"/>
          </w:tcPr>
          <w:p>
            <w:pPr>
              <w:keepNext w:val="0"/>
              <w:keepLines w:val="0"/>
              <w:widowControl/>
              <w:suppressLineNumbers w:val="0"/>
              <w:jc w:val="both"/>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指标1:不良反应监测成本</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≤34万元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效益指标</w:t>
            </w: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经济效益指标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指标1：</w:t>
            </w:r>
          </w:p>
        </w:tc>
        <w:tc>
          <w:tcPr>
            <w:tcW w:w="4228" w:type="dxa"/>
            <w:gridSpan w:val="2"/>
            <w:tcBorders>
              <w:tl2br w:val="nil"/>
              <w:tr2bl w:val="nil"/>
            </w:tcBorders>
            <w:noWrap w:val="0"/>
            <w:vAlign w:val="center"/>
          </w:tcPr>
          <w:p>
            <w:pPr>
              <w:jc w:val="center"/>
              <w:rPr>
                <w:rFonts w:hint="default" w:ascii="TimesNewRoman" w:hAnsi="TimesNewRoman" w:cs="TimesNewRoman"/>
                <w:color w:val="00000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社会效益指标</w:t>
            </w:r>
          </w:p>
        </w:tc>
        <w:tc>
          <w:tcPr>
            <w:tcW w:w="2872" w:type="dxa"/>
            <w:tcBorders>
              <w:tl2br w:val="nil"/>
              <w:tr2bl w:val="nil"/>
            </w:tcBorders>
            <w:noWrap w:val="0"/>
            <w:vAlign w:val="center"/>
          </w:tcPr>
          <w:p>
            <w:pPr>
              <w:keepNext w:val="0"/>
              <w:keepLines w:val="0"/>
              <w:widowControl/>
              <w:suppressLineNumbers w:val="0"/>
              <w:jc w:val="both"/>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指标1:不良反应监测水平</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持续提高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生态效益指标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指标1：</w:t>
            </w:r>
          </w:p>
        </w:tc>
        <w:tc>
          <w:tcPr>
            <w:tcW w:w="4228" w:type="dxa"/>
            <w:gridSpan w:val="2"/>
            <w:tcBorders>
              <w:tl2br w:val="nil"/>
              <w:tr2bl w:val="nil"/>
            </w:tcBorders>
            <w:noWrap w:val="0"/>
            <w:vAlign w:val="center"/>
          </w:tcPr>
          <w:p>
            <w:pPr>
              <w:jc w:val="center"/>
              <w:rPr>
                <w:rFonts w:hint="default" w:ascii="TimesNewRoman" w:hAnsi="TimesNewRoman" w:cs="TimesNewRoman"/>
                <w:color w:val="00000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default" w:ascii="TimesNewRoman" w:hAnsi="TimesNewRoman" w:eastAsia="宋体" w:cs="TimesNewRoman"/>
                <w:color w:val="000000"/>
                <w:sz w:val="20"/>
                <w:highlight w:val="none"/>
              </w:rPr>
            </w:pPr>
            <w:r>
              <w:rPr>
                <w:rFonts w:hint="default" w:ascii="TimesNewRoman" w:hAnsi="TimesNewRoman" w:eastAsia="宋体" w:cs="TimesNewRoman"/>
                <w:color w:val="000000"/>
                <w:sz w:val="20"/>
                <w:highlight w:val="none"/>
              </w:rPr>
              <w:t>可持续影响指标</w:t>
            </w:r>
          </w:p>
        </w:tc>
        <w:tc>
          <w:tcPr>
            <w:tcW w:w="2872" w:type="dxa"/>
            <w:tcBorders>
              <w:tl2br w:val="nil"/>
              <w:tr2bl w:val="nil"/>
            </w:tcBorders>
            <w:noWrap w:val="0"/>
            <w:vAlign w:val="center"/>
          </w:tcPr>
          <w:p>
            <w:pPr>
              <w:keepNext w:val="0"/>
              <w:keepLines w:val="0"/>
              <w:widowControl/>
              <w:suppressLineNumbers w:val="0"/>
              <w:jc w:val="both"/>
              <w:textAlignment w:val="center"/>
              <w:rPr>
                <w:rFonts w:hint="default" w:ascii="TimesNewRoman" w:hAnsi="TimesNewRoman" w:eastAsia="宋体" w:cs="TimesNewRoman"/>
                <w:color w:val="000000"/>
                <w:kern w:val="2"/>
                <w:sz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指标1:不良反应监测能力</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不断增强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default" w:ascii="TimesNewRoman" w:hAnsi="TimesNewRoman" w:eastAsia="宋体" w:cs="TimesNewRoman"/>
                <w:color w:val="000000"/>
                <w:sz w:val="20"/>
                <w:highlight w:val="none"/>
                <w:lang w:eastAsia="zh-CN"/>
              </w:rPr>
            </w:pPr>
            <w:r>
              <w:rPr>
                <w:rFonts w:hint="default" w:ascii="TimesNewRoman" w:hAnsi="TimesNewRoman" w:eastAsia="宋体" w:cs="TimesNewRoman"/>
                <w:color w:val="000000"/>
                <w:sz w:val="20"/>
                <w:highlight w:val="none"/>
                <w:lang w:eastAsia="zh-CN"/>
              </w:rPr>
              <w:t>满意度指标</w:t>
            </w:r>
          </w:p>
        </w:tc>
        <w:tc>
          <w:tcPr>
            <w:tcW w:w="759"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default" w:ascii="TimesNewRoman" w:hAnsi="TimesNewRoman" w:eastAsia="宋体" w:cs="TimesNewRoman"/>
                <w:color w:val="000000"/>
                <w:sz w:val="20"/>
                <w:highlight w:val="none"/>
                <w:lang w:eastAsia="zh-CN"/>
              </w:rPr>
            </w:pPr>
            <w:r>
              <w:rPr>
                <w:rFonts w:hint="default" w:ascii="TimesNewRoman" w:hAnsi="TimesNewRoman" w:eastAsia="宋体" w:cs="TimesNewRoman"/>
                <w:color w:val="000000"/>
                <w:sz w:val="20"/>
                <w:highlight w:val="none"/>
                <w:lang w:eastAsia="zh-CN"/>
              </w:rPr>
              <w:t>满意度指标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color w:val="000000"/>
                <w:kern w:val="2"/>
                <w:sz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指标1:服务对象对不良反应监测工作满意度</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≥80%</w:t>
            </w:r>
          </w:p>
        </w:tc>
      </w:tr>
    </w:tbl>
    <w:tbl>
      <w:tblPr>
        <w:tblStyle w:val="5"/>
        <w:tblW w:w="90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723"/>
        <w:gridCol w:w="282"/>
        <w:gridCol w:w="477"/>
        <w:gridCol w:w="2872"/>
        <w:gridCol w:w="1848"/>
        <w:gridCol w:w="2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9020" w:type="dxa"/>
            <w:gridSpan w:val="7"/>
            <w:tcBorders>
              <w:top w:val="nil"/>
              <w:left w:val="nil"/>
              <w:bottom w:val="nil"/>
              <w:right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b/>
                <w:i w:val="0"/>
                <w:color w:val="000000"/>
                <w:kern w:val="0"/>
                <w:sz w:val="28"/>
                <w:szCs w:val="28"/>
                <w:highlight w:val="none"/>
                <w:u w:val="none"/>
                <w:lang w:val="en-US" w:eastAsia="zh-CN" w:bidi="ar"/>
              </w:rPr>
            </w:pPr>
          </w:p>
          <w:p>
            <w:pPr>
              <w:keepNext w:val="0"/>
              <w:keepLines w:val="0"/>
              <w:widowControl/>
              <w:suppressLineNumbers w:val="0"/>
              <w:jc w:val="center"/>
              <w:textAlignment w:val="center"/>
              <w:rPr>
                <w:rFonts w:hint="default" w:ascii="TimesNewRoman" w:hAnsi="TimesNewRoman" w:eastAsia="宋体" w:cs="TimesNewRoman"/>
                <w:b/>
                <w:i w:val="0"/>
                <w:color w:val="000000"/>
                <w:kern w:val="0"/>
                <w:sz w:val="28"/>
                <w:szCs w:val="28"/>
                <w:highlight w:val="none"/>
                <w:u w:val="none"/>
                <w:lang w:val="en-US" w:eastAsia="zh-CN" w:bidi="ar"/>
              </w:rPr>
            </w:pPr>
          </w:p>
          <w:p>
            <w:pPr>
              <w:keepNext w:val="0"/>
              <w:keepLines w:val="0"/>
              <w:widowControl/>
              <w:suppressLineNumbers w:val="0"/>
              <w:jc w:val="center"/>
              <w:textAlignment w:val="center"/>
              <w:rPr>
                <w:rFonts w:hint="default" w:ascii="TimesNewRoman" w:hAnsi="TimesNewRoman" w:cs="TimesNewRoman"/>
                <w:b/>
                <w:bCs/>
                <w:color w:val="000000"/>
                <w:szCs w:val="32"/>
                <w:highlight w:val="none"/>
              </w:rPr>
            </w:pPr>
            <w:r>
              <w:rPr>
                <w:rFonts w:hint="default" w:ascii="TimesNewRoman" w:hAnsi="TimesNewRoman" w:eastAsia="宋体" w:cs="TimesNewRoman"/>
                <w:b/>
                <w:i w:val="0"/>
                <w:color w:val="000000"/>
                <w:kern w:val="0"/>
                <w:sz w:val="28"/>
                <w:szCs w:val="28"/>
                <w:highlight w:val="none"/>
                <w:u w:val="none"/>
                <w:lang w:val="en-US" w:eastAsia="zh-CN" w:bidi="ar"/>
              </w:rPr>
              <w:t>项目支出绩效目标表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020" w:type="dxa"/>
            <w:gridSpan w:val="7"/>
            <w:tcBorders>
              <w:top w:val="nil"/>
              <w:left w:val="nil"/>
              <w:right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w:t>
            </w:r>
            <w:r>
              <w:rPr>
                <w:rFonts w:hint="default" w:ascii="TimesNewRoman" w:hAnsi="TimesNewRoman" w:eastAsia="宋体" w:cs="TimesNewRoman"/>
                <w:i w:val="0"/>
                <w:color w:val="000000"/>
                <w:kern w:val="0"/>
                <w:sz w:val="20"/>
                <w:szCs w:val="20"/>
                <w:highlight w:val="none"/>
                <w:u w:val="none"/>
                <w:lang w:val="en" w:eastAsia="zh-CN" w:bidi="ar"/>
              </w:rPr>
              <w:t>2024</w:t>
            </w:r>
            <w:r>
              <w:rPr>
                <w:rFonts w:hint="default" w:ascii="TimesNewRoman" w:hAnsi="TimesNewRoman" w:eastAsia="宋体" w:cs="TimesNewRoman"/>
                <w:i w:val="0"/>
                <w:color w:val="000000"/>
                <w:kern w:val="0"/>
                <w:sz w:val="20"/>
                <w:szCs w:val="20"/>
                <w:highlight w:val="none"/>
                <w:u w:val="none"/>
                <w:lang w:val="en-US" w:eastAsia="zh-CN" w:bidi="ar"/>
              </w:rPr>
              <w:t xml:space="preserve">年度）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项目名称</w:t>
            </w:r>
          </w:p>
        </w:tc>
        <w:tc>
          <w:tcPr>
            <w:tcW w:w="7577" w:type="dxa"/>
            <w:gridSpan w:val="4"/>
            <w:tcBorders>
              <w:tl2br w:val="nil"/>
              <w:tr2bl w:val="nil"/>
            </w:tcBorders>
            <w:noWrap w:val="0"/>
            <w:vAlign w:val="center"/>
          </w:tcPr>
          <w:p>
            <w:pPr>
              <w:jc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物业管理费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443" w:type="dxa"/>
            <w:gridSpan w:val="3"/>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主管部门   及代码</w:t>
            </w:r>
          </w:p>
        </w:tc>
        <w:tc>
          <w:tcPr>
            <w:tcW w:w="334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[059]淮南市市场监督管理局</w:t>
            </w:r>
          </w:p>
        </w:tc>
        <w:tc>
          <w:tcPr>
            <w:tcW w:w="1848"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实施单位</w:t>
            </w:r>
          </w:p>
        </w:tc>
        <w:tc>
          <w:tcPr>
            <w:tcW w:w="2380" w:type="dxa"/>
            <w:tcBorders>
              <w:tl2br w:val="nil"/>
              <w:tr2bl w:val="nil"/>
            </w:tcBorders>
            <w:noWrap w:val="0"/>
            <w:vAlign w:val="center"/>
          </w:tcPr>
          <w:p>
            <w:pPr>
              <w:keepNext w:val="0"/>
              <w:keepLines w:val="0"/>
              <w:widowControl/>
              <w:suppressLineNumbers w:val="0"/>
              <w:jc w:val="center"/>
              <w:textAlignment w:val="center"/>
              <w:rPr>
                <w:rFonts w:hint="eastAsia"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淮南市食品药品检验中心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项目来源</w:t>
            </w:r>
          </w:p>
        </w:tc>
        <w:tc>
          <w:tcPr>
            <w:tcW w:w="3349" w:type="dxa"/>
            <w:gridSpan w:val="2"/>
            <w:tcBorders>
              <w:tl2br w:val="nil"/>
              <w:tr2bl w:val="nil"/>
            </w:tcBorders>
            <w:noWrap w:val="0"/>
            <w:vAlign w:val="center"/>
          </w:tcPr>
          <w:p>
            <w:pPr>
              <w:jc w:val="center"/>
              <w:rPr>
                <w:rFonts w:hint="eastAsia" w:ascii="TimesNewRoman" w:hAnsi="TimesNewRoman" w:eastAsia="仿宋_GB2312" w:cs="TimesNewRoman"/>
                <w:color w:val="000000"/>
                <w:sz w:val="20"/>
                <w:highlight w:val="none"/>
                <w:lang w:val="en-US" w:eastAsia="zh-CN"/>
              </w:rPr>
            </w:pPr>
            <w:r>
              <w:rPr>
                <w:rFonts w:hint="eastAsia" w:ascii="TimesNewRoman" w:hAnsi="TimesNewRoman" w:eastAsia="宋体" w:cs="TimesNewRoman"/>
                <w:i w:val="0"/>
                <w:color w:val="000000"/>
                <w:kern w:val="0"/>
                <w:sz w:val="20"/>
                <w:szCs w:val="20"/>
                <w:highlight w:val="none"/>
                <w:u w:val="none"/>
                <w:lang w:val="en-US" w:eastAsia="zh-CN" w:bidi="ar"/>
              </w:rPr>
              <w:t>财政拨款</w:t>
            </w:r>
          </w:p>
        </w:tc>
        <w:tc>
          <w:tcPr>
            <w:tcW w:w="1848"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项目期</w:t>
            </w:r>
          </w:p>
        </w:tc>
        <w:tc>
          <w:tcPr>
            <w:tcW w:w="2380"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项目资金</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（万元）</w:t>
            </w:r>
          </w:p>
        </w:tc>
        <w:tc>
          <w:tcPr>
            <w:tcW w:w="3349" w:type="dxa"/>
            <w:gridSpan w:val="2"/>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年度资金总额：</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21.9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443" w:type="dxa"/>
            <w:gridSpan w:val="3"/>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3349" w:type="dxa"/>
            <w:gridSpan w:val="2"/>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其中：财政拨款</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21.9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1443" w:type="dxa"/>
            <w:gridSpan w:val="3"/>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3349" w:type="dxa"/>
            <w:gridSpan w:val="2"/>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上年结转</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3349" w:type="dxa"/>
            <w:gridSpan w:val="2"/>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其他资金</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eastAsia"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438"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年度</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目标</w:t>
            </w:r>
          </w:p>
        </w:tc>
        <w:tc>
          <w:tcPr>
            <w:tcW w:w="8582" w:type="dxa"/>
            <w:gridSpan w:val="6"/>
            <w:tcBorders>
              <w:tl2br w:val="nil"/>
              <w:tr2bl w:val="nil"/>
            </w:tcBorders>
            <w:noWrap w:val="0"/>
            <w:vAlign w:val="center"/>
          </w:tcPr>
          <w:p>
            <w:pPr>
              <w:jc w:val="left"/>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通实验室保洁，满足工作环境需要，2幢实验楼的安全保障，院内绿化。</w:t>
            </w:r>
          </w:p>
          <w:p>
            <w:pPr>
              <w:jc w:val="left"/>
              <w:rPr>
                <w:rFonts w:hint="default" w:ascii="TimesNewRoman" w:hAnsi="TimesNewRoman" w:cs="TimesNewRoman"/>
                <w:color w:val="00000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438"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绩</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效</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指</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标</w:t>
            </w:r>
          </w:p>
        </w:tc>
        <w:tc>
          <w:tcPr>
            <w:tcW w:w="723"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一级</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指标</w:t>
            </w: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二级指标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三级指标</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产出指标</w:t>
            </w: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数量指标</w:t>
            </w:r>
          </w:p>
        </w:tc>
        <w:tc>
          <w:tcPr>
            <w:tcW w:w="2872" w:type="dxa"/>
            <w:tcBorders>
              <w:tl2br w:val="nil"/>
              <w:tr2bl w:val="nil"/>
            </w:tcBorders>
            <w:noWrap w:val="0"/>
            <w:vAlign w:val="center"/>
          </w:tcPr>
          <w:p>
            <w:pPr>
              <w:keepNext w:val="0"/>
              <w:keepLines w:val="0"/>
              <w:widowControl/>
              <w:suppressLineNumbers w:val="0"/>
              <w:jc w:val="both"/>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指标1:保洁维护面积</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7000平方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质量指标</w:t>
            </w:r>
          </w:p>
        </w:tc>
        <w:tc>
          <w:tcPr>
            <w:tcW w:w="2872" w:type="dxa"/>
            <w:tcBorders>
              <w:tl2br w:val="nil"/>
              <w:tr2bl w:val="nil"/>
            </w:tcBorders>
            <w:noWrap w:val="0"/>
            <w:vAlign w:val="center"/>
          </w:tcPr>
          <w:p>
            <w:pPr>
              <w:keepNext w:val="0"/>
              <w:keepLines w:val="0"/>
              <w:widowControl/>
              <w:suppressLineNumbers w:val="0"/>
              <w:jc w:val="both"/>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指标1:保洁质量</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时效指标</w:t>
            </w:r>
          </w:p>
        </w:tc>
        <w:tc>
          <w:tcPr>
            <w:tcW w:w="2872" w:type="dxa"/>
            <w:tcBorders>
              <w:tl2br w:val="nil"/>
              <w:tr2bl w:val="nil"/>
            </w:tcBorders>
            <w:noWrap w:val="0"/>
            <w:vAlign w:val="center"/>
          </w:tcPr>
          <w:p>
            <w:pPr>
              <w:keepNext w:val="0"/>
              <w:keepLines w:val="0"/>
              <w:widowControl/>
              <w:suppressLineNumbers w:val="0"/>
              <w:jc w:val="both"/>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指标1:完成时间</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2024年12月之前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成本指标</w:t>
            </w:r>
          </w:p>
        </w:tc>
        <w:tc>
          <w:tcPr>
            <w:tcW w:w="2872" w:type="dxa"/>
            <w:tcBorders>
              <w:tl2br w:val="nil"/>
              <w:tr2bl w:val="nil"/>
            </w:tcBorders>
            <w:noWrap w:val="0"/>
            <w:vAlign w:val="center"/>
          </w:tcPr>
          <w:p>
            <w:pPr>
              <w:keepNext w:val="0"/>
              <w:keepLines w:val="0"/>
              <w:widowControl/>
              <w:suppressLineNumbers w:val="0"/>
              <w:jc w:val="both"/>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指标1;实验楼维护费</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21.9万元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效益指标</w:t>
            </w: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经济效益指标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指标1：</w:t>
            </w:r>
          </w:p>
        </w:tc>
        <w:tc>
          <w:tcPr>
            <w:tcW w:w="4228" w:type="dxa"/>
            <w:gridSpan w:val="2"/>
            <w:tcBorders>
              <w:tl2br w:val="nil"/>
              <w:tr2bl w:val="nil"/>
            </w:tcBorders>
            <w:noWrap w:val="0"/>
            <w:vAlign w:val="center"/>
          </w:tcPr>
          <w:p>
            <w:pPr>
              <w:jc w:val="center"/>
              <w:rPr>
                <w:rFonts w:hint="default" w:ascii="TimesNewRoman" w:hAnsi="TimesNewRoman" w:cs="TimesNewRoman"/>
                <w:color w:val="00000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社会效益指标</w:t>
            </w:r>
          </w:p>
        </w:tc>
        <w:tc>
          <w:tcPr>
            <w:tcW w:w="2872" w:type="dxa"/>
            <w:tcBorders>
              <w:tl2br w:val="nil"/>
              <w:tr2bl w:val="nil"/>
            </w:tcBorders>
            <w:noWrap w:val="0"/>
            <w:vAlign w:val="center"/>
          </w:tcPr>
          <w:p>
            <w:pPr>
              <w:keepNext w:val="0"/>
              <w:keepLines w:val="0"/>
              <w:widowControl/>
              <w:suppressLineNumbers w:val="0"/>
              <w:jc w:val="both"/>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指标1:</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生态效益指标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指标1：</w:t>
            </w:r>
          </w:p>
        </w:tc>
        <w:tc>
          <w:tcPr>
            <w:tcW w:w="4228" w:type="dxa"/>
            <w:gridSpan w:val="2"/>
            <w:tcBorders>
              <w:tl2br w:val="nil"/>
              <w:tr2bl w:val="nil"/>
            </w:tcBorders>
            <w:noWrap w:val="0"/>
            <w:vAlign w:val="center"/>
          </w:tcPr>
          <w:p>
            <w:pPr>
              <w:jc w:val="center"/>
              <w:rPr>
                <w:rFonts w:hint="default" w:ascii="TimesNewRoman" w:hAnsi="TimesNewRoman" w:cs="TimesNewRoman"/>
                <w:color w:val="00000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default" w:ascii="TimesNewRoman" w:hAnsi="TimesNewRoman" w:eastAsia="宋体" w:cs="TimesNewRoman"/>
                <w:color w:val="000000"/>
                <w:sz w:val="20"/>
                <w:highlight w:val="none"/>
              </w:rPr>
            </w:pPr>
            <w:r>
              <w:rPr>
                <w:rFonts w:hint="default" w:ascii="TimesNewRoman" w:hAnsi="TimesNewRoman" w:eastAsia="宋体" w:cs="TimesNewRoman"/>
                <w:color w:val="000000"/>
                <w:sz w:val="20"/>
                <w:highlight w:val="none"/>
              </w:rPr>
              <w:t>可持续影响指标</w:t>
            </w:r>
          </w:p>
        </w:tc>
        <w:tc>
          <w:tcPr>
            <w:tcW w:w="2872" w:type="dxa"/>
            <w:tcBorders>
              <w:tl2br w:val="nil"/>
              <w:tr2bl w:val="nil"/>
            </w:tcBorders>
            <w:noWrap w:val="0"/>
            <w:vAlign w:val="center"/>
          </w:tcPr>
          <w:p>
            <w:pPr>
              <w:keepNext w:val="0"/>
              <w:keepLines w:val="0"/>
              <w:widowControl/>
              <w:suppressLineNumbers w:val="0"/>
              <w:jc w:val="both"/>
              <w:textAlignment w:val="center"/>
              <w:rPr>
                <w:rFonts w:hint="default" w:ascii="TimesNewRoman" w:hAnsi="TimesNewRoman" w:eastAsia="宋体" w:cs="TimesNewRoman"/>
                <w:color w:val="000000"/>
                <w:kern w:val="2"/>
                <w:sz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指标1:</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default" w:ascii="TimesNewRoman" w:hAnsi="TimesNewRoman" w:eastAsia="宋体" w:cs="TimesNewRoman"/>
                <w:color w:val="000000"/>
                <w:sz w:val="20"/>
                <w:highlight w:val="none"/>
                <w:lang w:eastAsia="zh-CN"/>
              </w:rPr>
            </w:pPr>
            <w:r>
              <w:rPr>
                <w:rFonts w:hint="default" w:ascii="TimesNewRoman" w:hAnsi="TimesNewRoman" w:eastAsia="宋体" w:cs="TimesNewRoman"/>
                <w:color w:val="000000"/>
                <w:sz w:val="20"/>
                <w:highlight w:val="none"/>
                <w:lang w:eastAsia="zh-CN"/>
              </w:rPr>
              <w:t>满意度指标</w:t>
            </w:r>
          </w:p>
        </w:tc>
        <w:tc>
          <w:tcPr>
            <w:tcW w:w="759"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default" w:ascii="TimesNewRoman" w:hAnsi="TimesNewRoman" w:eastAsia="宋体" w:cs="TimesNewRoman"/>
                <w:color w:val="000000"/>
                <w:sz w:val="20"/>
                <w:highlight w:val="none"/>
                <w:lang w:eastAsia="zh-CN"/>
              </w:rPr>
            </w:pPr>
            <w:r>
              <w:rPr>
                <w:rFonts w:hint="default" w:ascii="TimesNewRoman" w:hAnsi="TimesNewRoman" w:eastAsia="宋体" w:cs="TimesNewRoman"/>
                <w:color w:val="000000"/>
                <w:sz w:val="20"/>
                <w:highlight w:val="none"/>
                <w:lang w:eastAsia="zh-CN"/>
              </w:rPr>
              <w:t>满意度指标</w:t>
            </w:r>
          </w:p>
        </w:tc>
        <w:tc>
          <w:tcPr>
            <w:tcW w:w="2872" w:type="dxa"/>
            <w:tcBorders>
              <w:tl2br w:val="nil"/>
              <w:tr2bl w:val="nil"/>
            </w:tcBorders>
            <w:noWrap w:val="0"/>
            <w:vAlign w:val="center"/>
          </w:tcPr>
          <w:p>
            <w:pPr>
              <w:keepNext w:val="0"/>
              <w:keepLines w:val="0"/>
              <w:widowControl/>
              <w:suppressLineNumbers w:val="0"/>
              <w:jc w:val="both"/>
              <w:textAlignment w:val="center"/>
              <w:rPr>
                <w:rFonts w:hint="default" w:ascii="TimesNewRoman" w:hAnsi="TimesNewRoman" w:eastAsia="宋体" w:cs="TimesNewRoman"/>
                <w:color w:val="000000"/>
                <w:kern w:val="2"/>
                <w:sz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指标1:</w:t>
            </w:r>
          </w:p>
        </w:tc>
        <w:tc>
          <w:tcPr>
            <w:tcW w:w="4228" w:type="dxa"/>
            <w:gridSpan w:val="2"/>
            <w:tcBorders>
              <w:tl2br w:val="nil"/>
              <w:tr2bl w:val="nil"/>
            </w:tcBorders>
            <w:noWrap w:val="0"/>
            <w:vAlign w:val="center"/>
          </w:tcPr>
          <w:p>
            <w:pPr>
              <w:keepNext w:val="0"/>
              <w:keepLines w:val="0"/>
              <w:widowControl/>
              <w:suppressLineNumbers w:val="0"/>
              <w:jc w:val="both"/>
              <w:textAlignment w:val="center"/>
              <w:rPr>
                <w:rFonts w:hint="default" w:ascii="TimesNewRoman" w:hAnsi="TimesNewRoman" w:cs="TimesNewRoman"/>
                <w:color w:val="00000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9020" w:type="dxa"/>
            <w:gridSpan w:val="7"/>
            <w:tcBorders>
              <w:top w:val="nil"/>
              <w:left w:val="nil"/>
              <w:bottom w:val="nil"/>
              <w:right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b/>
                <w:i w:val="0"/>
                <w:color w:val="000000"/>
                <w:kern w:val="0"/>
                <w:sz w:val="28"/>
                <w:szCs w:val="28"/>
                <w:highlight w:val="none"/>
                <w:u w:val="none"/>
                <w:lang w:val="en-US" w:eastAsia="zh-CN" w:bidi="ar"/>
              </w:rPr>
            </w:pPr>
          </w:p>
          <w:p>
            <w:pPr>
              <w:keepNext w:val="0"/>
              <w:keepLines w:val="0"/>
              <w:widowControl/>
              <w:suppressLineNumbers w:val="0"/>
              <w:jc w:val="center"/>
              <w:textAlignment w:val="center"/>
              <w:rPr>
                <w:rFonts w:hint="default" w:ascii="TimesNewRoman" w:hAnsi="TimesNewRoman" w:eastAsia="宋体" w:cs="TimesNewRoman"/>
                <w:b/>
                <w:i w:val="0"/>
                <w:color w:val="000000"/>
                <w:kern w:val="0"/>
                <w:sz w:val="28"/>
                <w:szCs w:val="28"/>
                <w:highlight w:val="none"/>
                <w:u w:val="none"/>
                <w:lang w:val="en-US" w:eastAsia="zh-CN" w:bidi="ar"/>
              </w:rPr>
            </w:pPr>
          </w:p>
          <w:p>
            <w:pPr>
              <w:keepNext w:val="0"/>
              <w:keepLines w:val="0"/>
              <w:widowControl/>
              <w:suppressLineNumbers w:val="0"/>
              <w:jc w:val="center"/>
              <w:textAlignment w:val="center"/>
              <w:rPr>
                <w:rFonts w:hint="default" w:ascii="TimesNewRoman" w:hAnsi="TimesNewRoman" w:eastAsia="宋体" w:cs="TimesNewRoman"/>
                <w:b/>
                <w:i w:val="0"/>
                <w:color w:val="000000"/>
                <w:kern w:val="0"/>
                <w:sz w:val="28"/>
                <w:szCs w:val="28"/>
                <w:highlight w:val="none"/>
                <w:u w:val="none"/>
                <w:lang w:val="en-US" w:eastAsia="zh-CN" w:bidi="ar"/>
              </w:rPr>
            </w:pPr>
          </w:p>
          <w:p>
            <w:pPr>
              <w:keepNext w:val="0"/>
              <w:keepLines w:val="0"/>
              <w:widowControl/>
              <w:suppressLineNumbers w:val="0"/>
              <w:jc w:val="center"/>
              <w:textAlignment w:val="center"/>
              <w:rPr>
                <w:rFonts w:hint="default" w:ascii="TimesNewRoman" w:hAnsi="TimesNewRoman" w:eastAsia="宋体" w:cs="TimesNewRoman"/>
                <w:b/>
                <w:i w:val="0"/>
                <w:color w:val="000000"/>
                <w:kern w:val="0"/>
                <w:sz w:val="28"/>
                <w:szCs w:val="28"/>
                <w:highlight w:val="none"/>
                <w:u w:val="none"/>
                <w:lang w:val="en-US" w:eastAsia="zh-CN" w:bidi="ar"/>
              </w:rPr>
            </w:pPr>
          </w:p>
          <w:p>
            <w:pPr>
              <w:keepNext w:val="0"/>
              <w:keepLines w:val="0"/>
              <w:widowControl/>
              <w:suppressLineNumbers w:val="0"/>
              <w:jc w:val="center"/>
              <w:textAlignment w:val="center"/>
              <w:rPr>
                <w:rFonts w:hint="default" w:ascii="TimesNewRoman" w:hAnsi="TimesNewRoman" w:eastAsia="宋体" w:cs="TimesNewRoman"/>
                <w:b/>
                <w:i w:val="0"/>
                <w:color w:val="000000"/>
                <w:kern w:val="0"/>
                <w:sz w:val="28"/>
                <w:szCs w:val="28"/>
                <w:highlight w:val="none"/>
                <w:u w:val="none"/>
                <w:lang w:val="en-US" w:eastAsia="zh-CN" w:bidi="ar"/>
              </w:rPr>
            </w:pPr>
          </w:p>
          <w:p>
            <w:pPr>
              <w:keepNext w:val="0"/>
              <w:keepLines w:val="0"/>
              <w:widowControl/>
              <w:suppressLineNumbers w:val="0"/>
              <w:jc w:val="center"/>
              <w:textAlignment w:val="center"/>
              <w:rPr>
                <w:rFonts w:hint="default" w:ascii="TimesNewRoman" w:hAnsi="TimesNewRoman" w:eastAsia="宋体" w:cs="TimesNewRoman"/>
                <w:b/>
                <w:i w:val="0"/>
                <w:color w:val="000000"/>
                <w:kern w:val="0"/>
                <w:sz w:val="28"/>
                <w:szCs w:val="28"/>
                <w:highlight w:val="none"/>
                <w:u w:val="none"/>
                <w:lang w:val="en-US" w:eastAsia="zh-CN" w:bidi="ar"/>
              </w:rPr>
            </w:pPr>
          </w:p>
          <w:p>
            <w:pPr>
              <w:keepNext w:val="0"/>
              <w:keepLines w:val="0"/>
              <w:widowControl/>
              <w:suppressLineNumbers w:val="0"/>
              <w:jc w:val="center"/>
              <w:textAlignment w:val="center"/>
              <w:rPr>
                <w:rFonts w:hint="default" w:ascii="TimesNewRoman" w:hAnsi="TimesNewRoman" w:cs="TimesNewRoman"/>
                <w:b/>
                <w:bCs/>
                <w:color w:val="000000"/>
                <w:szCs w:val="32"/>
                <w:highlight w:val="none"/>
              </w:rPr>
            </w:pPr>
            <w:r>
              <w:rPr>
                <w:rFonts w:hint="default" w:ascii="TimesNewRoman" w:hAnsi="TimesNewRoman" w:eastAsia="宋体" w:cs="TimesNewRoman"/>
                <w:b/>
                <w:i w:val="0"/>
                <w:color w:val="000000"/>
                <w:kern w:val="0"/>
                <w:sz w:val="28"/>
                <w:szCs w:val="28"/>
                <w:highlight w:val="none"/>
                <w:u w:val="none"/>
                <w:lang w:val="en-US" w:eastAsia="zh-CN" w:bidi="ar"/>
              </w:rPr>
              <w:t>项目支出绩效目标表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020" w:type="dxa"/>
            <w:gridSpan w:val="7"/>
            <w:tcBorders>
              <w:top w:val="nil"/>
              <w:left w:val="nil"/>
              <w:right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w:t>
            </w:r>
            <w:r>
              <w:rPr>
                <w:rFonts w:hint="default" w:ascii="TimesNewRoman" w:hAnsi="TimesNewRoman" w:eastAsia="宋体" w:cs="TimesNewRoman"/>
                <w:i w:val="0"/>
                <w:color w:val="000000"/>
                <w:kern w:val="0"/>
                <w:sz w:val="20"/>
                <w:szCs w:val="20"/>
                <w:highlight w:val="none"/>
                <w:u w:val="none"/>
                <w:lang w:val="en" w:eastAsia="zh-CN" w:bidi="ar"/>
              </w:rPr>
              <w:t>2024</w:t>
            </w:r>
            <w:r>
              <w:rPr>
                <w:rFonts w:hint="default" w:ascii="TimesNewRoman" w:hAnsi="TimesNewRoman" w:eastAsia="宋体" w:cs="TimesNewRoman"/>
                <w:i w:val="0"/>
                <w:color w:val="000000"/>
                <w:kern w:val="0"/>
                <w:sz w:val="20"/>
                <w:szCs w:val="20"/>
                <w:highlight w:val="none"/>
                <w:u w:val="none"/>
                <w:lang w:val="en-US" w:eastAsia="zh-CN" w:bidi="ar"/>
              </w:rPr>
              <w:t xml:space="preserve">年度）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项目名称</w:t>
            </w:r>
          </w:p>
        </w:tc>
        <w:tc>
          <w:tcPr>
            <w:tcW w:w="7577" w:type="dxa"/>
            <w:gridSpan w:val="4"/>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省级药品(含医疗器械、化妆品）监督抽检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443" w:type="dxa"/>
            <w:gridSpan w:val="3"/>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主管部门   及代码</w:t>
            </w:r>
          </w:p>
        </w:tc>
        <w:tc>
          <w:tcPr>
            <w:tcW w:w="334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[059]淮南市市场监督管理局</w:t>
            </w:r>
          </w:p>
        </w:tc>
        <w:tc>
          <w:tcPr>
            <w:tcW w:w="1848"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实施单位</w:t>
            </w:r>
          </w:p>
        </w:tc>
        <w:tc>
          <w:tcPr>
            <w:tcW w:w="2380"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淮南市食品药品检验中心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项目来源</w:t>
            </w:r>
          </w:p>
        </w:tc>
        <w:tc>
          <w:tcPr>
            <w:tcW w:w="334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财政拨款</w:t>
            </w:r>
          </w:p>
        </w:tc>
        <w:tc>
          <w:tcPr>
            <w:tcW w:w="1848"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项目期</w:t>
            </w:r>
          </w:p>
        </w:tc>
        <w:tc>
          <w:tcPr>
            <w:tcW w:w="2380"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 xml:space="preserve"> 1年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项目资金</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（万元）</w:t>
            </w:r>
          </w:p>
        </w:tc>
        <w:tc>
          <w:tcPr>
            <w:tcW w:w="334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 xml:space="preserve"> 年度资金总额：</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172.7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334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 xml:space="preserve">   其中：财政拨款</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172.7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334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 xml:space="preserve">         上年结转</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eastAsia"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334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 xml:space="preserve">         其他资金</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eastAsia"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438"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年度</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目标</w:t>
            </w:r>
          </w:p>
        </w:tc>
        <w:tc>
          <w:tcPr>
            <w:tcW w:w="8582" w:type="dxa"/>
            <w:gridSpan w:val="6"/>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以习近平新时代中国特色社会主义思想为指导，以落实“四个最严”为根本遵循，坚持问题导向，及时发现药品医疗器械化妆品潜在安全隐患，加大违法违规行为打击力度，规范药品医疗器械化妆品生产经营秩序，保障人民群众用药安全，全面完成2024年省级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438"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绩</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效</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指</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标</w:t>
            </w:r>
          </w:p>
        </w:tc>
        <w:tc>
          <w:tcPr>
            <w:tcW w:w="723"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一级</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指标</w:t>
            </w:r>
          </w:p>
        </w:tc>
        <w:tc>
          <w:tcPr>
            <w:tcW w:w="75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二级指标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三级指标</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指标值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产出指标</w:t>
            </w:r>
          </w:p>
        </w:tc>
        <w:tc>
          <w:tcPr>
            <w:tcW w:w="759" w:type="dxa"/>
            <w:gridSpan w:val="2"/>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数量指标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指标1：基本药物和高风险药品专项抽样</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≥190批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vMerge w:val="continue"/>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指标2：基本药物和高风险药品专项检验</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≥220批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vMerge w:val="continue"/>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指标3：药品日常监督抽检</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≥365批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vMerge w:val="continue"/>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指标4：化妆品监督抽检</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≥10批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质量指标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指标1：药品、医疗器械、化妆品抽验工作质量</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符合规范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时效指标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指标1：完成时限</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2024年12月31日前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成本指标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指标1：省级药品（含医疗器械、化妆品）抽检成本</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≤172.7万元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效益指标</w:t>
            </w:r>
          </w:p>
        </w:tc>
        <w:tc>
          <w:tcPr>
            <w:tcW w:w="75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经济效益指标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指标1：</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社会效益指标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指标1：药品、医疗器械、化妆品安全水平</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持续提高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生态效益指标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指标1：</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可持续影响指标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指标1：药品、医疗器械、化妆品安全监管能力</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不断增强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default" w:ascii="TimesNewRoman" w:hAnsi="TimesNewRoman" w:eastAsia="宋体" w:cs="TimesNewRoman"/>
                <w:color w:val="000000"/>
                <w:sz w:val="20"/>
                <w:highlight w:val="none"/>
                <w:lang w:eastAsia="zh-CN"/>
              </w:rPr>
            </w:pPr>
            <w:r>
              <w:rPr>
                <w:rFonts w:hint="default" w:ascii="TimesNewRoman" w:hAnsi="TimesNewRoman" w:eastAsia="宋体" w:cs="TimesNewRoman"/>
                <w:color w:val="000000"/>
                <w:sz w:val="20"/>
                <w:highlight w:val="none"/>
                <w:lang w:eastAsia="zh-CN"/>
              </w:rPr>
              <w:t>满意度指标</w:t>
            </w:r>
          </w:p>
        </w:tc>
        <w:tc>
          <w:tcPr>
            <w:tcW w:w="75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满意度指标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指标1：服务对象对药品安全监管工作满意度</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9020" w:type="dxa"/>
            <w:gridSpan w:val="7"/>
            <w:tcBorders>
              <w:top w:val="nil"/>
              <w:left w:val="nil"/>
              <w:bottom w:val="nil"/>
              <w:right w:val="nil"/>
            </w:tcBorders>
            <w:noWrap w:val="0"/>
            <w:vAlign w:val="center"/>
          </w:tcPr>
          <w:p>
            <w:pPr>
              <w:keepNext w:val="0"/>
              <w:keepLines w:val="0"/>
              <w:widowControl/>
              <w:suppressLineNumbers w:val="0"/>
              <w:jc w:val="both"/>
              <w:textAlignment w:val="center"/>
              <w:rPr>
                <w:rFonts w:hint="default" w:ascii="TimesNewRoman" w:hAnsi="TimesNewRoman" w:eastAsia="宋体" w:cs="TimesNewRoman"/>
                <w:b/>
                <w:i w:val="0"/>
                <w:color w:val="000000"/>
                <w:kern w:val="0"/>
                <w:sz w:val="28"/>
                <w:szCs w:val="28"/>
                <w:highlight w:val="none"/>
                <w:u w:val="none"/>
                <w:lang w:val="en-US" w:eastAsia="zh-CN" w:bidi="ar"/>
              </w:rPr>
            </w:pPr>
          </w:p>
          <w:p>
            <w:pPr>
              <w:keepNext w:val="0"/>
              <w:keepLines w:val="0"/>
              <w:widowControl/>
              <w:suppressLineNumbers w:val="0"/>
              <w:jc w:val="center"/>
              <w:textAlignment w:val="center"/>
              <w:rPr>
                <w:rFonts w:hint="default" w:ascii="TimesNewRoman" w:hAnsi="TimesNewRoman" w:cs="TimesNewRoman"/>
                <w:b/>
                <w:bCs/>
                <w:color w:val="000000"/>
                <w:szCs w:val="32"/>
                <w:highlight w:val="none"/>
              </w:rPr>
            </w:pPr>
            <w:r>
              <w:rPr>
                <w:rFonts w:hint="default" w:ascii="TimesNewRoman" w:hAnsi="TimesNewRoman" w:eastAsia="宋体" w:cs="TimesNewRoman"/>
                <w:b/>
                <w:i w:val="0"/>
                <w:color w:val="000000"/>
                <w:kern w:val="0"/>
                <w:sz w:val="28"/>
                <w:szCs w:val="28"/>
                <w:highlight w:val="none"/>
                <w:u w:val="none"/>
                <w:lang w:val="en-US" w:eastAsia="zh-CN" w:bidi="ar"/>
              </w:rPr>
              <w:t>项目支出绩效目标表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020" w:type="dxa"/>
            <w:gridSpan w:val="7"/>
            <w:tcBorders>
              <w:top w:val="nil"/>
              <w:left w:val="nil"/>
              <w:right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w:t>
            </w:r>
            <w:r>
              <w:rPr>
                <w:rFonts w:hint="default" w:ascii="TimesNewRoman" w:hAnsi="TimesNewRoman" w:eastAsia="宋体" w:cs="TimesNewRoman"/>
                <w:i w:val="0"/>
                <w:color w:val="000000"/>
                <w:kern w:val="0"/>
                <w:sz w:val="20"/>
                <w:szCs w:val="20"/>
                <w:highlight w:val="none"/>
                <w:u w:val="none"/>
                <w:lang w:val="en" w:eastAsia="zh-CN" w:bidi="ar"/>
              </w:rPr>
              <w:t>2024</w:t>
            </w:r>
            <w:r>
              <w:rPr>
                <w:rFonts w:hint="default" w:ascii="TimesNewRoman" w:hAnsi="TimesNewRoman" w:eastAsia="宋体" w:cs="TimesNewRoman"/>
                <w:i w:val="0"/>
                <w:color w:val="000000"/>
                <w:kern w:val="0"/>
                <w:sz w:val="20"/>
                <w:szCs w:val="20"/>
                <w:highlight w:val="none"/>
                <w:u w:val="none"/>
                <w:lang w:val="en-US" w:eastAsia="zh-CN" w:bidi="ar"/>
              </w:rPr>
              <w:t xml:space="preserve">年度）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项目名称</w:t>
            </w:r>
          </w:p>
        </w:tc>
        <w:tc>
          <w:tcPr>
            <w:tcW w:w="7577" w:type="dxa"/>
            <w:gridSpan w:val="4"/>
            <w:tcBorders>
              <w:tl2br w:val="nil"/>
              <w:tr2bl w:val="nil"/>
            </w:tcBorders>
            <w:noWrap w:val="0"/>
            <w:vAlign w:val="center"/>
          </w:tcPr>
          <w:p>
            <w:pPr>
              <w:jc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药品监管经费--药品安全监管城乡一体化建设经费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443" w:type="dxa"/>
            <w:gridSpan w:val="3"/>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主管部门   及代码</w:t>
            </w:r>
          </w:p>
        </w:tc>
        <w:tc>
          <w:tcPr>
            <w:tcW w:w="3349"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[059]淮南市市场监督管理局</w:t>
            </w:r>
          </w:p>
        </w:tc>
        <w:tc>
          <w:tcPr>
            <w:tcW w:w="1848"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实施单位</w:t>
            </w:r>
          </w:p>
        </w:tc>
        <w:tc>
          <w:tcPr>
            <w:tcW w:w="2380" w:type="dxa"/>
            <w:tcBorders>
              <w:tl2br w:val="nil"/>
              <w:tr2bl w:val="nil"/>
            </w:tcBorders>
            <w:noWrap w:val="0"/>
            <w:vAlign w:val="center"/>
          </w:tcPr>
          <w:p>
            <w:pPr>
              <w:keepNext w:val="0"/>
              <w:keepLines w:val="0"/>
              <w:widowControl/>
              <w:suppressLineNumbers w:val="0"/>
              <w:jc w:val="center"/>
              <w:textAlignment w:val="center"/>
              <w:rPr>
                <w:rFonts w:hint="eastAsia"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淮南市食品药品检验中心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项目来源</w:t>
            </w:r>
          </w:p>
        </w:tc>
        <w:tc>
          <w:tcPr>
            <w:tcW w:w="3349" w:type="dxa"/>
            <w:gridSpan w:val="2"/>
            <w:tcBorders>
              <w:tl2br w:val="nil"/>
              <w:tr2bl w:val="nil"/>
            </w:tcBorders>
            <w:noWrap w:val="0"/>
            <w:vAlign w:val="center"/>
          </w:tcPr>
          <w:p>
            <w:pPr>
              <w:jc w:val="center"/>
              <w:rPr>
                <w:rFonts w:hint="eastAsia" w:ascii="TimesNewRoman" w:hAnsi="TimesNewRoman" w:eastAsia="仿宋_GB2312" w:cs="TimesNewRoman"/>
                <w:color w:val="000000"/>
                <w:sz w:val="20"/>
                <w:highlight w:val="none"/>
                <w:lang w:val="en-US" w:eastAsia="zh-CN"/>
              </w:rPr>
            </w:pPr>
            <w:r>
              <w:rPr>
                <w:rFonts w:hint="eastAsia" w:ascii="TimesNewRoman" w:hAnsi="TimesNewRoman" w:eastAsia="宋体" w:cs="TimesNewRoman"/>
                <w:i w:val="0"/>
                <w:color w:val="000000"/>
                <w:kern w:val="0"/>
                <w:sz w:val="20"/>
                <w:szCs w:val="20"/>
                <w:highlight w:val="none"/>
                <w:u w:val="none"/>
                <w:lang w:val="en-US" w:eastAsia="zh-CN" w:bidi="ar"/>
              </w:rPr>
              <w:t>财政拨款</w:t>
            </w:r>
          </w:p>
        </w:tc>
        <w:tc>
          <w:tcPr>
            <w:tcW w:w="1848"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default" w:ascii="TimesNewRoman" w:hAnsi="TimesNewRoman" w:eastAsia="宋体" w:cs="TimesNewRoman"/>
                <w:i w:val="0"/>
                <w:color w:val="000000"/>
                <w:kern w:val="0"/>
                <w:sz w:val="20"/>
                <w:szCs w:val="20"/>
                <w:highlight w:val="none"/>
                <w:u w:val="none"/>
                <w:lang w:val="en-US" w:eastAsia="zh-CN" w:bidi="ar"/>
              </w:rPr>
              <w:t>项目期</w:t>
            </w:r>
          </w:p>
        </w:tc>
        <w:tc>
          <w:tcPr>
            <w:tcW w:w="2380"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项目资金</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（万元）</w:t>
            </w:r>
          </w:p>
        </w:tc>
        <w:tc>
          <w:tcPr>
            <w:tcW w:w="3349" w:type="dxa"/>
            <w:gridSpan w:val="2"/>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年度资金总额：</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443" w:type="dxa"/>
            <w:gridSpan w:val="3"/>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3349" w:type="dxa"/>
            <w:gridSpan w:val="2"/>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其中：财政拨款</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i w:val="0"/>
                <w:color w:val="000000"/>
                <w:kern w:val="0"/>
                <w:sz w:val="20"/>
                <w:szCs w:val="20"/>
                <w:highlight w:val="none"/>
                <w:u w:val="none"/>
                <w:lang w:val="en-US" w:eastAsia="zh-CN" w:bidi="ar"/>
              </w:rPr>
            </w:pPr>
            <w:r>
              <w:rPr>
                <w:rFonts w:hint="eastAsia" w:ascii="TimesNewRoman" w:hAnsi="TimesNewRoman" w:eastAsia="宋体" w:cs="TimesNewRoman"/>
                <w:i w:val="0"/>
                <w:color w:val="000000"/>
                <w:kern w:val="0"/>
                <w:sz w:val="20"/>
                <w:szCs w:val="20"/>
                <w:highlight w:val="none"/>
                <w:u w:val="none"/>
                <w:lang w:val="en-US" w:eastAsia="zh-CN" w:bidi="ar"/>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1443" w:type="dxa"/>
            <w:gridSpan w:val="3"/>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3349" w:type="dxa"/>
            <w:gridSpan w:val="2"/>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上年结转</w:t>
            </w:r>
          </w:p>
        </w:tc>
        <w:tc>
          <w:tcPr>
            <w:tcW w:w="4228" w:type="dxa"/>
            <w:gridSpan w:val="2"/>
            <w:tcBorders>
              <w:tl2br w:val="nil"/>
              <w:tr2bl w:val="nil"/>
            </w:tcBorders>
            <w:noWrap w:val="0"/>
            <w:vAlign w:val="center"/>
          </w:tcPr>
          <w:p>
            <w:pPr>
              <w:jc w:val="center"/>
              <w:rPr>
                <w:rFonts w:hint="default" w:ascii="TimesNewRoman" w:hAnsi="TimesNewRoman" w:eastAsia="仿宋_GB2312" w:cs="TimesNewRoman"/>
                <w:color w:val="000000"/>
                <w:sz w:val="20"/>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3349" w:type="dxa"/>
            <w:gridSpan w:val="2"/>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 xml:space="preserve">         其他资金</w:t>
            </w:r>
          </w:p>
        </w:tc>
        <w:tc>
          <w:tcPr>
            <w:tcW w:w="4228" w:type="dxa"/>
            <w:gridSpan w:val="2"/>
            <w:tcBorders>
              <w:tl2br w:val="nil"/>
              <w:tr2bl w:val="nil"/>
            </w:tcBorders>
            <w:noWrap w:val="0"/>
            <w:vAlign w:val="center"/>
          </w:tcPr>
          <w:p>
            <w:pPr>
              <w:jc w:val="center"/>
              <w:rPr>
                <w:rFonts w:hint="default" w:ascii="TimesNewRoman" w:hAnsi="TimesNewRoman" w:cs="TimesNewRoman"/>
                <w:color w:val="00000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438"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年度</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目标</w:t>
            </w:r>
          </w:p>
        </w:tc>
        <w:tc>
          <w:tcPr>
            <w:tcW w:w="8582" w:type="dxa"/>
            <w:gridSpan w:val="6"/>
            <w:tcBorders>
              <w:tl2br w:val="nil"/>
              <w:tr2bl w:val="nil"/>
            </w:tcBorders>
            <w:noWrap w:val="0"/>
            <w:vAlign w:val="center"/>
          </w:tcPr>
          <w:p>
            <w:pPr>
              <w:jc w:val="left"/>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通过开展药品化妆品不良反应、医疗器械不良事件、药物滥用监测，及时发现药械化安全性问题，为药品监管提供数据支撑，保障人民群众用药用械用妆安全。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438"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绩</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效</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指</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标</w:t>
            </w:r>
          </w:p>
        </w:tc>
        <w:tc>
          <w:tcPr>
            <w:tcW w:w="723"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一级</w:t>
            </w:r>
            <w:r>
              <w:rPr>
                <w:rFonts w:hint="default" w:ascii="TimesNewRoman" w:hAnsi="TimesNewRoman" w:eastAsia="宋体" w:cs="TimesNewRoman"/>
                <w:i w:val="0"/>
                <w:color w:val="000000"/>
                <w:kern w:val="0"/>
                <w:sz w:val="20"/>
                <w:szCs w:val="20"/>
                <w:highlight w:val="none"/>
                <w:u w:val="none"/>
                <w:lang w:val="en-US" w:eastAsia="zh-CN" w:bidi="ar"/>
              </w:rPr>
              <w:br w:type="textWrapping"/>
            </w:r>
            <w:r>
              <w:rPr>
                <w:rFonts w:hint="default" w:ascii="TimesNewRoman" w:hAnsi="TimesNewRoman" w:eastAsia="宋体" w:cs="TimesNewRoman"/>
                <w:i w:val="0"/>
                <w:color w:val="000000"/>
                <w:kern w:val="0"/>
                <w:sz w:val="20"/>
                <w:szCs w:val="20"/>
                <w:highlight w:val="none"/>
                <w:u w:val="none"/>
                <w:lang w:val="en-US" w:eastAsia="zh-CN" w:bidi="ar"/>
              </w:rPr>
              <w:t>指标</w:t>
            </w: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二级指标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三级指标</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产出指标</w:t>
            </w:r>
          </w:p>
        </w:tc>
        <w:tc>
          <w:tcPr>
            <w:tcW w:w="759" w:type="dxa"/>
            <w:gridSpan w:val="2"/>
            <w:vMerge w:val="restar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数量指标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指标1:药品不良反应报告和监测</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百万人口数达1100份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指标2:医疗器械不良事件报告和监测</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百万人口数达300份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指标3:化妆品不良反应报告和监测</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百万人口数达150份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质量指标</w:t>
            </w:r>
          </w:p>
        </w:tc>
        <w:tc>
          <w:tcPr>
            <w:tcW w:w="2872" w:type="dxa"/>
            <w:tcBorders>
              <w:tl2br w:val="nil"/>
              <w:tr2bl w:val="nil"/>
            </w:tcBorders>
            <w:noWrap w:val="0"/>
            <w:vAlign w:val="center"/>
          </w:tcPr>
          <w:p>
            <w:pPr>
              <w:keepNext w:val="0"/>
              <w:keepLines w:val="0"/>
              <w:widowControl/>
              <w:suppressLineNumbers w:val="0"/>
              <w:jc w:val="both"/>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指标1:药品新的严重报告比例</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时效指标</w:t>
            </w:r>
          </w:p>
        </w:tc>
        <w:tc>
          <w:tcPr>
            <w:tcW w:w="2872" w:type="dxa"/>
            <w:tcBorders>
              <w:tl2br w:val="nil"/>
              <w:tr2bl w:val="nil"/>
            </w:tcBorders>
            <w:noWrap w:val="0"/>
            <w:vAlign w:val="center"/>
          </w:tcPr>
          <w:p>
            <w:pPr>
              <w:keepNext w:val="0"/>
              <w:keepLines w:val="0"/>
              <w:widowControl/>
              <w:suppressLineNumbers w:val="0"/>
              <w:jc w:val="both"/>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指标1:完成时间</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2024年12月之前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成本指标</w:t>
            </w:r>
          </w:p>
        </w:tc>
        <w:tc>
          <w:tcPr>
            <w:tcW w:w="2872" w:type="dxa"/>
            <w:tcBorders>
              <w:tl2br w:val="nil"/>
              <w:tr2bl w:val="nil"/>
            </w:tcBorders>
            <w:noWrap w:val="0"/>
            <w:vAlign w:val="center"/>
          </w:tcPr>
          <w:p>
            <w:pPr>
              <w:keepNext w:val="0"/>
              <w:keepLines w:val="0"/>
              <w:widowControl/>
              <w:suppressLineNumbers w:val="0"/>
              <w:jc w:val="both"/>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指标1:不良反应监测成本</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≤4.5万元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restart"/>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效益指标</w:t>
            </w: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经济效益指标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指标1：</w:t>
            </w:r>
          </w:p>
        </w:tc>
        <w:tc>
          <w:tcPr>
            <w:tcW w:w="4228" w:type="dxa"/>
            <w:gridSpan w:val="2"/>
            <w:tcBorders>
              <w:tl2br w:val="nil"/>
              <w:tr2bl w:val="nil"/>
            </w:tcBorders>
            <w:noWrap w:val="0"/>
            <w:vAlign w:val="center"/>
          </w:tcPr>
          <w:p>
            <w:pPr>
              <w:jc w:val="center"/>
              <w:rPr>
                <w:rFonts w:hint="default" w:ascii="TimesNewRoman" w:hAnsi="TimesNewRoman" w:cs="TimesNewRoman"/>
                <w:color w:val="00000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社会效益指标</w:t>
            </w:r>
          </w:p>
        </w:tc>
        <w:tc>
          <w:tcPr>
            <w:tcW w:w="2872" w:type="dxa"/>
            <w:tcBorders>
              <w:tl2br w:val="nil"/>
              <w:tr2bl w:val="nil"/>
            </w:tcBorders>
            <w:noWrap w:val="0"/>
            <w:vAlign w:val="center"/>
          </w:tcPr>
          <w:p>
            <w:pPr>
              <w:keepNext w:val="0"/>
              <w:keepLines w:val="0"/>
              <w:widowControl/>
              <w:suppressLineNumbers w:val="0"/>
              <w:jc w:val="both"/>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指标1:不良反应监测水平</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持续提高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生态效益指标</w:t>
            </w:r>
          </w:p>
        </w:tc>
        <w:tc>
          <w:tcPr>
            <w:tcW w:w="2872" w:type="dxa"/>
            <w:tcBorders>
              <w:tl2br w:val="nil"/>
              <w:tr2bl w:val="nil"/>
            </w:tcBorders>
            <w:noWrap w:val="0"/>
            <w:vAlign w:val="center"/>
          </w:tcPr>
          <w:p>
            <w:pPr>
              <w:keepNext w:val="0"/>
              <w:keepLines w:val="0"/>
              <w:widowControl/>
              <w:suppressLineNumbers w:val="0"/>
              <w:jc w:val="left"/>
              <w:textAlignment w:val="center"/>
              <w:rPr>
                <w:rFonts w:hint="default" w:ascii="TimesNewRoman" w:hAnsi="TimesNewRoman" w:cs="TimesNewRoman"/>
                <w:color w:val="000000"/>
                <w:sz w:val="20"/>
                <w:highlight w:val="none"/>
              </w:rPr>
            </w:pPr>
            <w:r>
              <w:rPr>
                <w:rFonts w:hint="default" w:ascii="TimesNewRoman" w:hAnsi="TimesNewRoman" w:eastAsia="宋体" w:cs="TimesNewRoman"/>
                <w:i w:val="0"/>
                <w:color w:val="000000"/>
                <w:kern w:val="0"/>
                <w:sz w:val="20"/>
                <w:szCs w:val="20"/>
                <w:highlight w:val="none"/>
                <w:u w:val="none"/>
                <w:lang w:val="en-US" w:eastAsia="zh-CN" w:bidi="ar"/>
              </w:rPr>
              <w:t>指标1：</w:t>
            </w:r>
          </w:p>
        </w:tc>
        <w:tc>
          <w:tcPr>
            <w:tcW w:w="4228" w:type="dxa"/>
            <w:gridSpan w:val="2"/>
            <w:tcBorders>
              <w:tl2br w:val="nil"/>
              <w:tr2bl w:val="nil"/>
            </w:tcBorders>
            <w:noWrap w:val="0"/>
            <w:vAlign w:val="center"/>
          </w:tcPr>
          <w:p>
            <w:pPr>
              <w:jc w:val="center"/>
              <w:rPr>
                <w:rFonts w:hint="default" w:ascii="TimesNewRoman" w:hAnsi="TimesNewRoman" w:cs="TimesNewRoman"/>
                <w:color w:val="00000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59"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default" w:ascii="TimesNewRoman" w:hAnsi="TimesNewRoman" w:eastAsia="宋体" w:cs="TimesNewRoman"/>
                <w:color w:val="000000"/>
                <w:sz w:val="20"/>
                <w:highlight w:val="none"/>
              </w:rPr>
            </w:pPr>
            <w:r>
              <w:rPr>
                <w:rFonts w:hint="default" w:ascii="TimesNewRoman" w:hAnsi="TimesNewRoman" w:eastAsia="宋体" w:cs="TimesNewRoman"/>
                <w:color w:val="000000"/>
                <w:sz w:val="20"/>
                <w:highlight w:val="none"/>
              </w:rPr>
              <w:t>可持续影响指标</w:t>
            </w:r>
          </w:p>
        </w:tc>
        <w:tc>
          <w:tcPr>
            <w:tcW w:w="2872" w:type="dxa"/>
            <w:tcBorders>
              <w:tl2br w:val="nil"/>
              <w:tr2bl w:val="nil"/>
            </w:tcBorders>
            <w:noWrap w:val="0"/>
            <w:vAlign w:val="center"/>
          </w:tcPr>
          <w:p>
            <w:pPr>
              <w:keepNext w:val="0"/>
              <w:keepLines w:val="0"/>
              <w:widowControl/>
              <w:suppressLineNumbers w:val="0"/>
              <w:jc w:val="both"/>
              <w:textAlignment w:val="center"/>
              <w:rPr>
                <w:rFonts w:hint="default" w:ascii="TimesNewRoman" w:hAnsi="TimesNewRoman" w:eastAsia="宋体" w:cs="TimesNewRoman"/>
                <w:color w:val="000000"/>
                <w:kern w:val="2"/>
                <w:sz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指标1:不良反应监测能力</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不断增强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noWrap w:val="0"/>
            <w:vAlign w:val="center"/>
          </w:tcPr>
          <w:p>
            <w:pPr>
              <w:jc w:val="center"/>
              <w:rPr>
                <w:rFonts w:hint="default" w:ascii="TimesNewRoman" w:hAnsi="TimesNewRoman" w:cs="TimesNewRoman"/>
                <w:color w:val="000000"/>
                <w:sz w:val="20"/>
                <w:highlight w:val="none"/>
              </w:rPr>
            </w:pPr>
          </w:p>
        </w:tc>
        <w:tc>
          <w:tcPr>
            <w:tcW w:w="723"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default" w:ascii="TimesNewRoman" w:hAnsi="TimesNewRoman" w:eastAsia="宋体" w:cs="TimesNewRoman"/>
                <w:color w:val="000000"/>
                <w:sz w:val="20"/>
                <w:highlight w:val="none"/>
                <w:lang w:eastAsia="zh-CN"/>
              </w:rPr>
            </w:pPr>
            <w:r>
              <w:rPr>
                <w:rFonts w:hint="default" w:ascii="TimesNewRoman" w:hAnsi="TimesNewRoman" w:eastAsia="宋体" w:cs="TimesNewRoman"/>
                <w:color w:val="000000"/>
                <w:sz w:val="20"/>
                <w:highlight w:val="none"/>
                <w:lang w:eastAsia="zh-CN"/>
              </w:rPr>
              <w:t>满意度指标</w:t>
            </w:r>
          </w:p>
        </w:tc>
        <w:tc>
          <w:tcPr>
            <w:tcW w:w="759"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default" w:ascii="TimesNewRoman" w:hAnsi="TimesNewRoman" w:eastAsia="宋体" w:cs="TimesNewRoman"/>
                <w:color w:val="000000"/>
                <w:sz w:val="20"/>
                <w:highlight w:val="none"/>
                <w:lang w:eastAsia="zh-CN"/>
              </w:rPr>
            </w:pPr>
            <w:r>
              <w:rPr>
                <w:rFonts w:hint="default" w:ascii="TimesNewRoman" w:hAnsi="TimesNewRoman" w:eastAsia="宋体" w:cs="TimesNewRoman"/>
                <w:color w:val="000000"/>
                <w:sz w:val="20"/>
                <w:highlight w:val="none"/>
                <w:lang w:eastAsia="zh-CN"/>
              </w:rPr>
              <w:t>满意度指标</w:t>
            </w:r>
          </w:p>
        </w:tc>
        <w:tc>
          <w:tcPr>
            <w:tcW w:w="2872" w:type="dxa"/>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eastAsia="宋体" w:cs="TimesNewRoman"/>
                <w:color w:val="000000"/>
                <w:kern w:val="2"/>
                <w:sz w:val="20"/>
                <w:highlight w:val="none"/>
                <w:lang w:val="en-US" w:eastAsia="zh-CN" w:bidi="ar-SA"/>
              </w:rPr>
            </w:pPr>
            <w:r>
              <w:rPr>
                <w:rFonts w:hint="eastAsia" w:ascii="宋体" w:hAnsi="宋体" w:eastAsia="宋体" w:cs="宋体"/>
                <w:i w:val="0"/>
                <w:iCs w:val="0"/>
                <w:color w:val="000000"/>
                <w:kern w:val="0"/>
                <w:sz w:val="20"/>
                <w:szCs w:val="20"/>
                <w:u w:val="none"/>
                <w:lang w:val="en-US" w:eastAsia="zh-CN" w:bidi="ar"/>
              </w:rPr>
              <w:t>指标1:服务对象对不良反应监测工作满意度</w:t>
            </w:r>
          </w:p>
        </w:tc>
        <w:tc>
          <w:tcPr>
            <w:tcW w:w="4228" w:type="dxa"/>
            <w:gridSpan w:val="2"/>
            <w:tcBorders>
              <w:tl2br w:val="nil"/>
              <w:tr2bl w:val="nil"/>
            </w:tcBorders>
            <w:noWrap w:val="0"/>
            <w:vAlign w:val="center"/>
          </w:tcPr>
          <w:p>
            <w:pPr>
              <w:keepNext w:val="0"/>
              <w:keepLines w:val="0"/>
              <w:widowControl/>
              <w:suppressLineNumbers w:val="0"/>
              <w:jc w:val="center"/>
              <w:textAlignment w:val="center"/>
              <w:rPr>
                <w:rFonts w:hint="default" w:ascii="TimesNewRoman" w:hAnsi="TimesNewRoman" w:cs="TimesNewRoman"/>
                <w:color w:val="000000"/>
                <w:sz w:val="20"/>
                <w:highlight w:val="none"/>
              </w:rPr>
            </w:pPr>
            <w:r>
              <w:rPr>
                <w:rFonts w:hint="eastAsia" w:ascii="宋体" w:hAnsi="宋体" w:eastAsia="宋体" w:cs="宋体"/>
                <w:i w:val="0"/>
                <w:iCs w:val="0"/>
                <w:color w:val="000000"/>
                <w:kern w:val="0"/>
                <w:sz w:val="20"/>
                <w:szCs w:val="20"/>
                <w:u w:val="none"/>
                <w:lang w:val="en-US" w:eastAsia="zh-CN" w:bidi="ar"/>
              </w:rPr>
              <w:t>≥80%</w:t>
            </w:r>
          </w:p>
        </w:tc>
      </w:tr>
    </w:tbl>
    <w:p>
      <w:pPr>
        <w:rPr>
          <w:b/>
          <w:bCs/>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imesNewRoman">
    <w:altName w:val="Times New Roman"/>
    <w:panose1 w:val="02020603050405020304"/>
    <w:charset w:val="00"/>
    <w:family w:val="auto"/>
    <w:pitch w:val="default"/>
    <w:sig w:usb0="00000000" w:usb1="00000000" w:usb2="00000029" w:usb3="00000000" w:csb0="600001FF" w:csb1="FFFF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黑体_GBK">
    <w:altName w:val="微软雅黑"/>
    <w:panose1 w:val="02000000000000000000"/>
    <w:charset w:val="86"/>
    <w:family w:val="auto"/>
    <w:pitch w:val="default"/>
    <w:sig w:usb0="00000000" w:usb1="00000000" w:usb2="00000000" w:usb3="00000000" w:csb0="00040000" w:csb1="00000000"/>
  </w:font>
  <w:font w:name="汉仪中秀体简">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pPr>
    <w:r>
      <w:rPr>
        <w:sz w:val="18"/>
      </w:rPr>
      <w:pict>
        <v:shape id="_x0000_s4097" o:spid="_x0000_s4097" o:spt="202" type="#_x0000_t202" style="position:absolute;left:0pt;margin-top:0pt;height:144pt;width:144pt;mso-position-horizontal:right;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2"/>
                  <w:rPr>
                    <w:rFonts w:hint="default" w:ascii="TimesNewRoman" w:hAnsi="TimesNewRoman" w:cs="TimesNewRoman"/>
                    <w:sz w:val="21"/>
                    <w:szCs w:val="21"/>
                  </w:rPr>
                </w:pPr>
                <w:r>
                  <w:rPr>
                    <w:rFonts w:hint="default" w:ascii="TimesNewRoman" w:hAnsi="TimesNewRoman" w:cs="TimesNewRoman"/>
                    <w:sz w:val="21"/>
                    <w:szCs w:val="21"/>
                  </w:rPr>
                  <w:fldChar w:fldCharType="begin"/>
                </w:r>
                <w:r>
                  <w:rPr>
                    <w:rFonts w:hint="default" w:ascii="TimesNewRoman" w:hAnsi="TimesNewRoman" w:cs="TimesNewRoman"/>
                    <w:sz w:val="21"/>
                    <w:szCs w:val="21"/>
                  </w:rPr>
                  <w:instrText xml:space="preserve"> PAGE  \* MERGEFORMAT </w:instrText>
                </w:r>
                <w:r>
                  <w:rPr>
                    <w:rFonts w:hint="default" w:ascii="TimesNewRoman" w:hAnsi="TimesNewRoman" w:cs="TimesNewRoman"/>
                    <w:sz w:val="21"/>
                    <w:szCs w:val="21"/>
                  </w:rPr>
                  <w:fldChar w:fldCharType="separate"/>
                </w:r>
                <w:r>
                  <w:rPr>
                    <w:rFonts w:hint="default" w:ascii="TimesNewRoman" w:hAnsi="TimesNewRoman" w:cs="TimesNewRoman"/>
                    <w:sz w:val="21"/>
                    <w:szCs w:val="21"/>
                  </w:rPr>
                  <w:t>1</w:t>
                </w:r>
                <w:r>
                  <w:rPr>
                    <w:rFonts w:hint="default" w:ascii="TimesNewRoman" w:hAnsi="TimesNewRoman" w:cs="TimesNewRoman"/>
                    <w:sz w:val="21"/>
                    <w:szCs w:val="21"/>
                  </w:rPr>
                  <w:fldChar w:fldCharType="end"/>
                </w:r>
              </w:p>
            </w:txbxContent>
          </v:textbox>
        </v:shape>
      </w:pict>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pPr>
    <w:r>
      <w:fldChar w:fldCharType="begin"/>
    </w:r>
    <w:r>
      <w:instrText xml:space="preserve"> PAGE   \* MERGEFORMAT </w:instrText>
    </w:r>
    <w:r>
      <w:fldChar w:fldCharType="separate"/>
    </w:r>
    <w:r>
      <w:rPr>
        <w:lang w:val="zh-CN"/>
      </w:rPr>
      <w:t>1</w:t>
    </w:r>
    <w:r>
      <w:rPr>
        <w:lang w:val="zh-CN"/>
      </w:rP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D9703F6"/>
    <w:multiLevelType w:val="singleLevel"/>
    <w:tmpl w:val="9D9703F6"/>
    <w:lvl w:ilvl="0" w:tentative="0">
      <w:start w:val="2"/>
      <w:numFmt w:val="chineseCounting"/>
      <w:suff w:val="space"/>
      <w:lvlText w:val="第%1部分"/>
      <w:lvlJc w:val="left"/>
      <w:rPr>
        <w:rFonts w:hint="eastAsia"/>
      </w:rPr>
    </w:lvl>
  </w:abstractNum>
  <w:abstractNum w:abstractNumId="1">
    <w:nsid w:val="61F34332"/>
    <w:multiLevelType w:val="singleLevel"/>
    <w:tmpl w:val="61F34332"/>
    <w:lvl w:ilvl="0" w:tentative="0">
      <w:start w:val="2"/>
      <w:numFmt w:val="chineseCounting"/>
      <w:suff w:val="nothing"/>
      <w:lvlText w:val="%1、"/>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TAzYTZiZWQyMGYzYzkxMzhiZDg3ZWI5YTcyYWJlNDgifQ=="/>
  </w:docVars>
  <w:rsids>
    <w:rsidRoot w:val="00DA7155"/>
    <w:rsid w:val="000003C1"/>
    <w:rsid w:val="00015821"/>
    <w:rsid w:val="00016DCE"/>
    <w:rsid w:val="0002669A"/>
    <w:rsid w:val="00026E99"/>
    <w:rsid w:val="0005090D"/>
    <w:rsid w:val="00052923"/>
    <w:rsid w:val="0005523F"/>
    <w:rsid w:val="000720A0"/>
    <w:rsid w:val="000807F9"/>
    <w:rsid w:val="000812F3"/>
    <w:rsid w:val="000859AC"/>
    <w:rsid w:val="00086992"/>
    <w:rsid w:val="00092BDB"/>
    <w:rsid w:val="0009339B"/>
    <w:rsid w:val="000945B8"/>
    <w:rsid w:val="00095C1B"/>
    <w:rsid w:val="000B486F"/>
    <w:rsid w:val="000B701A"/>
    <w:rsid w:val="000E0593"/>
    <w:rsid w:val="000F001D"/>
    <w:rsid w:val="000F35AE"/>
    <w:rsid w:val="000F6876"/>
    <w:rsid w:val="0012431A"/>
    <w:rsid w:val="00130CD5"/>
    <w:rsid w:val="00143558"/>
    <w:rsid w:val="00145AB0"/>
    <w:rsid w:val="00150DF1"/>
    <w:rsid w:val="00152846"/>
    <w:rsid w:val="00152BF2"/>
    <w:rsid w:val="00161C3F"/>
    <w:rsid w:val="00165C02"/>
    <w:rsid w:val="00166692"/>
    <w:rsid w:val="001771E6"/>
    <w:rsid w:val="001803E7"/>
    <w:rsid w:val="00194491"/>
    <w:rsid w:val="001949D0"/>
    <w:rsid w:val="001A6389"/>
    <w:rsid w:val="001A70D0"/>
    <w:rsid w:val="001C3EA4"/>
    <w:rsid w:val="001C4E9A"/>
    <w:rsid w:val="001D4149"/>
    <w:rsid w:val="001E4162"/>
    <w:rsid w:val="001E717A"/>
    <w:rsid w:val="001F54C8"/>
    <w:rsid w:val="001F739C"/>
    <w:rsid w:val="0020776B"/>
    <w:rsid w:val="00210D08"/>
    <w:rsid w:val="00226E7B"/>
    <w:rsid w:val="00234110"/>
    <w:rsid w:val="002351AD"/>
    <w:rsid w:val="00236C97"/>
    <w:rsid w:val="002458E8"/>
    <w:rsid w:val="0024741B"/>
    <w:rsid w:val="0025289A"/>
    <w:rsid w:val="00263B7E"/>
    <w:rsid w:val="002711F0"/>
    <w:rsid w:val="002725C5"/>
    <w:rsid w:val="00273982"/>
    <w:rsid w:val="00277F2D"/>
    <w:rsid w:val="00280650"/>
    <w:rsid w:val="002911C3"/>
    <w:rsid w:val="00294131"/>
    <w:rsid w:val="002A6B54"/>
    <w:rsid w:val="002C2BDF"/>
    <w:rsid w:val="002C781A"/>
    <w:rsid w:val="002E11DE"/>
    <w:rsid w:val="002E284A"/>
    <w:rsid w:val="002F54FF"/>
    <w:rsid w:val="002F6AE2"/>
    <w:rsid w:val="003066B6"/>
    <w:rsid w:val="00314DEA"/>
    <w:rsid w:val="00351103"/>
    <w:rsid w:val="00352640"/>
    <w:rsid w:val="00353EE7"/>
    <w:rsid w:val="00366256"/>
    <w:rsid w:val="00370476"/>
    <w:rsid w:val="00380820"/>
    <w:rsid w:val="00383CD8"/>
    <w:rsid w:val="003B060D"/>
    <w:rsid w:val="003C17BD"/>
    <w:rsid w:val="003C40FD"/>
    <w:rsid w:val="003D30B2"/>
    <w:rsid w:val="003E096B"/>
    <w:rsid w:val="003E237C"/>
    <w:rsid w:val="003E66A3"/>
    <w:rsid w:val="003E7441"/>
    <w:rsid w:val="003E7E98"/>
    <w:rsid w:val="003F2BE9"/>
    <w:rsid w:val="003F5900"/>
    <w:rsid w:val="00415416"/>
    <w:rsid w:val="00415ED5"/>
    <w:rsid w:val="0042415B"/>
    <w:rsid w:val="00425751"/>
    <w:rsid w:val="0042713F"/>
    <w:rsid w:val="00430C41"/>
    <w:rsid w:val="00431161"/>
    <w:rsid w:val="0044737F"/>
    <w:rsid w:val="00454492"/>
    <w:rsid w:val="00482476"/>
    <w:rsid w:val="0048574C"/>
    <w:rsid w:val="004A6577"/>
    <w:rsid w:val="004A7283"/>
    <w:rsid w:val="004C3BD5"/>
    <w:rsid w:val="00514735"/>
    <w:rsid w:val="00516B0F"/>
    <w:rsid w:val="00532161"/>
    <w:rsid w:val="0053715F"/>
    <w:rsid w:val="00542173"/>
    <w:rsid w:val="00544C35"/>
    <w:rsid w:val="00557E03"/>
    <w:rsid w:val="00562B09"/>
    <w:rsid w:val="00565987"/>
    <w:rsid w:val="00574EF2"/>
    <w:rsid w:val="00577B14"/>
    <w:rsid w:val="00582209"/>
    <w:rsid w:val="00584B72"/>
    <w:rsid w:val="005A1C41"/>
    <w:rsid w:val="005A1CDD"/>
    <w:rsid w:val="005A262C"/>
    <w:rsid w:val="005B0577"/>
    <w:rsid w:val="005B5372"/>
    <w:rsid w:val="005C2187"/>
    <w:rsid w:val="005D2121"/>
    <w:rsid w:val="005E1DBE"/>
    <w:rsid w:val="005E66C6"/>
    <w:rsid w:val="005F1DCD"/>
    <w:rsid w:val="00600DF2"/>
    <w:rsid w:val="00601B50"/>
    <w:rsid w:val="0060284C"/>
    <w:rsid w:val="00642C39"/>
    <w:rsid w:val="00647E00"/>
    <w:rsid w:val="00657804"/>
    <w:rsid w:val="00666BD8"/>
    <w:rsid w:val="00672304"/>
    <w:rsid w:val="00672AEA"/>
    <w:rsid w:val="0069039D"/>
    <w:rsid w:val="00693859"/>
    <w:rsid w:val="00694264"/>
    <w:rsid w:val="006A032A"/>
    <w:rsid w:val="006B17A0"/>
    <w:rsid w:val="006B6125"/>
    <w:rsid w:val="006D39F7"/>
    <w:rsid w:val="006E3F7A"/>
    <w:rsid w:val="006F28D7"/>
    <w:rsid w:val="00700AE0"/>
    <w:rsid w:val="007221FD"/>
    <w:rsid w:val="00722B93"/>
    <w:rsid w:val="007318DE"/>
    <w:rsid w:val="0074251D"/>
    <w:rsid w:val="00752451"/>
    <w:rsid w:val="00752F7A"/>
    <w:rsid w:val="0075731C"/>
    <w:rsid w:val="0076294D"/>
    <w:rsid w:val="00772BCD"/>
    <w:rsid w:val="00796E8E"/>
    <w:rsid w:val="007A0175"/>
    <w:rsid w:val="007A0E2A"/>
    <w:rsid w:val="007B0E13"/>
    <w:rsid w:val="007B6088"/>
    <w:rsid w:val="007D2C1D"/>
    <w:rsid w:val="007E28D7"/>
    <w:rsid w:val="007E36F8"/>
    <w:rsid w:val="00831988"/>
    <w:rsid w:val="00842138"/>
    <w:rsid w:val="00846410"/>
    <w:rsid w:val="00860CC8"/>
    <w:rsid w:val="00863DEC"/>
    <w:rsid w:val="00891055"/>
    <w:rsid w:val="00893638"/>
    <w:rsid w:val="008A4D1E"/>
    <w:rsid w:val="008B0535"/>
    <w:rsid w:val="008D3932"/>
    <w:rsid w:val="008E7426"/>
    <w:rsid w:val="008F1230"/>
    <w:rsid w:val="008F5697"/>
    <w:rsid w:val="00905D7A"/>
    <w:rsid w:val="009154FB"/>
    <w:rsid w:val="00915909"/>
    <w:rsid w:val="00915D08"/>
    <w:rsid w:val="00922AD1"/>
    <w:rsid w:val="00930672"/>
    <w:rsid w:val="00935BC1"/>
    <w:rsid w:val="00943723"/>
    <w:rsid w:val="00960E56"/>
    <w:rsid w:val="00962167"/>
    <w:rsid w:val="009640FF"/>
    <w:rsid w:val="009730E4"/>
    <w:rsid w:val="00976479"/>
    <w:rsid w:val="0098716A"/>
    <w:rsid w:val="009874BC"/>
    <w:rsid w:val="0099011F"/>
    <w:rsid w:val="00990C8B"/>
    <w:rsid w:val="009A3572"/>
    <w:rsid w:val="009A5CC2"/>
    <w:rsid w:val="009C10D1"/>
    <w:rsid w:val="009C7F13"/>
    <w:rsid w:val="009E5A38"/>
    <w:rsid w:val="009F2E05"/>
    <w:rsid w:val="00A13C61"/>
    <w:rsid w:val="00A25CFC"/>
    <w:rsid w:val="00A26644"/>
    <w:rsid w:val="00A266F5"/>
    <w:rsid w:val="00A33786"/>
    <w:rsid w:val="00A34D62"/>
    <w:rsid w:val="00A46E97"/>
    <w:rsid w:val="00A51BB2"/>
    <w:rsid w:val="00A566E8"/>
    <w:rsid w:val="00A62DE6"/>
    <w:rsid w:val="00A64B80"/>
    <w:rsid w:val="00A66984"/>
    <w:rsid w:val="00A759CE"/>
    <w:rsid w:val="00A80366"/>
    <w:rsid w:val="00AA019E"/>
    <w:rsid w:val="00AA63E5"/>
    <w:rsid w:val="00AC6A43"/>
    <w:rsid w:val="00AD02CD"/>
    <w:rsid w:val="00AD7F7C"/>
    <w:rsid w:val="00AE398A"/>
    <w:rsid w:val="00AE6B99"/>
    <w:rsid w:val="00B106E8"/>
    <w:rsid w:val="00B214F8"/>
    <w:rsid w:val="00B24E1E"/>
    <w:rsid w:val="00B31578"/>
    <w:rsid w:val="00B37364"/>
    <w:rsid w:val="00B40A13"/>
    <w:rsid w:val="00B51464"/>
    <w:rsid w:val="00B60BEC"/>
    <w:rsid w:val="00B679AC"/>
    <w:rsid w:val="00B7597E"/>
    <w:rsid w:val="00B9441F"/>
    <w:rsid w:val="00B96C93"/>
    <w:rsid w:val="00BA005D"/>
    <w:rsid w:val="00BE6210"/>
    <w:rsid w:val="00BF40E0"/>
    <w:rsid w:val="00C07806"/>
    <w:rsid w:val="00C10BDA"/>
    <w:rsid w:val="00C25627"/>
    <w:rsid w:val="00C32C69"/>
    <w:rsid w:val="00C34B8B"/>
    <w:rsid w:val="00C415C6"/>
    <w:rsid w:val="00C56441"/>
    <w:rsid w:val="00C6198B"/>
    <w:rsid w:val="00C720B7"/>
    <w:rsid w:val="00C82039"/>
    <w:rsid w:val="00C83D02"/>
    <w:rsid w:val="00C87C34"/>
    <w:rsid w:val="00C907C3"/>
    <w:rsid w:val="00C925A2"/>
    <w:rsid w:val="00CB3A30"/>
    <w:rsid w:val="00CC691C"/>
    <w:rsid w:val="00CD124A"/>
    <w:rsid w:val="00CE5011"/>
    <w:rsid w:val="00CE506D"/>
    <w:rsid w:val="00CF2676"/>
    <w:rsid w:val="00CF68DB"/>
    <w:rsid w:val="00D23BD9"/>
    <w:rsid w:val="00D256A1"/>
    <w:rsid w:val="00D37F92"/>
    <w:rsid w:val="00D41522"/>
    <w:rsid w:val="00D46BEC"/>
    <w:rsid w:val="00D62F2F"/>
    <w:rsid w:val="00D675E1"/>
    <w:rsid w:val="00D75DE3"/>
    <w:rsid w:val="00D917DD"/>
    <w:rsid w:val="00D93A0A"/>
    <w:rsid w:val="00DA114A"/>
    <w:rsid w:val="00DA6329"/>
    <w:rsid w:val="00DA7155"/>
    <w:rsid w:val="00DD3619"/>
    <w:rsid w:val="00DD3DB1"/>
    <w:rsid w:val="00DE43E7"/>
    <w:rsid w:val="00DE4AFE"/>
    <w:rsid w:val="00DF08DE"/>
    <w:rsid w:val="00E141EB"/>
    <w:rsid w:val="00E14721"/>
    <w:rsid w:val="00E31623"/>
    <w:rsid w:val="00E33FD5"/>
    <w:rsid w:val="00E34B24"/>
    <w:rsid w:val="00E35319"/>
    <w:rsid w:val="00E36BDC"/>
    <w:rsid w:val="00E6025A"/>
    <w:rsid w:val="00E60B42"/>
    <w:rsid w:val="00E616B4"/>
    <w:rsid w:val="00E658C5"/>
    <w:rsid w:val="00E717A2"/>
    <w:rsid w:val="00E955F8"/>
    <w:rsid w:val="00E9565D"/>
    <w:rsid w:val="00EA0754"/>
    <w:rsid w:val="00EA43F9"/>
    <w:rsid w:val="00EB3D13"/>
    <w:rsid w:val="00EB6ECB"/>
    <w:rsid w:val="00EC18BD"/>
    <w:rsid w:val="00EE3CAA"/>
    <w:rsid w:val="00EE56A3"/>
    <w:rsid w:val="00EF601B"/>
    <w:rsid w:val="00F177FD"/>
    <w:rsid w:val="00F20784"/>
    <w:rsid w:val="00F354AA"/>
    <w:rsid w:val="00F43207"/>
    <w:rsid w:val="00F447BE"/>
    <w:rsid w:val="00F45865"/>
    <w:rsid w:val="00F6260A"/>
    <w:rsid w:val="00F62848"/>
    <w:rsid w:val="00F65F2C"/>
    <w:rsid w:val="00F708D4"/>
    <w:rsid w:val="00F738CA"/>
    <w:rsid w:val="00F74D65"/>
    <w:rsid w:val="00FC0EE2"/>
    <w:rsid w:val="00FC4888"/>
    <w:rsid w:val="00FE398C"/>
    <w:rsid w:val="00FE475B"/>
    <w:rsid w:val="00FF6EF3"/>
    <w:rsid w:val="01294D36"/>
    <w:rsid w:val="012E5C3D"/>
    <w:rsid w:val="01596278"/>
    <w:rsid w:val="01FF05B0"/>
    <w:rsid w:val="027322C8"/>
    <w:rsid w:val="02C46B3B"/>
    <w:rsid w:val="02EA4C0A"/>
    <w:rsid w:val="031228B1"/>
    <w:rsid w:val="04847570"/>
    <w:rsid w:val="055F3E39"/>
    <w:rsid w:val="05887475"/>
    <w:rsid w:val="05E67587"/>
    <w:rsid w:val="063D4CBA"/>
    <w:rsid w:val="066757E2"/>
    <w:rsid w:val="08F57150"/>
    <w:rsid w:val="0A2037DA"/>
    <w:rsid w:val="0BFA471A"/>
    <w:rsid w:val="0D9C7FD3"/>
    <w:rsid w:val="0E283076"/>
    <w:rsid w:val="0FE57393"/>
    <w:rsid w:val="1019028D"/>
    <w:rsid w:val="10477F83"/>
    <w:rsid w:val="106D0FD1"/>
    <w:rsid w:val="11B100D2"/>
    <w:rsid w:val="11E44B84"/>
    <w:rsid w:val="121346AC"/>
    <w:rsid w:val="12CF134C"/>
    <w:rsid w:val="13451652"/>
    <w:rsid w:val="14377D86"/>
    <w:rsid w:val="14636068"/>
    <w:rsid w:val="153E77D1"/>
    <w:rsid w:val="15CE035D"/>
    <w:rsid w:val="166158D1"/>
    <w:rsid w:val="1AD46292"/>
    <w:rsid w:val="1C4F0C9B"/>
    <w:rsid w:val="1CB11B06"/>
    <w:rsid w:val="1CB551F1"/>
    <w:rsid w:val="1CE50533"/>
    <w:rsid w:val="1DF024F8"/>
    <w:rsid w:val="1E58492F"/>
    <w:rsid w:val="1EEA5E51"/>
    <w:rsid w:val="1F402FDC"/>
    <w:rsid w:val="1F5C5806"/>
    <w:rsid w:val="1F602366"/>
    <w:rsid w:val="204C2272"/>
    <w:rsid w:val="224E7891"/>
    <w:rsid w:val="22CC3A25"/>
    <w:rsid w:val="2347066D"/>
    <w:rsid w:val="234863C1"/>
    <w:rsid w:val="23651D68"/>
    <w:rsid w:val="236B2FA9"/>
    <w:rsid w:val="23F21345"/>
    <w:rsid w:val="24A26144"/>
    <w:rsid w:val="25847893"/>
    <w:rsid w:val="25C86AEE"/>
    <w:rsid w:val="25F82554"/>
    <w:rsid w:val="2677791D"/>
    <w:rsid w:val="27E40A54"/>
    <w:rsid w:val="29366156"/>
    <w:rsid w:val="297E30B2"/>
    <w:rsid w:val="29B51073"/>
    <w:rsid w:val="2A4E1F4A"/>
    <w:rsid w:val="2A703C9F"/>
    <w:rsid w:val="2AA5722A"/>
    <w:rsid w:val="2AEA516C"/>
    <w:rsid w:val="2C22657D"/>
    <w:rsid w:val="2C3A013A"/>
    <w:rsid w:val="2DFB45BD"/>
    <w:rsid w:val="2FC16F64"/>
    <w:rsid w:val="2FCD67FF"/>
    <w:rsid w:val="318851B7"/>
    <w:rsid w:val="31B45257"/>
    <w:rsid w:val="320A4A27"/>
    <w:rsid w:val="32132BEF"/>
    <w:rsid w:val="323808E2"/>
    <w:rsid w:val="323B7D2D"/>
    <w:rsid w:val="32467C43"/>
    <w:rsid w:val="324D5A3B"/>
    <w:rsid w:val="33401D90"/>
    <w:rsid w:val="34D61A5A"/>
    <w:rsid w:val="34E03158"/>
    <w:rsid w:val="352F0DFC"/>
    <w:rsid w:val="35A36CA7"/>
    <w:rsid w:val="35BA6C38"/>
    <w:rsid w:val="361B0F34"/>
    <w:rsid w:val="373C29F8"/>
    <w:rsid w:val="37610729"/>
    <w:rsid w:val="37EA142C"/>
    <w:rsid w:val="38704314"/>
    <w:rsid w:val="3B171553"/>
    <w:rsid w:val="3B7C3B77"/>
    <w:rsid w:val="3C346BF5"/>
    <w:rsid w:val="3C4036DC"/>
    <w:rsid w:val="3E19140C"/>
    <w:rsid w:val="3E4B7EE3"/>
    <w:rsid w:val="3EE02845"/>
    <w:rsid w:val="3F964E60"/>
    <w:rsid w:val="3FB337BE"/>
    <w:rsid w:val="403915FE"/>
    <w:rsid w:val="405E28B2"/>
    <w:rsid w:val="41FC48E5"/>
    <w:rsid w:val="42DC527F"/>
    <w:rsid w:val="4498183D"/>
    <w:rsid w:val="44B679EF"/>
    <w:rsid w:val="45D67B52"/>
    <w:rsid w:val="464C5EE2"/>
    <w:rsid w:val="4752235F"/>
    <w:rsid w:val="48C2013E"/>
    <w:rsid w:val="48F32361"/>
    <w:rsid w:val="494A0E00"/>
    <w:rsid w:val="49902CCA"/>
    <w:rsid w:val="4A3B5767"/>
    <w:rsid w:val="4B055DE4"/>
    <w:rsid w:val="4BB72D17"/>
    <w:rsid w:val="4BE85DEC"/>
    <w:rsid w:val="4C640E11"/>
    <w:rsid w:val="4CFF70C4"/>
    <w:rsid w:val="4E365708"/>
    <w:rsid w:val="4F3E6523"/>
    <w:rsid w:val="500B5F9E"/>
    <w:rsid w:val="50D35E3F"/>
    <w:rsid w:val="511113AF"/>
    <w:rsid w:val="52946D0D"/>
    <w:rsid w:val="52B60F6C"/>
    <w:rsid w:val="52E80BEB"/>
    <w:rsid w:val="53383DF4"/>
    <w:rsid w:val="54035574"/>
    <w:rsid w:val="547F435E"/>
    <w:rsid w:val="54801BF7"/>
    <w:rsid w:val="54CD2C7A"/>
    <w:rsid w:val="55302C55"/>
    <w:rsid w:val="557A3CDC"/>
    <w:rsid w:val="566A2AD8"/>
    <w:rsid w:val="567535C9"/>
    <w:rsid w:val="588E0972"/>
    <w:rsid w:val="58DC0A52"/>
    <w:rsid w:val="58E71B4B"/>
    <w:rsid w:val="58F31CDC"/>
    <w:rsid w:val="597B7BEF"/>
    <w:rsid w:val="5B306011"/>
    <w:rsid w:val="5C8D155C"/>
    <w:rsid w:val="5D075BDA"/>
    <w:rsid w:val="5D437BCF"/>
    <w:rsid w:val="5E6C2A09"/>
    <w:rsid w:val="5F724717"/>
    <w:rsid w:val="60691017"/>
    <w:rsid w:val="60A64AE8"/>
    <w:rsid w:val="60D97EB0"/>
    <w:rsid w:val="62806D72"/>
    <w:rsid w:val="62973DE6"/>
    <w:rsid w:val="63756674"/>
    <w:rsid w:val="64314CE2"/>
    <w:rsid w:val="643D0718"/>
    <w:rsid w:val="644863D0"/>
    <w:rsid w:val="65985786"/>
    <w:rsid w:val="65B96AE5"/>
    <w:rsid w:val="65F25193"/>
    <w:rsid w:val="65FE6E43"/>
    <w:rsid w:val="6681290C"/>
    <w:rsid w:val="669C06FE"/>
    <w:rsid w:val="670009BB"/>
    <w:rsid w:val="67402341"/>
    <w:rsid w:val="67A77C7E"/>
    <w:rsid w:val="67A9053E"/>
    <w:rsid w:val="68920EBE"/>
    <w:rsid w:val="69B9159D"/>
    <w:rsid w:val="6AB7136B"/>
    <w:rsid w:val="6B2364BB"/>
    <w:rsid w:val="6B584B7A"/>
    <w:rsid w:val="6BAC3191"/>
    <w:rsid w:val="6C4909E0"/>
    <w:rsid w:val="6C797180"/>
    <w:rsid w:val="6CDA643B"/>
    <w:rsid w:val="6D631F76"/>
    <w:rsid w:val="6D6B5B06"/>
    <w:rsid w:val="6ED9111D"/>
    <w:rsid w:val="6F5C38F3"/>
    <w:rsid w:val="70316AD7"/>
    <w:rsid w:val="70854AE1"/>
    <w:rsid w:val="70DF386D"/>
    <w:rsid w:val="70F032BB"/>
    <w:rsid w:val="71E82A49"/>
    <w:rsid w:val="72882D68"/>
    <w:rsid w:val="72CC459A"/>
    <w:rsid w:val="73652C13"/>
    <w:rsid w:val="745D1235"/>
    <w:rsid w:val="77613F96"/>
    <w:rsid w:val="77ED4F86"/>
    <w:rsid w:val="77FA6F61"/>
    <w:rsid w:val="78210A63"/>
    <w:rsid w:val="78620F7F"/>
    <w:rsid w:val="78CA0ED8"/>
    <w:rsid w:val="79E86229"/>
    <w:rsid w:val="7CA94449"/>
    <w:rsid w:val="7CE20129"/>
    <w:rsid w:val="7DA31EAC"/>
    <w:rsid w:val="7E19249B"/>
    <w:rsid w:val="7F2E53DC"/>
    <w:rsid w:val="7FA04963"/>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sz w:val="18"/>
      <w:szCs w:val="18"/>
    </w:rPr>
  </w:style>
  <w:style w:type="paragraph" w:styleId="3">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table" w:styleId="6">
    <w:name w:val="Table Grid"/>
    <w:basedOn w:val="5"/>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99"/>
    <w:rPr>
      <w:rFonts w:cs="Times New Roman"/>
      <w:b/>
    </w:rPr>
  </w:style>
  <w:style w:type="character" w:customStyle="1" w:styleId="9">
    <w:name w:val="页脚 Char"/>
    <w:basedOn w:val="7"/>
    <w:link w:val="2"/>
    <w:qFormat/>
    <w:locked/>
    <w:uiPriority w:val="99"/>
    <w:rPr>
      <w:rFonts w:cs="Times New Roman"/>
      <w:sz w:val="18"/>
      <w:szCs w:val="18"/>
    </w:rPr>
  </w:style>
  <w:style w:type="character" w:customStyle="1" w:styleId="10">
    <w:name w:val="页眉 Char"/>
    <w:basedOn w:val="7"/>
    <w:link w:val="3"/>
    <w:semiHidden/>
    <w:qFormat/>
    <w:locked/>
    <w:uiPriority w:val="99"/>
    <w:rPr>
      <w:rFonts w:cs="Times New Roman"/>
      <w:sz w:val="18"/>
      <w:szCs w:val="18"/>
    </w:rPr>
  </w:style>
  <w:style w:type="paragraph" w:customStyle="1" w:styleId="11">
    <w:name w:val="List Paragraph1"/>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2390</Words>
  <Characters>13625</Characters>
  <Lines>113</Lines>
  <Paragraphs>31</Paragraphs>
  <TotalTime>3</TotalTime>
  <ScaleCrop>false</ScaleCrop>
  <LinksUpToDate>false</LinksUpToDate>
  <CharactersWithSpaces>15984</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2021-02-01T00:18:00Z</dcterms:created>
  <dc:creator>刘海</dc:creator>
  <cp:lastModifiedBy>DAI</cp:lastModifiedBy>
  <cp:lastPrinted>2021-02-07T07:09:00Z</cp:lastPrinted>
  <dcterms:modified xsi:type="dcterms:W3CDTF">2026-06-25T00:33:03Z</dcterms:modified>
  <cp:revision>248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7A83B8FB721D47CBBFA376531D257072</vt:lpwstr>
  </property>
</Properties>
</file>