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328D7">
      <w:pPr>
        <w:snapToGrid w:val="0"/>
        <w:spacing w:line="440" w:lineRule="exact"/>
        <w:jc w:val="center"/>
        <w:rPr>
          <w:rFonts w:eastAsia="方正小标宋简体"/>
          <w:color w:val="000000"/>
          <w:sz w:val="32"/>
          <w:szCs w:val="32"/>
        </w:rPr>
      </w:pPr>
      <w:r>
        <w:rPr>
          <w:rFonts w:hint="eastAsia" w:eastAsia="方正小标宋简体"/>
          <w:color w:val="000000"/>
          <w:sz w:val="32"/>
          <w:szCs w:val="32"/>
        </w:rPr>
        <w:t>淮南市</w:t>
      </w:r>
      <w:bookmarkStart w:id="0" w:name="OLE_LINK22"/>
      <w:bookmarkStart w:id="1" w:name="OLE_LINK23"/>
      <w:r>
        <w:rPr>
          <w:rFonts w:hint="eastAsia" w:eastAsia="方正小标宋简体"/>
          <w:color w:val="000000"/>
          <w:sz w:val="32"/>
          <w:szCs w:val="32"/>
        </w:rPr>
        <w:t>涂料、腻子</w:t>
      </w:r>
      <w:r>
        <w:rPr>
          <w:rFonts w:eastAsia="方正小标宋简体"/>
          <w:color w:val="000000"/>
          <w:sz w:val="32"/>
          <w:szCs w:val="32"/>
        </w:rPr>
        <w:t>产</w:t>
      </w:r>
      <w:bookmarkStart w:id="12" w:name="_GoBack"/>
      <w:bookmarkEnd w:id="12"/>
      <w:r>
        <w:rPr>
          <w:rFonts w:eastAsia="方正小标宋简体"/>
          <w:color w:val="000000"/>
          <w:sz w:val="32"/>
          <w:szCs w:val="32"/>
        </w:rPr>
        <w:t>品质量监督抽查实施细则</w:t>
      </w:r>
    </w:p>
    <w:bookmarkEnd w:id="0"/>
    <w:bookmarkEnd w:id="1"/>
    <w:p w14:paraId="5512D38D">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6</w:t>
      </w:r>
      <w:r>
        <w:rPr>
          <w:rFonts w:eastAsia="方正小标宋简体"/>
          <w:color w:val="000000"/>
          <w:sz w:val="32"/>
          <w:szCs w:val="32"/>
        </w:rPr>
        <w:t>版）</w:t>
      </w:r>
    </w:p>
    <w:p w14:paraId="6430B3B1">
      <w:pPr>
        <w:snapToGrid w:val="0"/>
        <w:spacing w:line="440" w:lineRule="exact"/>
        <w:rPr>
          <w:rFonts w:eastAsia="黑体"/>
          <w:color w:val="000000"/>
          <w:szCs w:val="21"/>
        </w:rPr>
      </w:pPr>
      <w:r>
        <w:rPr>
          <w:rFonts w:eastAsia="黑体"/>
          <w:color w:val="000000"/>
          <w:szCs w:val="21"/>
        </w:rPr>
        <w:t>1 抽样方法</w:t>
      </w:r>
    </w:p>
    <w:p w14:paraId="1F156D83">
      <w:pPr>
        <w:adjustRightInd w:val="0"/>
        <w:snapToGrid w:val="0"/>
        <w:spacing w:line="400" w:lineRule="exact"/>
        <w:ind w:firstLine="420" w:firstLineChars="200"/>
        <w:rPr>
          <w:rFonts w:asciiTheme="minorEastAsia" w:hAnsiTheme="minorEastAsia" w:eastAsiaTheme="minorEastAsia"/>
          <w:color w:val="000000"/>
        </w:rPr>
      </w:pPr>
      <w:r>
        <w:rPr>
          <w:rFonts w:hint="eastAsia" w:asciiTheme="minorEastAsia" w:hAnsiTheme="minorEastAsia" w:eastAsiaTheme="minorEastAsia"/>
          <w:color w:val="000000"/>
        </w:rPr>
        <w:t>以随机抽样的方式在被抽样生产者、销售者的待销产品中抽取。</w:t>
      </w:r>
    </w:p>
    <w:p w14:paraId="1733DAA6">
      <w:pPr>
        <w:adjustRightInd w:val="0"/>
        <w:snapToGrid w:val="0"/>
        <w:spacing w:line="400" w:lineRule="exact"/>
        <w:ind w:firstLine="420" w:firstLineChars="200"/>
        <w:rPr>
          <w:rFonts w:asciiTheme="minorEastAsia" w:hAnsiTheme="minorEastAsia" w:eastAsiaTheme="minorEastAsia"/>
          <w:color w:val="000000"/>
        </w:rPr>
      </w:pPr>
      <w:r>
        <w:rPr>
          <w:rFonts w:hint="eastAsia" w:asciiTheme="minorEastAsia" w:hAnsiTheme="minorEastAsia" w:eastAsiaTheme="minorEastAsia"/>
          <w:color w:val="000000"/>
        </w:rPr>
        <w:t>随机数一般可使用随机数表等方法产生。</w:t>
      </w:r>
    </w:p>
    <w:p w14:paraId="46AF3156">
      <w:pPr>
        <w:adjustRightInd w:val="0"/>
        <w:snapToGrid w:val="0"/>
        <w:spacing w:line="400" w:lineRule="exact"/>
        <w:ind w:firstLine="420" w:firstLineChars="200"/>
        <w:rPr>
          <w:rFonts w:asciiTheme="minorEastAsia" w:hAnsiTheme="minorEastAsia" w:eastAsiaTheme="minorEastAsia"/>
          <w:color w:val="000000"/>
        </w:rPr>
      </w:pPr>
      <w:r>
        <w:rPr>
          <w:rFonts w:hint="eastAsia" w:asciiTheme="minorEastAsia" w:hAnsiTheme="minorEastAsia" w:eastAsiaTheme="minorEastAsia"/>
          <w:color w:val="000000"/>
        </w:rPr>
        <w:t>抽样产品：涂料、腻子。</w:t>
      </w:r>
    </w:p>
    <w:p w14:paraId="576996F3">
      <w:pPr>
        <w:snapToGrid w:val="0"/>
        <w:spacing w:line="400" w:lineRule="exact"/>
        <w:ind w:firstLine="420" w:firstLineChars="200"/>
        <w:rPr>
          <w:rFonts w:asciiTheme="minorEastAsia" w:hAnsiTheme="minorEastAsia" w:eastAsiaTheme="minorEastAsia"/>
          <w:szCs w:val="21"/>
        </w:rPr>
      </w:pPr>
      <w:r>
        <w:rPr>
          <w:rFonts w:asciiTheme="minorEastAsia" w:hAnsiTheme="minorEastAsia" w:eastAsiaTheme="minorEastAsia"/>
          <w:szCs w:val="21"/>
        </w:rPr>
        <w:t>抽取2份样品，</w:t>
      </w:r>
      <w:r>
        <w:rPr>
          <w:rFonts w:asciiTheme="minorEastAsia" w:hAnsiTheme="minorEastAsia" w:eastAsiaTheme="minorEastAsia"/>
        </w:rPr>
        <w:t>每份不少于</w:t>
      </w:r>
      <w:r>
        <w:rPr>
          <w:rFonts w:hint="eastAsia" w:asciiTheme="minorEastAsia" w:hAnsiTheme="minorEastAsia" w:eastAsiaTheme="minorEastAsia"/>
        </w:rPr>
        <w:t>3</w:t>
      </w:r>
      <w:r>
        <w:rPr>
          <w:rFonts w:asciiTheme="minorEastAsia" w:hAnsiTheme="minorEastAsia" w:eastAsiaTheme="minorEastAsia"/>
        </w:rPr>
        <w:t>kg，</w:t>
      </w:r>
      <w:r>
        <w:rPr>
          <w:rFonts w:asciiTheme="minorEastAsia" w:hAnsiTheme="minorEastAsia" w:eastAsiaTheme="minorEastAsia"/>
          <w:szCs w:val="21"/>
        </w:rPr>
        <w:t>一份为检验样品，一份为备用样品。</w:t>
      </w:r>
    </w:p>
    <w:p w14:paraId="33AB0A41">
      <w:pPr>
        <w:snapToGrid w:val="0"/>
        <w:spacing w:line="4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当独立包装产品质量小于5kg时，应尽量整包装抽取，避免分装。</w:t>
      </w:r>
    </w:p>
    <w:p w14:paraId="4C0E6796">
      <w:pPr>
        <w:snapToGrid w:val="0"/>
        <w:spacing w:line="400" w:lineRule="exact"/>
        <w:ind w:firstLine="420" w:firstLineChars="200"/>
        <w:rPr>
          <w:rFonts w:ascii="宋体" w:hAnsi="宋体" w:cs="方正仿宋简体"/>
        </w:rPr>
      </w:pPr>
      <w:r>
        <w:rPr>
          <w:rFonts w:hint="eastAsia" w:asciiTheme="minorEastAsia" w:hAnsiTheme="minorEastAsia" w:eastAsiaTheme="minorEastAsia"/>
          <w:szCs w:val="21"/>
        </w:rPr>
        <w:t>当独立包装产品质量大于5kg时，搅拌均匀后抽取样品，用液体取样勺取样，在一个清洁、干燥的容器中混合，尽快取出两份均匀样品，每份样品至少3kg，然后将样品装入洁净、密封的容器。配套产品按照配比抽取适量样品。</w:t>
      </w:r>
      <w:r>
        <w:rPr>
          <w:rFonts w:hint="eastAsia" w:ascii="宋体" w:hAnsi="宋体" w:cs="方正仿宋简体"/>
        </w:rPr>
        <w:t>（流通流域抽样时</w:t>
      </w:r>
      <w:r>
        <w:rPr>
          <w:rFonts w:hint="eastAsia"/>
          <w:szCs w:val="21"/>
        </w:rPr>
        <w:t>整包装抽取，避免分装</w:t>
      </w:r>
      <w:r>
        <w:rPr>
          <w:rFonts w:hint="eastAsia" w:ascii="宋体" w:hAnsi="宋体" w:cs="方正仿宋简体"/>
        </w:rPr>
        <w:t>）</w:t>
      </w:r>
    </w:p>
    <w:p w14:paraId="1FA15DCE">
      <w:pPr>
        <w:snapToGrid w:val="0"/>
        <w:spacing w:line="440" w:lineRule="exact"/>
        <w:rPr>
          <w:rFonts w:eastAsia="黑体"/>
          <w:color w:val="000000"/>
          <w:szCs w:val="21"/>
        </w:rPr>
      </w:pPr>
      <w:r>
        <w:rPr>
          <w:rFonts w:eastAsia="黑体"/>
          <w:color w:val="000000"/>
          <w:szCs w:val="21"/>
        </w:rPr>
        <w:t>2 检验依据</w:t>
      </w:r>
    </w:p>
    <w:p w14:paraId="126CAF9C">
      <w:pPr>
        <w:jc w:val="center"/>
        <w:rPr>
          <w:rFonts w:ascii="宋体" w:hAnsi="宋体"/>
          <w:b/>
          <w:szCs w:val="21"/>
        </w:rPr>
      </w:pPr>
      <w:r>
        <w:rPr>
          <w:rFonts w:ascii="宋体" w:hAnsi="宋体"/>
          <w:b/>
          <w:szCs w:val="21"/>
        </w:rPr>
        <w:t>表</w:t>
      </w:r>
      <w:r>
        <w:rPr>
          <w:rFonts w:hint="eastAsia" w:ascii="宋体" w:hAnsi="宋体"/>
          <w:b/>
          <w:szCs w:val="21"/>
        </w:rPr>
        <w:t xml:space="preserve">1  </w:t>
      </w:r>
      <w:r>
        <w:rPr>
          <w:rFonts w:ascii="宋体" w:hAnsi="宋体"/>
          <w:b/>
          <w:szCs w:val="21"/>
        </w:rPr>
        <w:t>涂料检验项目</w:t>
      </w:r>
    </w:p>
    <w:tbl>
      <w:tblPr>
        <w:tblStyle w:val="8"/>
        <w:tblW w:w="4412" w:type="pct"/>
        <w:jc w:val="center"/>
        <w:tblLayout w:type="autofit"/>
        <w:tblCellMar>
          <w:top w:w="0" w:type="dxa"/>
          <w:left w:w="0" w:type="dxa"/>
          <w:bottom w:w="0" w:type="dxa"/>
          <w:right w:w="0" w:type="dxa"/>
        </w:tblCellMar>
      </w:tblPr>
      <w:tblGrid>
        <w:gridCol w:w="1046"/>
        <w:gridCol w:w="3583"/>
        <w:gridCol w:w="3466"/>
      </w:tblGrid>
      <w:tr w14:paraId="5CB3E4CB">
        <w:tblPrEx>
          <w:tblCellMar>
            <w:top w:w="0" w:type="dxa"/>
            <w:left w:w="0" w:type="dxa"/>
            <w:bottom w:w="0" w:type="dxa"/>
            <w:right w:w="0" w:type="dxa"/>
          </w:tblCellMar>
        </w:tblPrEx>
        <w:trPr>
          <w:trHeight w:val="340" w:hRule="exact"/>
          <w:jc w:val="center"/>
        </w:trPr>
        <w:tc>
          <w:tcPr>
            <w:tcW w:w="646" w:type="pct"/>
            <w:vMerge w:val="restart"/>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14:paraId="47EF2F90">
            <w:pPr>
              <w:jc w:val="center"/>
              <w:rPr>
                <w:szCs w:val="21"/>
              </w:rPr>
            </w:pPr>
            <w:r>
              <w:rPr>
                <w:rFonts w:hAnsi="宋体"/>
                <w:b/>
                <w:bCs/>
                <w:szCs w:val="21"/>
              </w:rPr>
              <w:t>序号</w:t>
            </w:r>
          </w:p>
        </w:tc>
        <w:tc>
          <w:tcPr>
            <w:tcW w:w="2213" w:type="pct"/>
            <w:vMerge w:val="restart"/>
            <w:tcBorders>
              <w:top w:val="single" w:color="auto" w:sz="8" w:space="0"/>
              <w:left w:val="nil"/>
              <w:bottom w:val="single" w:color="auto" w:sz="8" w:space="0"/>
              <w:right w:val="single" w:color="auto" w:sz="8" w:space="0"/>
            </w:tcBorders>
            <w:tcMar>
              <w:top w:w="0" w:type="dxa"/>
              <w:left w:w="108" w:type="dxa"/>
              <w:bottom w:w="0" w:type="dxa"/>
              <w:right w:w="108" w:type="dxa"/>
            </w:tcMar>
            <w:vAlign w:val="center"/>
          </w:tcPr>
          <w:p w14:paraId="1707F535">
            <w:pPr>
              <w:jc w:val="center"/>
              <w:rPr>
                <w:szCs w:val="21"/>
              </w:rPr>
            </w:pPr>
            <w:r>
              <w:rPr>
                <w:rFonts w:hAnsi="宋体"/>
                <w:b/>
                <w:bCs/>
                <w:szCs w:val="21"/>
              </w:rPr>
              <w:t>检验项目</w:t>
            </w:r>
          </w:p>
        </w:tc>
        <w:tc>
          <w:tcPr>
            <w:tcW w:w="2141" w:type="pct"/>
            <w:vMerge w:val="restart"/>
            <w:tcBorders>
              <w:top w:val="single" w:color="auto" w:sz="8" w:space="0"/>
              <w:left w:val="nil"/>
              <w:right w:val="single" w:color="auto" w:sz="8" w:space="0"/>
            </w:tcBorders>
            <w:tcMar>
              <w:top w:w="0" w:type="dxa"/>
              <w:left w:w="108" w:type="dxa"/>
              <w:bottom w:w="0" w:type="dxa"/>
              <w:right w:w="108" w:type="dxa"/>
            </w:tcMar>
            <w:vAlign w:val="center"/>
          </w:tcPr>
          <w:p w14:paraId="18A166EB">
            <w:pPr>
              <w:jc w:val="center"/>
              <w:rPr>
                <w:szCs w:val="21"/>
              </w:rPr>
            </w:pPr>
            <w:r>
              <w:rPr>
                <w:rFonts w:hAnsi="宋体"/>
                <w:b/>
                <w:bCs/>
                <w:szCs w:val="21"/>
              </w:rPr>
              <w:t>检验方法</w:t>
            </w:r>
          </w:p>
        </w:tc>
      </w:tr>
      <w:tr w14:paraId="24A89010">
        <w:tblPrEx>
          <w:tblCellMar>
            <w:top w:w="0" w:type="dxa"/>
            <w:left w:w="0" w:type="dxa"/>
            <w:bottom w:w="0" w:type="dxa"/>
            <w:right w:w="0" w:type="dxa"/>
          </w:tblCellMar>
        </w:tblPrEx>
        <w:trPr>
          <w:trHeight w:val="369" w:hRule="exact"/>
          <w:jc w:val="center"/>
        </w:trPr>
        <w:tc>
          <w:tcPr>
            <w:tcW w:w="646" w:type="pct"/>
            <w:vMerge w:val="continue"/>
            <w:tcBorders>
              <w:top w:val="single" w:color="auto" w:sz="8" w:space="0"/>
              <w:left w:val="single" w:color="auto" w:sz="8" w:space="0"/>
              <w:bottom w:val="single" w:color="auto" w:sz="8" w:space="0"/>
              <w:right w:val="single" w:color="auto" w:sz="8" w:space="0"/>
            </w:tcBorders>
            <w:vAlign w:val="center"/>
          </w:tcPr>
          <w:p w14:paraId="1D7881AE">
            <w:pPr>
              <w:rPr>
                <w:szCs w:val="21"/>
              </w:rPr>
            </w:pPr>
          </w:p>
        </w:tc>
        <w:tc>
          <w:tcPr>
            <w:tcW w:w="2213" w:type="pct"/>
            <w:vMerge w:val="continue"/>
            <w:tcBorders>
              <w:top w:val="single" w:color="auto" w:sz="8" w:space="0"/>
              <w:left w:val="nil"/>
              <w:bottom w:val="single" w:color="auto" w:sz="8" w:space="0"/>
              <w:right w:val="single" w:color="auto" w:sz="8" w:space="0"/>
            </w:tcBorders>
            <w:vAlign w:val="center"/>
          </w:tcPr>
          <w:p w14:paraId="6792B11B">
            <w:pPr>
              <w:rPr>
                <w:szCs w:val="21"/>
              </w:rPr>
            </w:pPr>
          </w:p>
        </w:tc>
        <w:tc>
          <w:tcPr>
            <w:tcW w:w="2141" w:type="pct"/>
            <w:vMerge w:val="continue"/>
            <w:tcBorders>
              <w:left w:val="nil"/>
              <w:bottom w:val="single" w:color="auto" w:sz="8" w:space="0"/>
              <w:right w:val="single" w:color="auto" w:sz="8" w:space="0"/>
            </w:tcBorders>
            <w:vAlign w:val="center"/>
          </w:tcPr>
          <w:p w14:paraId="538D40CE">
            <w:pPr>
              <w:rPr>
                <w:szCs w:val="21"/>
              </w:rPr>
            </w:pPr>
          </w:p>
        </w:tc>
      </w:tr>
      <w:tr w14:paraId="14E36C70">
        <w:tblPrEx>
          <w:tblCellMar>
            <w:top w:w="0" w:type="dxa"/>
            <w:left w:w="0" w:type="dxa"/>
            <w:bottom w:w="0" w:type="dxa"/>
            <w:right w:w="0" w:type="dxa"/>
          </w:tblCellMar>
        </w:tblPrEx>
        <w:trPr>
          <w:trHeight w:val="397" w:hRule="atLeast"/>
          <w:jc w:val="center"/>
        </w:trPr>
        <w:tc>
          <w:tcPr>
            <w:tcW w:w="646"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32F77E99">
            <w:pPr>
              <w:jc w:val="center"/>
              <w:rPr>
                <w:rFonts w:eastAsiaTheme="minorEastAsia"/>
                <w:szCs w:val="21"/>
              </w:rPr>
            </w:pPr>
            <w:r>
              <w:rPr>
                <w:rFonts w:eastAsiaTheme="minorEastAsia"/>
                <w:szCs w:val="21"/>
              </w:rPr>
              <w:t>1</w:t>
            </w:r>
          </w:p>
        </w:tc>
        <w:tc>
          <w:tcPr>
            <w:tcW w:w="2213" w:type="pct"/>
            <w:tcBorders>
              <w:top w:val="nil"/>
              <w:left w:val="nil"/>
              <w:bottom w:val="single" w:color="auto" w:sz="8" w:space="0"/>
              <w:right w:val="single" w:color="auto" w:sz="8" w:space="0"/>
            </w:tcBorders>
            <w:tcMar>
              <w:top w:w="0" w:type="dxa"/>
              <w:left w:w="108" w:type="dxa"/>
              <w:bottom w:w="0" w:type="dxa"/>
              <w:right w:w="108" w:type="dxa"/>
            </w:tcMar>
            <w:vAlign w:val="center"/>
          </w:tcPr>
          <w:p w14:paraId="149FB6EA">
            <w:pPr>
              <w:jc w:val="center"/>
              <w:rPr>
                <w:rFonts w:eastAsiaTheme="minorEastAsia"/>
                <w:szCs w:val="21"/>
              </w:rPr>
            </w:pPr>
            <w:r>
              <w:rPr>
                <w:rFonts w:hAnsiTheme="minorEastAsia" w:eastAsiaTheme="minorEastAsia"/>
                <w:szCs w:val="21"/>
              </w:rPr>
              <w:t>在容器中状态</w:t>
            </w:r>
          </w:p>
        </w:tc>
        <w:tc>
          <w:tcPr>
            <w:tcW w:w="2141" w:type="pct"/>
            <w:tcBorders>
              <w:top w:val="nil"/>
              <w:left w:val="nil"/>
              <w:bottom w:val="single" w:color="auto" w:sz="8" w:space="0"/>
              <w:right w:val="single" w:color="auto" w:sz="8" w:space="0"/>
            </w:tcBorders>
            <w:tcMar>
              <w:top w:w="0" w:type="dxa"/>
              <w:left w:w="108" w:type="dxa"/>
              <w:bottom w:w="0" w:type="dxa"/>
              <w:right w:w="108" w:type="dxa"/>
            </w:tcMar>
            <w:vAlign w:val="center"/>
          </w:tcPr>
          <w:p w14:paraId="5CED8D46">
            <w:pPr>
              <w:snapToGrid w:val="0"/>
              <w:spacing w:line="320" w:lineRule="exact"/>
              <w:jc w:val="center"/>
              <w:rPr>
                <w:rFonts w:eastAsiaTheme="minorEastAsia"/>
                <w:szCs w:val="21"/>
              </w:rPr>
            </w:pPr>
            <w:bookmarkStart w:id="2" w:name="OLE_LINK29"/>
            <w:bookmarkStart w:id="3" w:name="OLE_LINK28"/>
            <w:r>
              <w:rPr>
                <w:rFonts w:eastAsiaTheme="minorEastAsia"/>
                <w:szCs w:val="21"/>
              </w:rPr>
              <w:t>GB/T 1727—2021</w:t>
            </w:r>
          </w:p>
          <w:bookmarkEnd w:id="2"/>
          <w:bookmarkEnd w:id="3"/>
          <w:p w14:paraId="379B1756">
            <w:pPr>
              <w:snapToGrid w:val="0"/>
              <w:spacing w:line="320" w:lineRule="exact"/>
              <w:jc w:val="center"/>
              <w:rPr>
                <w:rFonts w:eastAsiaTheme="minorEastAsia"/>
                <w:szCs w:val="21"/>
              </w:rPr>
            </w:pPr>
            <w:r>
              <w:rPr>
                <w:rFonts w:eastAsiaTheme="minorEastAsia"/>
                <w:szCs w:val="21"/>
              </w:rPr>
              <w:t>JG/T 24—2018</w:t>
            </w:r>
          </w:p>
        </w:tc>
      </w:tr>
      <w:tr w14:paraId="6B897819">
        <w:tblPrEx>
          <w:tblCellMar>
            <w:top w:w="0" w:type="dxa"/>
            <w:left w:w="0" w:type="dxa"/>
            <w:bottom w:w="0" w:type="dxa"/>
            <w:right w:w="0" w:type="dxa"/>
          </w:tblCellMar>
        </w:tblPrEx>
        <w:trPr>
          <w:trHeight w:val="397" w:hRule="atLeast"/>
          <w:jc w:val="center"/>
        </w:trPr>
        <w:tc>
          <w:tcPr>
            <w:tcW w:w="646"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2FF5C059">
            <w:pPr>
              <w:jc w:val="center"/>
              <w:rPr>
                <w:rFonts w:eastAsiaTheme="minorEastAsia"/>
                <w:szCs w:val="21"/>
              </w:rPr>
            </w:pPr>
            <w:r>
              <w:rPr>
                <w:rFonts w:eastAsiaTheme="minorEastAsia"/>
                <w:szCs w:val="21"/>
              </w:rPr>
              <w:t>2</w:t>
            </w:r>
          </w:p>
        </w:tc>
        <w:tc>
          <w:tcPr>
            <w:tcW w:w="2213" w:type="pct"/>
            <w:tcBorders>
              <w:top w:val="nil"/>
              <w:left w:val="nil"/>
              <w:bottom w:val="single" w:color="auto" w:sz="8" w:space="0"/>
              <w:right w:val="single" w:color="auto" w:sz="8" w:space="0"/>
            </w:tcBorders>
            <w:tcMar>
              <w:top w:w="0" w:type="dxa"/>
              <w:left w:w="108" w:type="dxa"/>
              <w:bottom w:w="0" w:type="dxa"/>
              <w:right w:w="108" w:type="dxa"/>
            </w:tcMar>
            <w:vAlign w:val="center"/>
          </w:tcPr>
          <w:p w14:paraId="0E645BEB">
            <w:pPr>
              <w:jc w:val="center"/>
              <w:rPr>
                <w:rFonts w:eastAsiaTheme="minorEastAsia"/>
                <w:szCs w:val="21"/>
              </w:rPr>
            </w:pPr>
            <w:r>
              <w:rPr>
                <w:rFonts w:hAnsiTheme="minorEastAsia" w:eastAsiaTheme="minorEastAsia"/>
                <w:szCs w:val="21"/>
              </w:rPr>
              <w:t>施工性</w:t>
            </w:r>
          </w:p>
        </w:tc>
        <w:tc>
          <w:tcPr>
            <w:tcW w:w="2141" w:type="pct"/>
            <w:tcBorders>
              <w:top w:val="nil"/>
              <w:left w:val="nil"/>
              <w:bottom w:val="single" w:color="auto" w:sz="8" w:space="0"/>
              <w:right w:val="single" w:color="auto" w:sz="8" w:space="0"/>
            </w:tcBorders>
            <w:tcMar>
              <w:top w:w="0" w:type="dxa"/>
              <w:left w:w="108" w:type="dxa"/>
              <w:bottom w:w="0" w:type="dxa"/>
              <w:right w:w="108" w:type="dxa"/>
            </w:tcMar>
            <w:vAlign w:val="center"/>
          </w:tcPr>
          <w:p w14:paraId="11A4DD9D">
            <w:pPr>
              <w:snapToGrid w:val="0"/>
              <w:spacing w:line="320" w:lineRule="exact"/>
              <w:jc w:val="center"/>
              <w:rPr>
                <w:rFonts w:eastAsiaTheme="minorEastAsia"/>
                <w:szCs w:val="21"/>
              </w:rPr>
            </w:pPr>
            <w:bookmarkStart w:id="4" w:name="OLE_LINK26"/>
            <w:bookmarkStart w:id="5" w:name="OLE_LINK27"/>
            <w:r>
              <w:rPr>
                <w:rFonts w:eastAsiaTheme="minorEastAsia"/>
                <w:szCs w:val="21"/>
              </w:rPr>
              <w:t>GB/T 9755—2024</w:t>
            </w:r>
          </w:p>
          <w:bookmarkEnd w:id="4"/>
          <w:bookmarkEnd w:id="5"/>
          <w:p w14:paraId="13DB89F9">
            <w:pPr>
              <w:snapToGrid w:val="0"/>
              <w:spacing w:line="320" w:lineRule="exact"/>
              <w:jc w:val="center"/>
              <w:rPr>
                <w:rFonts w:eastAsiaTheme="minorEastAsia"/>
                <w:szCs w:val="21"/>
              </w:rPr>
            </w:pPr>
            <w:r>
              <w:rPr>
                <w:rFonts w:eastAsiaTheme="minorEastAsia"/>
                <w:szCs w:val="21"/>
              </w:rPr>
              <w:t>JG/T 24—2018</w:t>
            </w:r>
          </w:p>
        </w:tc>
      </w:tr>
      <w:tr w14:paraId="1973D734">
        <w:tblPrEx>
          <w:tblCellMar>
            <w:top w:w="0" w:type="dxa"/>
            <w:left w:w="0" w:type="dxa"/>
            <w:bottom w:w="0" w:type="dxa"/>
            <w:right w:w="0" w:type="dxa"/>
          </w:tblCellMar>
        </w:tblPrEx>
        <w:trPr>
          <w:trHeight w:val="397" w:hRule="atLeast"/>
          <w:jc w:val="center"/>
        </w:trPr>
        <w:tc>
          <w:tcPr>
            <w:tcW w:w="646"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187EB9F2">
            <w:pPr>
              <w:jc w:val="center"/>
              <w:rPr>
                <w:rFonts w:eastAsiaTheme="minorEastAsia"/>
                <w:szCs w:val="21"/>
              </w:rPr>
            </w:pPr>
            <w:r>
              <w:rPr>
                <w:rFonts w:eastAsiaTheme="minorEastAsia"/>
                <w:szCs w:val="21"/>
              </w:rPr>
              <w:t>3</w:t>
            </w:r>
          </w:p>
        </w:tc>
        <w:tc>
          <w:tcPr>
            <w:tcW w:w="2213" w:type="pct"/>
            <w:tcBorders>
              <w:top w:val="nil"/>
              <w:left w:val="nil"/>
              <w:bottom w:val="single" w:color="auto" w:sz="8" w:space="0"/>
              <w:right w:val="single" w:color="auto" w:sz="8" w:space="0"/>
            </w:tcBorders>
            <w:tcMar>
              <w:top w:w="0" w:type="dxa"/>
              <w:left w:w="108" w:type="dxa"/>
              <w:bottom w:w="0" w:type="dxa"/>
              <w:right w:w="108" w:type="dxa"/>
            </w:tcMar>
            <w:vAlign w:val="center"/>
          </w:tcPr>
          <w:p w14:paraId="4AB94CEB">
            <w:pPr>
              <w:snapToGrid w:val="0"/>
              <w:jc w:val="center"/>
              <w:rPr>
                <w:rFonts w:eastAsiaTheme="minorEastAsia"/>
                <w:szCs w:val="21"/>
              </w:rPr>
            </w:pPr>
            <w:r>
              <w:rPr>
                <w:rFonts w:hAnsiTheme="minorEastAsia" w:eastAsiaTheme="minorEastAsia"/>
                <w:szCs w:val="21"/>
              </w:rPr>
              <w:t>涂膜外观</w:t>
            </w:r>
          </w:p>
        </w:tc>
        <w:tc>
          <w:tcPr>
            <w:tcW w:w="2141" w:type="pct"/>
            <w:tcBorders>
              <w:top w:val="nil"/>
              <w:left w:val="nil"/>
              <w:bottom w:val="single" w:color="auto" w:sz="8" w:space="0"/>
              <w:right w:val="single" w:color="auto" w:sz="8" w:space="0"/>
            </w:tcBorders>
            <w:tcMar>
              <w:top w:w="0" w:type="dxa"/>
              <w:left w:w="108" w:type="dxa"/>
              <w:bottom w:w="0" w:type="dxa"/>
              <w:right w:w="108" w:type="dxa"/>
            </w:tcMar>
            <w:vAlign w:val="center"/>
          </w:tcPr>
          <w:p w14:paraId="09887085">
            <w:pPr>
              <w:snapToGrid w:val="0"/>
              <w:spacing w:line="320" w:lineRule="exact"/>
              <w:jc w:val="center"/>
              <w:rPr>
                <w:rFonts w:eastAsiaTheme="minorEastAsia"/>
                <w:szCs w:val="21"/>
              </w:rPr>
            </w:pPr>
            <w:r>
              <w:rPr>
                <w:rFonts w:eastAsiaTheme="minorEastAsia"/>
                <w:szCs w:val="21"/>
              </w:rPr>
              <w:t>GB/T 9755—2024</w:t>
            </w:r>
          </w:p>
          <w:p w14:paraId="2288F8C2">
            <w:pPr>
              <w:snapToGrid w:val="0"/>
              <w:spacing w:line="320" w:lineRule="exact"/>
              <w:jc w:val="center"/>
              <w:rPr>
                <w:rFonts w:eastAsiaTheme="minorEastAsia"/>
                <w:szCs w:val="21"/>
              </w:rPr>
            </w:pPr>
            <w:r>
              <w:rPr>
                <w:rFonts w:eastAsiaTheme="minorEastAsia"/>
                <w:szCs w:val="21"/>
              </w:rPr>
              <w:t>GB/T 1727—2021</w:t>
            </w:r>
          </w:p>
          <w:p w14:paraId="709F4F41">
            <w:pPr>
              <w:snapToGrid w:val="0"/>
              <w:spacing w:line="320" w:lineRule="exact"/>
              <w:jc w:val="center"/>
              <w:rPr>
                <w:rFonts w:eastAsiaTheme="minorEastAsia"/>
                <w:szCs w:val="21"/>
              </w:rPr>
            </w:pPr>
            <w:r>
              <w:rPr>
                <w:rFonts w:eastAsiaTheme="minorEastAsia"/>
                <w:szCs w:val="21"/>
              </w:rPr>
              <w:t>GB/T 37356—2019</w:t>
            </w:r>
          </w:p>
        </w:tc>
      </w:tr>
      <w:tr w14:paraId="56418F58">
        <w:tblPrEx>
          <w:tblCellMar>
            <w:top w:w="0" w:type="dxa"/>
            <w:left w:w="0" w:type="dxa"/>
            <w:bottom w:w="0" w:type="dxa"/>
            <w:right w:w="0" w:type="dxa"/>
          </w:tblCellMar>
        </w:tblPrEx>
        <w:trPr>
          <w:trHeight w:val="397" w:hRule="atLeast"/>
          <w:jc w:val="center"/>
        </w:trPr>
        <w:tc>
          <w:tcPr>
            <w:tcW w:w="646" w:type="pct"/>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14:paraId="64AD1A9B">
            <w:pPr>
              <w:jc w:val="center"/>
              <w:rPr>
                <w:rFonts w:eastAsiaTheme="minorEastAsia"/>
                <w:szCs w:val="21"/>
              </w:rPr>
            </w:pPr>
            <w:r>
              <w:rPr>
                <w:rFonts w:eastAsiaTheme="minorEastAsia"/>
                <w:szCs w:val="21"/>
              </w:rPr>
              <w:t>4</w:t>
            </w:r>
          </w:p>
        </w:tc>
        <w:tc>
          <w:tcPr>
            <w:tcW w:w="2213" w:type="pct"/>
            <w:tcBorders>
              <w:top w:val="nil"/>
              <w:left w:val="nil"/>
              <w:bottom w:val="single" w:color="auto" w:sz="8" w:space="0"/>
              <w:right w:val="single" w:color="auto" w:sz="8" w:space="0"/>
            </w:tcBorders>
            <w:tcMar>
              <w:top w:w="0" w:type="dxa"/>
              <w:left w:w="108" w:type="dxa"/>
              <w:bottom w:w="0" w:type="dxa"/>
              <w:right w:w="108" w:type="dxa"/>
            </w:tcMar>
            <w:vAlign w:val="center"/>
          </w:tcPr>
          <w:p w14:paraId="5FAB3265">
            <w:pPr>
              <w:snapToGrid w:val="0"/>
              <w:jc w:val="center"/>
              <w:rPr>
                <w:rFonts w:eastAsiaTheme="minorEastAsia"/>
                <w:szCs w:val="21"/>
              </w:rPr>
            </w:pPr>
            <w:r>
              <w:rPr>
                <w:rFonts w:hAnsiTheme="minorEastAsia" w:eastAsiaTheme="minorEastAsia"/>
                <w:szCs w:val="21"/>
              </w:rPr>
              <w:t>干燥时间</w:t>
            </w:r>
          </w:p>
        </w:tc>
        <w:tc>
          <w:tcPr>
            <w:tcW w:w="2141" w:type="pct"/>
            <w:tcBorders>
              <w:top w:val="nil"/>
              <w:left w:val="nil"/>
              <w:bottom w:val="single" w:color="auto" w:sz="8" w:space="0"/>
              <w:right w:val="single" w:color="auto" w:sz="8" w:space="0"/>
            </w:tcBorders>
            <w:tcMar>
              <w:top w:w="0" w:type="dxa"/>
              <w:left w:w="108" w:type="dxa"/>
              <w:bottom w:w="0" w:type="dxa"/>
              <w:right w:w="108" w:type="dxa"/>
            </w:tcMar>
            <w:vAlign w:val="center"/>
          </w:tcPr>
          <w:p w14:paraId="3972F098">
            <w:pPr>
              <w:snapToGrid w:val="0"/>
              <w:spacing w:line="320" w:lineRule="exact"/>
              <w:jc w:val="center"/>
              <w:rPr>
                <w:rFonts w:eastAsiaTheme="minorEastAsia"/>
                <w:szCs w:val="21"/>
              </w:rPr>
            </w:pPr>
            <w:r>
              <w:rPr>
                <w:rFonts w:eastAsiaTheme="minorEastAsia"/>
                <w:szCs w:val="21"/>
              </w:rPr>
              <w:t>GB/T 1728—2020</w:t>
            </w:r>
          </w:p>
        </w:tc>
      </w:tr>
      <w:tr w14:paraId="3353D206">
        <w:tblPrEx>
          <w:tblCellMar>
            <w:top w:w="0" w:type="dxa"/>
            <w:left w:w="0" w:type="dxa"/>
            <w:bottom w:w="0" w:type="dxa"/>
            <w:right w:w="0" w:type="dxa"/>
          </w:tblCellMar>
        </w:tblPrEx>
        <w:trPr>
          <w:trHeight w:val="397" w:hRule="atLeast"/>
          <w:jc w:val="center"/>
        </w:trPr>
        <w:tc>
          <w:tcPr>
            <w:tcW w:w="646" w:type="pct"/>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14:paraId="0D1AF3B9">
            <w:pPr>
              <w:jc w:val="center"/>
              <w:rPr>
                <w:rFonts w:eastAsiaTheme="minorEastAsia"/>
                <w:szCs w:val="21"/>
              </w:rPr>
            </w:pPr>
            <w:r>
              <w:rPr>
                <w:rFonts w:eastAsiaTheme="minorEastAsia"/>
                <w:szCs w:val="21"/>
              </w:rPr>
              <w:t>5</w:t>
            </w:r>
          </w:p>
        </w:tc>
        <w:tc>
          <w:tcPr>
            <w:tcW w:w="2213" w:type="pct"/>
            <w:tcBorders>
              <w:top w:val="nil"/>
              <w:left w:val="nil"/>
              <w:bottom w:val="single" w:color="auto" w:sz="4" w:space="0"/>
              <w:right w:val="single" w:color="auto" w:sz="8" w:space="0"/>
            </w:tcBorders>
            <w:tcMar>
              <w:top w:w="0" w:type="dxa"/>
              <w:left w:w="108" w:type="dxa"/>
              <w:bottom w:w="0" w:type="dxa"/>
              <w:right w:w="108" w:type="dxa"/>
            </w:tcMar>
            <w:vAlign w:val="center"/>
          </w:tcPr>
          <w:p w14:paraId="3F8A8555">
            <w:pPr>
              <w:snapToGrid w:val="0"/>
              <w:jc w:val="center"/>
              <w:rPr>
                <w:rFonts w:eastAsiaTheme="minorEastAsia"/>
                <w:szCs w:val="21"/>
              </w:rPr>
            </w:pPr>
            <w:r>
              <w:rPr>
                <w:rFonts w:hAnsiTheme="minorEastAsia" w:eastAsiaTheme="minorEastAsia"/>
                <w:szCs w:val="21"/>
              </w:rPr>
              <w:t>对比率</w:t>
            </w:r>
          </w:p>
        </w:tc>
        <w:tc>
          <w:tcPr>
            <w:tcW w:w="2141" w:type="pct"/>
            <w:tcBorders>
              <w:top w:val="nil"/>
              <w:left w:val="nil"/>
              <w:bottom w:val="single" w:color="auto" w:sz="4" w:space="0"/>
              <w:right w:val="single" w:color="auto" w:sz="8" w:space="0"/>
            </w:tcBorders>
            <w:tcMar>
              <w:top w:w="0" w:type="dxa"/>
              <w:left w:w="108" w:type="dxa"/>
              <w:bottom w:w="0" w:type="dxa"/>
              <w:right w:w="108" w:type="dxa"/>
            </w:tcMar>
            <w:vAlign w:val="center"/>
          </w:tcPr>
          <w:p w14:paraId="44CE2633">
            <w:pPr>
              <w:snapToGrid w:val="0"/>
              <w:spacing w:line="320" w:lineRule="exact"/>
              <w:jc w:val="center"/>
              <w:rPr>
                <w:rFonts w:eastAsiaTheme="minorEastAsia"/>
                <w:szCs w:val="21"/>
              </w:rPr>
            </w:pPr>
            <w:r>
              <w:rPr>
                <w:rFonts w:eastAsiaTheme="minorEastAsia"/>
                <w:szCs w:val="21"/>
              </w:rPr>
              <w:t>GB/T 23981.1—2019</w:t>
            </w:r>
          </w:p>
        </w:tc>
      </w:tr>
      <w:tr w14:paraId="4ADF99F2">
        <w:tblPrEx>
          <w:tblCellMar>
            <w:top w:w="0" w:type="dxa"/>
            <w:left w:w="0" w:type="dxa"/>
            <w:bottom w:w="0" w:type="dxa"/>
            <w:right w:w="0" w:type="dxa"/>
          </w:tblCellMar>
        </w:tblPrEx>
        <w:trPr>
          <w:trHeight w:val="397" w:hRule="atLeast"/>
          <w:jc w:val="center"/>
        </w:trPr>
        <w:tc>
          <w:tcPr>
            <w:tcW w:w="646" w:type="pct"/>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14:paraId="322B75FA">
            <w:pPr>
              <w:jc w:val="center"/>
              <w:rPr>
                <w:rFonts w:eastAsiaTheme="minorEastAsia"/>
                <w:szCs w:val="21"/>
              </w:rPr>
            </w:pPr>
            <w:r>
              <w:rPr>
                <w:rFonts w:eastAsiaTheme="minorEastAsia"/>
                <w:szCs w:val="21"/>
              </w:rPr>
              <w:t>6</w:t>
            </w:r>
          </w:p>
        </w:tc>
        <w:tc>
          <w:tcPr>
            <w:tcW w:w="2213" w:type="pct"/>
            <w:tcBorders>
              <w:top w:val="nil"/>
              <w:left w:val="nil"/>
              <w:bottom w:val="single" w:color="auto" w:sz="4" w:space="0"/>
              <w:right w:val="single" w:color="auto" w:sz="8" w:space="0"/>
            </w:tcBorders>
            <w:tcMar>
              <w:top w:w="0" w:type="dxa"/>
              <w:left w:w="108" w:type="dxa"/>
              <w:bottom w:w="0" w:type="dxa"/>
              <w:right w:w="108" w:type="dxa"/>
            </w:tcMar>
            <w:vAlign w:val="center"/>
          </w:tcPr>
          <w:p w14:paraId="5BE7502D">
            <w:pPr>
              <w:snapToGrid w:val="0"/>
              <w:spacing w:line="320" w:lineRule="exact"/>
              <w:jc w:val="center"/>
              <w:rPr>
                <w:rFonts w:eastAsiaTheme="minorEastAsia"/>
                <w:szCs w:val="21"/>
              </w:rPr>
            </w:pPr>
            <w:bookmarkStart w:id="6" w:name="OLE_LINK33"/>
            <w:bookmarkStart w:id="7" w:name="OLE_LINK32"/>
            <w:r>
              <w:rPr>
                <w:rFonts w:hAnsiTheme="minorEastAsia" w:eastAsiaTheme="minorEastAsia"/>
                <w:szCs w:val="21"/>
              </w:rPr>
              <w:t>耐碱性</w:t>
            </w:r>
            <w:bookmarkEnd w:id="6"/>
            <w:bookmarkEnd w:id="7"/>
          </w:p>
        </w:tc>
        <w:tc>
          <w:tcPr>
            <w:tcW w:w="2141" w:type="pct"/>
            <w:tcBorders>
              <w:top w:val="nil"/>
              <w:left w:val="nil"/>
              <w:bottom w:val="single" w:color="auto" w:sz="4" w:space="0"/>
              <w:right w:val="single" w:color="auto" w:sz="8" w:space="0"/>
            </w:tcBorders>
            <w:tcMar>
              <w:top w:w="0" w:type="dxa"/>
              <w:left w:w="108" w:type="dxa"/>
              <w:bottom w:w="0" w:type="dxa"/>
              <w:right w:w="108" w:type="dxa"/>
            </w:tcMar>
            <w:vAlign w:val="center"/>
          </w:tcPr>
          <w:p w14:paraId="15902576">
            <w:pPr>
              <w:snapToGrid w:val="0"/>
              <w:spacing w:line="320" w:lineRule="exact"/>
              <w:jc w:val="center"/>
              <w:rPr>
                <w:rFonts w:eastAsiaTheme="minorEastAsia"/>
                <w:szCs w:val="21"/>
              </w:rPr>
            </w:pPr>
            <w:r>
              <w:rPr>
                <w:rFonts w:eastAsiaTheme="minorEastAsia"/>
                <w:szCs w:val="21"/>
              </w:rPr>
              <w:t>GB/T 9265—2009</w:t>
            </w:r>
          </w:p>
        </w:tc>
      </w:tr>
      <w:tr w14:paraId="7960DF66">
        <w:tblPrEx>
          <w:tblCellMar>
            <w:top w:w="0" w:type="dxa"/>
            <w:left w:w="0" w:type="dxa"/>
            <w:bottom w:w="0" w:type="dxa"/>
            <w:right w:w="0" w:type="dxa"/>
          </w:tblCellMar>
        </w:tblPrEx>
        <w:trPr>
          <w:trHeight w:val="397" w:hRule="atLeast"/>
          <w:jc w:val="center"/>
        </w:trPr>
        <w:tc>
          <w:tcPr>
            <w:tcW w:w="646" w:type="pct"/>
            <w:tcBorders>
              <w:top w:val="nil"/>
              <w:left w:val="single" w:color="auto" w:sz="8" w:space="0"/>
              <w:bottom w:val="single" w:color="auto" w:sz="4" w:space="0"/>
              <w:right w:val="single" w:color="auto" w:sz="8" w:space="0"/>
            </w:tcBorders>
            <w:tcMar>
              <w:top w:w="0" w:type="dxa"/>
              <w:left w:w="108" w:type="dxa"/>
              <w:bottom w:w="0" w:type="dxa"/>
              <w:right w:w="108" w:type="dxa"/>
            </w:tcMar>
            <w:vAlign w:val="center"/>
          </w:tcPr>
          <w:p w14:paraId="5D354AB0">
            <w:pPr>
              <w:jc w:val="center"/>
              <w:rPr>
                <w:rFonts w:eastAsiaTheme="minorEastAsia"/>
                <w:szCs w:val="21"/>
              </w:rPr>
            </w:pPr>
            <w:r>
              <w:rPr>
                <w:rFonts w:eastAsiaTheme="minorEastAsia"/>
                <w:szCs w:val="21"/>
              </w:rPr>
              <w:t>7</w:t>
            </w:r>
          </w:p>
        </w:tc>
        <w:tc>
          <w:tcPr>
            <w:tcW w:w="2213" w:type="pct"/>
            <w:tcBorders>
              <w:top w:val="nil"/>
              <w:left w:val="nil"/>
              <w:bottom w:val="single" w:color="auto" w:sz="4" w:space="0"/>
              <w:right w:val="single" w:color="auto" w:sz="8" w:space="0"/>
            </w:tcBorders>
            <w:tcMar>
              <w:top w:w="0" w:type="dxa"/>
              <w:left w:w="108" w:type="dxa"/>
              <w:bottom w:w="0" w:type="dxa"/>
              <w:right w:w="108" w:type="dxa"/>
            </w:tcMar>
            <w:vAlign w:val="center"/>
          </w:tcPr>
          <w:p w14:paraId="3820673C">
            <w:pPr>
              <w:snapToGrid w:val="0"/>
              <w:spacing w:line="320" w:lineRule="exact"/>
              <w:jc w:val="center"/>
              <w:rPr>
                <w:rFonts w:eastAsiaTheme="minorEastAsia"/>
                <w:szCs w:val="21"/>
              </w:rPr>
            </w:pPr>
            <w:r>
              <w:rPr>
                <w:rFonts w:hAnsiTheme="minorEastAsia" w:eastAsiaTheme="minorEastAsia"/>
                <w:szCs w:val="21"/>
              </w:rPr>
              <w:t>耐洗刷性</w:t>
            </w:r>
          </w:p>
        </w:tc>
        <w:tc>
          <w:tcPr>
            <w:tcW w:w="2141" w:type="pct"/>
            <w:tcBorders>
              <w:top w:val="nil"/>
              <w:left w:val="nil"/>
              <w:bottom w:val="single" w:color="auto" w:sz="4" w:space="0"/>
              <w:right w:val="single" w:color="auto" w:sz="8" w:space="0"/>
            </w:tcBorders>
            <w:tcMar>
              <w:top w:w="0" w:type="dxa"/>
              <w:left w:w="108" w:type="dxa"/>
              <w:bottom w:w="0" w:type="dxa"/>
              <w:right w:w="108" w:type="dxa"/>
            </w:tcMar>
            <w:vAlign w:val="center"/>
          </w:tcPr>
          <w:p w14:paraId="1D8349D2">
            <w:pPr>
              <w:snapToGrid w:val="0"/>
              <w:spacing w:line="320" w:lineRule="exact"/>
              <w:jc w:val="center"/>
              <w:rPr>
                <w:rFonts w:eastAsiaTheme="minorEastAsia"/>
                <w:szCs w:val="21"/>
              </w:rPr>
            </w:pPr>
            <w:r>
              <w:rPr>
                <w:rFonts w:eastAsiaTheme="minorEastAsia"/>
                <w:szCs w:val="21"/>
              </w:rPr>
              <w:t>GB/T 9266—2009</w:t>
            </w:r>
          </w:p>
          <w:p w14:paraId="3358AB1A">
            <w:pPr>
              <w:snapToGrid w:val="0"/>
              <w:spacing w:line="320" w:lineRule="exact"/>
              <w:jc w:val="center"/>
              <w:rPr>
                <w:rFonts w:eastAsiaTheme="minorEastAsia"/>
                <w:szCs w:val="21"/>
              </w:rPr>
            </w:pPr>
            <w:bookmarkStart w:id="8" w:name="OLE_LINK31"/>
            <w:bookmarkStart w:id="9" w:name="OLE_LINK30"/>
            <w:r>
              <w:rPr>
                <w:rFonts w:eastAsiaTheme="minorEastAsia"/>
                <w:szCs w:val="21"/>
              </w:rPr>
              <w:t>GB/T 9755—2024</w:t>
            </w:r>
            <w:bookmarkEnd w:id="8"/>
            <w:bookmarkEnd w:id="9"/>
          </w:p>
        </w:tc>
      </w:tr>
      <w:tr w14:paraId="545D8062">
        <w:tblPrEx>
          <w:tblCellMar>
            <w:top w:w="0" w:type="dxa"/>
            <w:left w:w="0" w:type="dxa"/>
            <w:bottom w:w="0" w:type="dxa"/>
            <w:right w:w="0" w:type="dxa"/>
          </w:tblCellMar>
        </w:tblPrEx>
        <w:trPr>
          <w:trHeight w:val="397" w:hRule="atLeast"/>
          <w:jc w:val="center"/>
        </w:trPr>
        <w:tc>
          <w:tcPr>
            <w:tcW w:w="646"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vAlign w:val="center"/>
          </w:tcPr>
          <w:p w14:paraId="05AE04B6">
            <w:pPr>
              <w:jc w:val="center"/>
              <w:rPr>
                <w:rFonts w:eastAsiaTheme="minorEastAsia"/>
                <w:szCs w:val="21"/>
              </w:rPr>
            </w:pPr>
            <w:r>
              <w:rPr>
                <w:rFonts w:eastAsiaTheme="minorEastAsia"/>
                <w:szCs w:val="21"/>
              </w:rPr>
              <w:t>8</w:t>
            </w:r>
          </w:p>
        </w:tc>
        <w:tc>
          <w:tcPr>
            <w:tcW w:w="2213" w:type="pct"/>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14:paraId="00D9C80E">
            <w:pPr>
              <w:snapToGrid w:val="0"/>
              <w:spacing w:line="320" w:lineRule="exact"/>
              <w:jc w:val="center"/>
              <w:rPr>
                <w:rFonts w:eastAsiaTheme="minorEastAsia"/>
                <w:szCs w:val="21"/>
              </w:rPr>
            </w:pPr>
            <w:r>
              <w:rPr>
                <w:rFonts w:hAnsiTheme="minorEastAsia" w:eastAsiaTheme="minorEastAsia"/>
                <w:szCs w:val="21"/>
              </w:rPr>
              <w:t>初期干燥抗裂性</w:t>
            </w:r>
          </w:p>
        </w:tc>
        <w:tc>
          <w:tcPr>
            <w:tcW w:w="2141" w:type="pct"/>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14:paraId="0A7D543A">
            <w:pPr>
              <w:snapToGrid w:val="0"/>
              <w:spacing w:line="320" w:lineRule="exact"/>
              <w:jc w:val="center"/>
              <w:rPr>
                <w:rFonts w:eastAsiaTheme="minorEastAsia"/>
                <w:szCs w:val="21"/>
              </w:rPr>
            </w:pPr>
            <w:r>
              <w:rPr>
                <w:rFonts w:eastAsiaTheme="minorEastAsia"/>
                <w:szCs w:val="21"/>
              </w:rPr>
              <w:t>JG/T 24—2018</w:t>
            </w:r>
          </w:p>
        </w:tc>
      </w:tr>
      <w:tr w14:paraId="0D95CA7E">
        <w:tblPrEx>
          <w:tblCellMar>
            <w:top w:w="0" w:type="dxa"/>
            <w:left w:w="0" w:type="dxa"/>
            <w:bottom w:w="0" w:type="dxa"/>
            <w:right w:w="0" w:type="dxa"/>
          </w:tblCellMar>
        </w:tblPrEx>
        <w:trPr>
          <w:trHeight w:val="397" w:hRule="atLeast"/>
          <w:jc w:val="center"/>
        </w:trPr>
        <w:tc>
          <w:tcPr>
            <w:tcW w:w="646" w:type="pct"/>
            <w:tcBorders>
              <w:top w:val="single" w:color="auto" w:sz="4" w:space="0"/>
              <w:left w:val="single" w:color="auto" w:sz="8" w:space="0"/>
              <w:bottom w:val="single" w:color="auto" w:sz="4" w:space="0"/>
              <w:right w:val="single" w:color="auto" w:sz="8" w:space="0"/>
            </w:tcBorders>
            <w:tcMar>
              <w:top w:w="0" w:type="dxa"/>
              <w:left w:w="108" w:type="dxa"/>
              <w:bottom w:w="0" w:type="dxa"/>
              <w:right w:w="108" w:type="dxa"/>
            </w:tcMar>
            <w:vAlign w:val="center"/>
          </w:tcPr>
          <w:p w14:paraId="2678440B">
            <w:pPr>
              <w:jc w:val="center"/>
              <w:rPr>
                <w:rFonts w:eastAsiaTheme="minorEastAsia"/>
                <w:szCs w:val="21"/>
              </w:rPr>
            </w:pPr>
            <w:r>
              <w:rPr>
                <w:rFonts w:eastAsiaTheme="minorEastAsia"/>
                <w:szCs w:val="21"/>
              </w:rPr>
              <w:t>9</w:t>
            </w:r>
          </w:p>
        </w:tc>
        <w:tc>
          <w:tcPr>
            <w:tcW w:w="2213" w:type="pct"/>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14:paraId="221E33DE">
            <w:pPr>
              <w:snapToGrid w:val="0"/>
              <w:spacing w:line="320" w:lineRule="exact"/>
              <w:jc w:val="center"/>
              <w:rPr>
                <w:rFonts w:eastAsiaTheme="minorEastAsia"/>
                <w:szCs w:val="21"/>
              </w:rPr>
            </w:pPr>
            <w:r>
              <w:rPr>
                <w:rFonts w:hAnsiTheme="minorEastAsia" w:eastAsiaTheme="minorEastAsia"/>
                <w:szCs w:val="21"/>
              </w:rPr>
              <w:t>耐水性</w:t>
            </w:r>
          </w:p>
        </w:tc>
        <w:tc>
          <w:tcPr>
            <w:tcW w:w="2141" w:type="pct"/>
            <w:tcBorders>
              <w:top w:val="single" w:color="auto" w:sz="4" w:space="0"/>
              <w:left w:val="nil"/>
              <w:bottom w:val="single" w:color="auto" w:sz="4" w:space="0"/>
              <w:right w:val="single" w:color="auto" w:sz="8" w:space="0"/>
            </w:tcBorders>
            <w:tcMar>
              <w:top w:w="0" w:type="dxa"/>
              <w:left w:w="108" w:type="dxa"/>
              <w:bottom w:w="0" w:type="dxa"/>
              <w:right w:w="108" w:type="dxa"/>
            </w:tcMar>
            <w:vAlign w:val="center"/>
          </w:tcPr>
          <w:p w14:paraId="28463F4F">
            <w:pPr>
              <w:snapToGrid w:val="0"/>
              <w:spacing w:line="320" w:lineRule="exact"/>
              <w:jc w:val="center"/>
              <w:rPr>
                <w:rFonts w:eastAsiaTheme="minorEastAsia"/>
                <w:szCs w:val="21"/>
              </w:rPr>
            </w:pPr>
            <w:r>
              <w:rPr>
                <w:rFonts w:eastAsiaTheme="minorEastAsia"/>
                <w:szCs w:val="21"/>
              </w:rPr>
              <w:t>GB/T 30648.2—2015</w:t>
            </w:r>
          </w:p>
          <w:p w14:paraId="351CFE36">
            <w:pPr>
              <w:snapToGrid w:val="0"/>
              <w:spacing w:line="320" w:lineRule="exact"/>
              <w:jc w:val="center"/>
              <w:rPr>
                <w:rFonts w:eastAsiaTheme="minorEastAsia"/>
                <w:szCs w:val="21"/>
              </w:rPr>
            </w:pPr>
            <w:r>
              <w:rPr>
                <w:rFonts w:eastAsiaTheme="minorEastAsia"/>
                <w:szCs w:val="21"/>
              </w:rPr>
              <w:t>GB/T 9755—2024</w:t>
            </w:r>
          </w:p>
        </w:tc>
      </w:tr>
    </w:tbl>
    <w:p w14:paraId="600A099C">
      <w:pPr>
        <w:jc w:val="center"/>
        <w:rPr>
          <w:b/>
          <w:szCs w:val="21"/>
        </w:rPr>
      </w:pPr>
    </w:p>
    <w:p w14:paraId="2AAE02E8">
      <w:pPr>
        <w:jc w:val="center"/>
        <w:rPr>
          <w:b/>
          <w:szCs w:val="21"/>
        </w:rPr>
      </w:pPr>
    </w:p>
    <w:p w14:paraId="4F0FB6B9">
      <w:pPr>
        <w:jc w:val="center"/>
        <w:rPr>
          <w:b/>
          <w:szCs w:val="21"/>
        </w:rPr>
      </w:pPr>
    </w:p>
    <w:p w14:paraId="17C6C88B">
      <w:pPr>
        <w:jc w:val="center"/>
        <w:rPr>
          <w:b/>
          <w:szCs w:val="21"/>
        </w:rPr>
      </w:pPr>
    </w:p>
    <w:p w14:paraId="30260E9C">
      <w:pPr>
        <w:jc w:val="center"/>
        <w:rPr>
          <w:b/>
          <w:szCs w:val="21"/>
        </w:rPr>
      </w:pPr>
    </w:p>
    <w:p w14:paraId="440143A8">
      <w:pPr>
        <w:jc w:val="center"/>
        <w:rPr>
          <w:b/>
          <w:szCs w:val="21"/>
        </w:rPr>
      </w:pPr>
    </w:p>
    <w:p w14:paraId="44886367">
      <w:pPr>
        <w:jc w:val="center"/>
        <w:rPr>
          <w:b/>
          <w:szCs w:val="21"/>
        </w:rPr>
      </w:pPr>
      <w:r>
        <w:rPr>
          <w:rFonts w:hAnsi="宋体"/>
          <w:b/>
          <w:szCs w:val="21"/>
        </w:rPr>
        <w:t>表</w:t>
      </w:r>
      <w:r>
        <w:rPr>
          <w:b/>
          <w:szCs w:val="21"/>
        </w:rPr>
        <w:t xml:space="preserve">2  </w:t>
      </w:r>
      <w:r>
        <w:rPr>
          <w:rFonts w:hAnsi="宋体"/>
          <w:b/>
          <w:szCs w:val="21"/>
        </w:rPr>
        <w:t>腻子检验项目</w:t>
      </w:r>
    </w:p>
    <w:tbl>
      <w:tblPr>
        <w:tblStyle w:val="8"/>
        <w:tblW w:w="8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3643"/>
        <w:gridCol w:w="3387"/>
      </w:tblGrid>
      <w:tr w14:paraId="6C13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992" w:type="dxa"/>
            <w:shd w:val="clear" w:color="auto" w:fill="auto"/>
            <w:vAlign w:val="center"/>
          </w:tcPr>
          <w:p w14:paraId="3AD66C50">
            <w:pPr>
              <w:snapToGrid w:val="0"/>
              <w:spacing w:line="320" w:lineRule="exact"/>
              <w:jc w:val="center"/>
              <w:rPr>
                <w:b/>
                <w:szCs w:val="21"/>
              </w:rPr>
            </w:pPr>
            <w:r>
              <w:rPr>
                <w:rFonts w:hAnsi="Calibri"/>
                <w:b/>
                <w:szCs w:val="21"/>
              </w:rPr>
              <w:t>序号</w:t>
            </w:r>
          </w:p>
        </w:tc>
        <w:tc>
          <w:tcPr>
            <w:tcW w:w="3643" w:type="dxa"/>
            <w:shd w:val="clear" w:color="auto" w:fill="auto"/>
            <w:vAlign w:val="center"/>
          </w:tcPr>
          <w:p w14:paraId="7ED501EF">
            <w:pPr>
              <w:snapToGrid w:val="0"/>
              <w:spacing w:line="320" w:lineRule="exact"/>
              <w:jc w:val="center"/>
              <w:rPr>
                <w:b/>
                <w:szCs w:val="21"/>
              </w:rPr>
            </w:pPr>
            <w:r>
              <w:rPr>
                <w:rFonts w:hAnsi="Calibri"/>
                <w:b/>
                <w:szCs w:val="21"/>
              </w:rPr>
              <w:t>检验项目</w:t>
            </w:r>
          </w:p>
        </w:tc>
        <w:tc>
          <w:tcPr>
            <w:tcW w:w="3387" w:type="dxa"/>
            <w:shd w:val="clear" w:color="auto" w:fill="auto"/>
            <w:vAlign w:val="center"/>
          </w:tcPr>
          <w:p w14:paraId="22DEB3E2">
            <w:pPr>
              <w:snapToGrid w:val="0"/>
              <w:spacing w:line="320" w:lineRule="exact"/>
              <w:jc w:val="center"/>
              <w:rPr>
                <w:b/>
                <w:szCs w:val="21"/>
              </w:rPr>
            </w:pPr>
            <w:r>
              <w:rPr>
                <w:rFonts w:hAnsi="Calibri"/>
                <w:b/>
                <w:szCs w:val="21"/>
              </w:rPr>
              <w:t>检</w:t>
            </w:r>
            <w:r>
              <w:rPr>
                <w:rFonts w:hAnsi="宋体"/>
                <w:b/>
                <w:bCs/>
                <w:szCs w:val="21"/>
              </w:rPr>
              <w:t>验</w:t>
            </w:r>
            <w:r>
              <w:rPr>
                <w:rFonts w:hAnsi="Calibri"/>
                <w:b/>
                <w:szCs w:val="21"/>
              </w:rPr>
              <w:t>方法</w:t>
            </w:r>
          </w:p>
        </w:tc>
      </w:tr>
      <w:tr w14:paraId="5B5C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exact"/>
          <w:jc w:val="center"/>
        </w:trPr>
        <w:tc>
          <w:tcPr>
            <w:tcW w:w="992" w:type="dxa"/>
            <w:shd w:val="clear" w:color="auto" w:fill="auto"/>
            <w:vAlign w:val="center"/>
          </w:tcPr>
          <w:p w14:paraId="690B22DC">
            <w:pPr>
              <w:snapToGrid w:val="0"/>
              <w:jc w:val="center"/>
              <w:rPr>
                <w:rFonts w:eastAsiaTheme="minorEastAsia"/>
                <w:szCs w:val="21"/>
              </w:rPr>
            </w:pPr>
            <w:r>
              <w:rPr>
                <w:rFonts w:eastAsiaTheme="minorEastAsia"/>
                <w:szCs w:val="21"/>
              </w:rPr>
              <w:t>1</w:t>
            </w:r>
          </w:p>
        </w:tc>
        <w:tc>
          <w:tcPr>
            <w:tcW w:w="3643" w:type="dxa"/>
            <w:shd w:val="clear" w:color="auto" w:fill="auto"/>
            <w:vAlign w:val="center"/>
          </w:tcPr>
          <w:p w14:paraId="7C52F796">
            <w:pPr>
              <w:jc w:val="center"/>
              <w:rPr>
                <w:rFonts w:eastAsiaTheme="minorEastAsia"/>
                <w:szCs w:val="21"/>
              </w:rPr>
            </w:pPr>
            <w:r>
              <w:rPr>
                <w:rFonts w:hAnsiTheme="minorEastAsia" w:eastAsiaTheme="minorEastAsia"/>
                <w:szCs w:val="21"/>
              </w:rPr>
              <w:t>容器中状态</w:t>
            </w:r>
          </w:p>
        </w:tc>
        <w:tc>
          <w:tcPr>
            <w:tcW w:w="3387" w:type="dxa"/>
            <w:shd w:val="clear" w:color="auto" w:fill="auto"/>
            <w:vAlign w:val="center"/>
          </w:tcPr>
          <w:p w14:paraId="2065595B">
            <w:pPr>
              <w:snapToGrid w:val="0"/>
              <w:jc w:val="center"/>
              <w:rPr>
                <w:rFonts w:eastAsiaTheme="minorEastAsia"/>
                <w:szCs w:val="21"/>
              </w:rPr>
            </w:pPr>
            <w:r>
              <w:rPr>
                <w:rFonts w:eastAsiaTheme="minorEastAsia"/>
                <w:szCs w:val="21"/>
              </w:rPr>
              <w:t xml:space="preserve">JG/T 298—2010 </w:t>
            </w:r>
          </w:p>
          <w:p w14:paraId="459F42D9">
            <w:pPr>
              <w:snapToGrid w:val="0"/>
              <w:jc w:val="center"/>
              <w:rPr>
                <w:rFonts w:eastAsiaTheme="minorEastAsia"/>
                <w:szCs w:val="21"/>
              </w:rPr>
            </w:pPr>
            <w:r>
              <w:rPr>
                <w:rFonts w:eastAsiaTheme="minorEastAsia"/>
                <w:szCs w:val="21"/>
              </w:rPr>
              <w:t>JG/T 157—2009</w:t>
            </w:r>
          </w:p>
          <w:p w14:paraId="2C585170">
            <w:pPr>
              <w:snapToGrid w:val="0"/>
              <w:jc w:val="center"/>
              <w:rPr>
                <w:rFonts w:eastAsiaTheme="minorEastAsia"/>
                <w:szCs w:val="21"/>
              </w:rPr>
            </w:pPr>
          </w:p>
        </w:tc>
      </w:tr>
      <w:tr w14:paraId="298C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exact"/>
          <w:jc w:val="center"/>
        </w:trPr>
        <w:tc>
          <w:tcPr>
            <w:tcW w:w="992" w:type="dxa"/>
            <w:shd w:val="clear" w:color="auto" w:fill="auto"/>
            <w:vAlign w:val="center"/>
          </w:tcPr>
          <w:p w14:paraId="3A29348F">
            <w:pPr>
              <w:snapToGrid w:val="0"/>
              <w:jc w:val="center"/>
              <w:rPr>
                <w:rFonts w:eastAsiaTheme="minorEastAsia"/>
                <w:szCs w:val="21"/>
              </w:rPr>
            </w:pPr>
            <w:r>
              <w:rPr>
                <w:rFonts w:eastAsiaTheme="minorEastAsia"/>
                <w:szCs w:val="21"/>
              </w:rPr>
              <w:t>2</w:t>
            </w:r>
          </w:p>
        </w:tc>
        <w:tc>
          <w:tcPr>
            <w:tcW w:w="3643" w:type="dxa"/>
            <w:shd w:val="clear" w:color="auto" w:fill="auto"/>
            <w:vAlign w:val="center"/>
          </w:tcPr>
          <w:p w14:paraId="4AF35305">
            <w:pPr>
              <w:jc w:val="center"/>
              <w:rPr>
                <w:rFonts w:eastAsiaTheme="minorEastAsia"/>
                <w:szCs w:val="21"/>
              </w:rPr>
            </w:pPr>
            <w:r>
              <w:rPr>
                <w:rFonts w:hAnsiTheme="minorEastAsia" w:eastAsiaTheme="minorEastAsia"/>
                <w:szCs w:val="21"/>
              </w:rPr>
              <w:t>施工性</w:t>
            </w:r>
          </w:p>
        </w:tc>
        <w:tc>
          <w:tcPr>
            <w:tcW w:w="3387" w:type="dxa"/>
            <w:shd w:val="clear" w:color="auto" w:fill="auto"/>
            <w:vAlign w:val="center"/>
          </w:tcPr>
          <w:p w14:paraId="04118FF3">
            <w:pPr>
              <w:snapToGrid w:val="0"/>
              <w:jc w:val="center"/>
              <w:rPr>
                <w:rFonts w:eastAsiaTheme="minorEastAsia"/>
                <w:szCs w:val="21"/>
              </w:rPr>
            </w:pPr>
            <w:r>
              <w:rPr>
                <w:rFonts w:eastAsiaTheme="minorEastAsia"/>
                <w:szCs w:val="21"/>
              </w:rPr>
              <w:t xml:space="preserve">JG/T 298—2010  </w:t>
            </w:r>
          </w:p>
          <w:p w14:paraId="6F78B363">
            <w:pPr>
              <w:snapToGrid w:val="0"/>
              <w:jc w:val="center"/>
              <w:rPr>
                <w:rFonts w:eastAsiaTheme="minorEastAsia"/>
                <w:szCs w:val="21"/>
              </w:rPr>
            </w:pPr>
            <w:r>
              <w:rPr>
                <w:rFonts w:eastAsiaTheme="minorEastAsia"/>
                <w:szCs w:val="21"/>
              </w:rPr>
              <w:t>JG/T 157—2009</w:t>
            </w:r>
          </w:p>
        </w:tc>
      </w:tr>
      <w:tr w14:paraId="4837F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992" w:type="dxa"/>
            <w:shd w:val="clear" w:color="auto" w:fill="auto"/>
            <w:vAlign w:val="center"/>
          </w:tcPr>
          <w:p w14:paraId="74E13FB2">
            <w:pPr>
              <w:snapToGrid w:val="0"/>
              <w:jc w:val="center"/>
              <w:rPr>
                <w:rFonts w:eastAsiaTheme="minorEastAsia"/>
                <w:szCs w:val="21"/>
              </w:rPr>
            </w:pPr>
            <w:r>
              <w:rPr>
                <w:rFonts w:eastAsiaTheme="minorEastAsia"/>
                <w:szCs w:val="21"/>
              </w:rPr>
              <w:t>3</w:t>
            </w:r>
          </w:p>
        </w:tc>
        <w:tc>
          <w:tcPr>
            <w:tcW w:w="3643" w:type="dxa"/>
            <w:shd w:val="clear" w:color="auto" w:fill="auto"/>
            <w:vAlign w:val="center"/>
          </w:tcPr>
          <w:p w14:paraId="6AB204CF">
            <w:pPr>
              <w:jc w:val="center"/>
              <w:rPr>
                <w:rFonts w:eastAsiaTheme="minorEastAsia"/>
                <w:szCs w:val="21"/>
              </w:rPr>
            </w:pPr>
            <w:r>
              <w:rPr>
                <w:rFonts w:hAnsiTheme="minorEastAsia" w:eastAsiaTheme="minorEastAsia"/>
                <w:szCs w:val="21"/>
              </w:rPr>
              <w:t>打磨性</w:t>
            </w:r>
          </w:p>
        </w:tc>
        <w:tc>
          <w:tcPr>
            <w:tcW w:w="3387" w:type="dxa"/>
            <w:shd w:val="clear" w:color="auto" w:fill="auto"/>
            <w:vAlign w:val="center"/>
          </w:tcPr>
          <w:p w14:paraId="11BDD505">
            <w:pPr>
              <w:snapToGrid w:val="0"/>
              <w:jc w:val="center"/>
              <w:rPr>
                <w:rFonts w:eastAsiaTheme="minorEastAsia"/>
                <w:szCs w:val="21"/>
              </w:rPr>
            </w:pPr>
            <w:r>
              <w:rPr>
                <w:rFonts w:eastAsiaTheme="minorEastAsia"/>
                <w:szCs w:val="21"/>
              </w:rPr>
              <w:t>JG/T 298—2010</w:t>
            </w:r>
          </w:p>
          <w:p w14:paraId="75E6F56A">
            <w:pPr>
              <w:snapToGrid w:val="0"/>
              <w:jc w:val="center"/>
              <w:rPr>
                <w:rFonts w:eastAsiaTheme="minorEastAsia"/>
                <w:szCs w:val="21"/>
              </w:rPr>
            </w:pPr>
            <w:r>
              <w:rPr>
                <w:rFonts w:eastAsiaTheme="minorEastAsia"/>
                <w:szCs w:val="21"/>
              </w:rPr>
              <w:t>JG/T 157—2009</w:t>
            </w:r>
          </w:p>
        </w:tc>
      </w:tr>
      <w:tr w14:paraId="616B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92" w:type="dxa"/>
            <w:shd w:val="clear" w:color="auto" w:fill="auto"/>
            <w:vAlign w:val="center"/>
          </w:tcPr>
          <w:p w14:paraId="5613562A">
            <w:pPr>
              <w:snapToGrid w:val="0"/>
              <w:jc w:val="center"/>
              <w:rPr>
                <w:rFonts w:eastAsiaTheme="minorEastAsia"/>
                <w:szCs w:val="21"/>
              </w:rPr>
            </w:pPr>
            <w:r>
              <w:rPr>
                <w:rFonts w:eastAsiaTheme="minorEastAsia"/>
                <w:szCs w:val="21"/>
              </w:rPr>
              <w:t>4</w:t>
            </w:r>
          </w:p>
        </w:tc>
        <w:tc>
          <w:tcPr>
            <w:tcW w:w="3643" w:type="dxa"/>
            <w:shd w:val="clear" w:color="auto" w:fill="auto"/>
            <w:vAlign w:val="center"/>
          </w:tcPr>
          <w:p w14:paraId="27D39C1F">
            <w:pPr>
              <w:jc w:val="center"/>
              <w:rPr>
                <w:rFonts w:eastAsiaTheme="minorEastAsia"/>
                <w:szCs w:val="21"/>
              </w:rPr>
            </w:pPr>
            <w:r>
              <w:rPr>
                <w:rFonts w:hAnsiTheme="minorEastAsia" w:eastAsiaTheme="minorEastAsia"/>
                <w:szCs w:val="21"/>
              </w:rPr>
              <w:t>耐水性</w:t>
            </w:r>
          </w:p>
        </w:tc>
        <w:tc>
          <w:tcPr>
            <w:tcW w:w="3387" w:type="dxa"/>
            <w:shd w:val="clear" w:color="auto" w:fill="auto"/>
            <w:vAlign w:val="center"/>
          </w:tcPr>
          <w:p w14:paraId="1E80F6D8">
            <w:pPr>
              <w:snapToGrid w:val="0"/>
              <w:jc w:val="center"/>
              <w:rPr>
                <w:rFonts w:eastAsiaTheme="minorEastAsia"/>
                <w:szCs w:val="21"/>
              </w:rPr>
            </w:pPr>
            <w:r>
              <w:rPr>
                <w:rFonts w:eastAsiaTheme="minorEastAsia"/>
                <w:szCs w:val="21"/>
              </w:rPr>
              <w:t>GB/T 1733—1993</w:t>
            </w:r>
          </w:p>
        </w:tc>
      </w:tr>
      <w:tr w14:paraId="7DCC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92" w:type="dxa"/>
            <w:shd w:val="clear" w:color="auto" w:fill="auto"/>
            <w:vAlign w:val="center"/>
          </w:tcPr>
          <w:p w14:paraId="482BFE05">
            <w:pPr>
              <w:snapToGrid w:val="0"/>
              <w:jc w:val="center"/>
              <w:rPr>
                <w:rFonts w:eastAsiaTheme="minorEastAsia"/>
                <w:szCs w:val="21"/>
              </w:rPr>
            </w:pPr>
            <w:r>
              <w:rPr>
                <w:rFonts w:eastAsiaTheme="minorEastAsia"/>
                <w:szCs w:val="21"/>
              </w:rPr>
              <w:t>5</w:t>
            </w:r>
          </w:p>
        </w:tc>
        <w:tc>
          <w:tcPr>
            <w:tcW w:w="3643" w:type="dxa"/>
            <w:shd w:val="clear" w:color="auto" w:fill="auto"/>
            <w:vAlign w:val="center"/>
          </w:tcPr>
          <w:p w14:paraId="5BFE43DB">
            <w:pPr>
              <w:jc w:val="center"/>
              <w:rPr>
                <w:rFonts w:eastAsiaTheme="minorEastAsia"/>
                <w:szCs w:val="21"/>
              </w:rPr>
            </w:pPr>
            <w:r>
              <w:rPr>
                <w:rFonts w:hAnsiTheme="minorEastAsia" w:eastAsiaTheme="minorEastAsia"/>
                <w:szCs w:val="21"/>
              </w:rPr>
              <w:t>耐碱性</w:t>
            </w:r>
          </w:p>
        </w:tc>
        <w:tc>
          <w:tcPr>
            <w:tcW w:w="3387" w:type="dxa"/>
            <w:shd w:val="clear" w:color="auto" w:fill="auto"/>
            <w:vAlign w:val="center"/>
          </w:tcPr>
          <w:p w14:paraId="3319A9B6">
            <w:pPr>
              <w:snapToGrid w:val="0"/>
              <w:jc w:val="center"/>
              <w:rPr>
                <w:rFonts w:eastAsiaTheme="minorEastAsia"/>
                <w:szCs w:val="21"/>
              </w:rPr>
            </w:pPr>
            <w:r>
              <w:rPr>
                <w:rFonts w:eastAsiaTheme="minorEastAsia"/>
                <w:szCs w:val="21"/>
              </w:rPr>
              <w:t>GB/T 9265—2009</w:t>
            </w:r>
          </w:p>
        </w:tc>
      </w:tr>
      <w:tr w14:paraId="246AD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992" w:type="dxa"/>
            <w:shd w:val="clear" w:color="auto" w:fill="auto"/>
            <w:vAlign w:val="center"/>
          </w:tcPr>
          <w:p w14:paraId="38497C22">
            <w:pPr>
              <w:snapToGrid w:val="0"/>
              <w:jc w:val="center"/>
              <w:rPr>
                <w:rFonts w:eastAsiaTheme="minorEastAsia"/>
                <w:szCs w:val="21"/>
              </w:rPr>
            </w:pPr>
            <w:r>
              <w:rPr>
                <w:rFonts w:eastAsiaTheme="minorEastAsia"/>
                <w:szCs w:val="21"/>
              </w:rPr>
              <w:t>6</w:t>
            </w:r>
          </w:p>
        </w:tc>
        <w:tc>
          <w:tcPr>
            <w:tcW w:w="3643" w:type="dxa"/>
            <w:shd w:val="clear" w:color="auto" w:fill="auto"/>
            <w:vAlign w:val="center"/>
          </w:tcPr>
          <w:p w14:paraId="6796C9BF">
            <w:pPr>
              <w:jc w:val="center"/>
              <w:rPr>
                <w:rFonts w:eastAsiaTheme="minorEastAsia"/>
                <w:szCs w:val="21"/>
              </w:rPr>
            </w:pPr>
            <w:r>
              <w:rPr>
                <w:rFonts w:hAnsiTheme="minorEastAsia" w:eastAsiaTheme="minorEastAsia"/>
                <w:szCs w:val="21"/>
              </w:rPr>
              <w:t>干燥时间</w:t>
            </w:r>
            <w:r>
              <w:rPr>
                <w:rFonts w:eastAsiaTheme="minorEastAsia"/>
                <w:szCs w:val="21"/>
              </w:rPr>
              <w:t>(</w:t>
            </w:r>
            <w:r>
              <w:rPr>
                <w:rFonts w:hAnsiTheme="minorEastAsia" w:eastAsiaTheme="minorEastAsia"/>
                <w:szCs w:val="21"/>
              </w:rPr>
              <w:t>表干</w:t>
            </w:r>
            <w:r>
              <w:rPr>
                <w:rFonts w:eastAsiaTheme="minorEastAsia"/>
                <w:szCs w:val="21"/>
              </w:rPr>
              <w:t>)</w:t>
            </w:r>
          </w:p>
        </w:tc>
        <w:tc>
          <w:tcPr>
            <w:tcW w:w="3387" w:type="dxa"/>
            <w:shd w:val="clear" w:color="auto" w:fill="auto"/>
            <w:vAlign w:val="center"/>
          </w:tcPr>
          <w:p w14:paraId="3D9F08DF">
            <w:pPr>
              <w:snapToGrid w:val="0"/>
              <w:jc w:val="center"/>
              <w:rPr>
                <w:rFonts w:eastAsiaTheme="minorEastAsia"/>
                <w:szCs w:val="21"/>
              </w:rPr>
            </w:pPr>
            <w:r>
              <w:rPr>
                <w:rFonts w:eastAsiaTheme="minorEastAsia"/>
                <w:szCs w:val="21"/>
              </w:rPr>
              <w:t>GB/T 1728—2020</w:t>
            </w:r>
          </w:p>
        </w:tc>
      </w:tr>
      <w:tr w14:paraId="3C39F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exact"/>
          <w:jc w:val="center"/>
        </w:trPr>
        <w:tc>
          <w:tcPr>
            <w:tcW w:w="992" w:type="dxa"/>
            <w:shd w:val="clear" w:color="auto" w:fill="auto"/>
            <w:vAlign w:val="center"/>
          </w:tcPr>
          <w:p w14:paraId="4A956B4C">
            <w:pPr>
              <w:snapToGrid w:val="0"/>
              <w:jc w:val="center"/>
              <w:rPr>
                <w:rFonts w:eastAsiaTheme="minorEastAsia"/>
                <w:szCs w:val="21"/>
              </w:rPr>
            </w:pPr>
            <w:r>
              <w:rPr>
                <w:rFonts w:eastAsiaTheme="minorEastAsia"/>
                <w:szCs w:val="21"/>
              </w:rPr>
              <w:t>7</w:t>
            </w:r>
          </w:p>
        </w:tc>
        <w:tc>
          <w:tcPr>
            <w:tcW w:w="3643" w:type="dxa"/>
            <w:shd w:val="clear" w:color="auto" w:fill="auto"/>
            <w:vAlign w:val="center"/>
          </w:tcPr>
          <w:p w14:paraId="397704D1">
            <w:pPr>
              <w:jc w:val="center"/>
              <w:rPr>
                <w:rFonts w:eastAsiaTheme="minorEastAsia"/>
                <w:szCs w:val="21"/>
              </w:rPr>
            </w:pPr>
            <w:r>
              <w:rPr>
                <w:rFonts w:hAnsiTheme="minorEastAsia" w:eastAsiaTheme="minorEastAsia"/>
                <w:szCs w:val="21"/>
              </w:rPr>
              <w:t>初期干燥抗裂性</w:t>
            </w:r>
          </w:p>
        </w:tc>
        <w:tc>
          <w:tcPr>
            <w:tcW w:w="3387" w:type="dxa"/>
            <w:shd w:val="clear" w:color="auto" w:fill="auto"/>
            <w:vAlign w:val="center"/>
          </w:tcPr>
          <w:p w14:paraId="24DFAC30">
            <w:pPr>
              <w:snapToGrid w:val="0"/>
              <w:jc w:val="center"/>
              <w:rPr>
                <w:rFonts w:eastAsiaTheme="minorEastAsia"/>
                <w:szCs w:val="21"/>
              </w:rPr>
            </w:pPr>
            <w:r>
              <w:rPr>
                <w:rFonts w:eastAsiaTheme="minorEastAsia"/>
                <w:szCs w:val="21"/>
              </w:rPr>
              <w:t xml:space="preserve">JG/T 24—2018 </w:t>
            </w:r>
          </w:p>
          <w:p w14:paraId="3FBCCF6D">
            <w:pPr>
              <w:snapToGrid w:val="0"/>
              <w:jc w:val="center"/>
              <w:rPr>
                <w:rFonts w:eastAsiaTheme="minorEastAsia"/>
                <w:szCs w:val="21"/>
              </w:rPr>
            </w:pPr>
            <w:bookmarkStart w:id="10" w:name="OLE_LINK34"/>
            <w:bookmarkStart w:id="11" w:name="OLE_LINK35"/>
            <w:r>
              <w:rPr>
                <w:rFonts w:eastAsiaTheme="minorEastAsia"/>
                <w:szCs w:val="21"/>
              </w:rPr>
              <w:t>JG/T 24</w:t>
            </w:r>
            <w:bookmarkEnd w:id="10"/>
            <w:bookmarkEnd w:id="11"/>
            <w:r>
              <w:rPr>
                <w:rFonts w:eastAsiaTheme="minorEastAsia"/>
                <w:szCs w:val="21"/>
              </w:rPr>
              <w:t>—2000</w:t>
            </w:r>
          </w:p>
        </w:tc>
      </w:tr>
    </w:tbl>
    <w:p w14:paraId="7A0A163F">
      <w:pPr>
        <w:snapToGrid w:val="0"/>
        <w:spacing w:line="440" w:lineRule="exact"/>
        <w:ind w:firstLine="420" w:firstLineChars="200"/>
        <w:rPr>
          <w:szCs w:val="21"/>
        </w:rPr>
      </w:pPr>
      <w:r>
        <w:rPr>
          <w:szCs w:val="21"/>
        </w:rPr>
        <w:t>执行企业标准、团体标准、地方标准的产品，检验项目参照上述内容执行。</w:t>
      </w:r>
    </w:p>
    <w:p w14:paraId="021AAD2D">
      <w:pPr>
        <w:snapToGrid w:val="0"/>
        <w:spacing w:line="440" w:lineRule="exact"/>
        <w:ind w:firstLine="420" w:firstLineChars="200"/>
        <w:rPr>
          <w:szCs w:val="21"/>
        </w:rPr>
      </w:pPr>
      <w:r>
        <w:rPr>
          <w:szCs w:val="21"/>
        </w:rPr>
        <w:t>凡是注日期的文件，其随后所有的修改单（不包括勘误的内容）或修订版不适用于本细则。凡是不注日期的文件，其最新版本适用于本细则。</w:t>
      </w:r>
    </w:p>
    <w:p w14:paraId="2615C899">
      <w:pPr>
        <w:spacing w:beforeLines="50" w:line="360" w:lineRule="auto"/>
        <w:rPr>
          <w:rFonts w:eastAsia="黑体"/>
          <w:color w:val="000000"/>
          <w:szCs w:val="21"/>
        </w:rPr>
      </w:pPr>
      <w:r>
        <w:rPr>
          <w:rFonts w:eastAsia="黑体"/>
          <w:color w:val="000000"/>
          <w:szCs w:val="21"/>
        </w:rPr>
        <w:t>3 判定规则</w:t>
      </w:r>
    </w:p>
    <w:p w14:paraId="3FE1BBBA">
      <w:pPr>
        <w:snapToGrid w:val="0"/>
        <w:spacing w:line="440" w:lineRule="exact"/>
        <w:rPr>
          <w:color w:val="000000"/>
          <w:szCs w:val="21"/>
        </w:rPr>
      </w:pPr>
      <w:r>
        <w:rPr>
          <w:color w:val="000000"/>
          <w:szCs w:val="21"/>
        </w:rPr>
        <w:t>3.1依据标准</w:t>
      </w:r>
    </w:p>
    <w:p w14:paraId="407A0DFE">
      <w:pPr>
        <w:adjustRightInd w:val="0"/>
        <w:snapToGrid w:val="0"/>
        <w:spacing w:line="400" w:lineRule="exact"/>
        <w:ind w:left="420" w:leftChars="200"/>
        <w:rPr>
          <w:rFonts w:eastAsiaTheme="minorEastAsia"/>
          <w:szCs w:val="21"/>
        </w:rPr>
      </w:pPr>
      <w:r>
        <w:rPr>
          <w:rFonts w:eastAsiaTheme="minorEastAsia"/>
          <w:szCs w:val="21"/>
        </w:rPr>
        <w:t xml:space="preserve">GB/T 9755—2024  </w:t>
      </w:r>
      <w:r>
        <w:rPr>
          <w:rFonts w:hAnsiTheme="minorEastAsia" w:eastAsiaTheme="minorEastAsia"/>
          <w:szCs w:val="21"/>
        </w:rPr>
        <w:t>合成树脂乳液墙面涂料</w:t>
      </w:r>
    </w:p>
    <w:p w14:paraId="5D33D44C">
      <w:pPr>
        <w:adjustRightInd w:val="0"/>
        <w:snapToGrid w:val="0"/>
        <w:spacing w:line="400" w:lineRule="exact"/>
        <w:ind w:left="420" w:leftChars="200"/>
        <w:rPr>
          <w:rFonts w:eastAsiaTheme="minorEastAsia"/>
          <w:szCs w:val="21"/>
        </w:rPr>
      </w:pPr>
      <w:r>
        <w:rPr>
          <w:rFonts w:eastAsiaTheme="minorEastAsia"/>
          <w:szCs w:val="21"/>
        </w:rPr>
        <w:t xml:space="preserve">JG/T 24—2018    </w:t>
      </w:r>
      <w:r>
        <w:rPr>
          <w:rFonts w:hAnsiTheme="minorEastAsia" w:eastAsiaTheme="minorEastAsia"/>
          <w:szCs w:val="21"/>
        </w:rPr>
        <w:t>合成树脂乳液砂壁状建筑涂料</w:t>
      </w:r>
    </w:p>
    <w:p w14:paraId="73D506F1">
      <w:pPr>
        <w:adjustRightInd w:val="0"/>
        <w:snapToGrid w:val="0"/>
        <w:spacing w:line="400" w:lineRule="exact"/>
        <w:ind w:left="420" w:leftChars="200"/>
        <w:rPr>
          <w:rFonts w:eastAsiaTheme="minorEastAsia"/>
          <w:szCs w:val="21"/>
        </w:rPr>
      </w:pPr>
      <w:r>
        <w:rPr>
          <w:rFonts w:eastAsiaTheme="minorEastAsia"/>
          <w:szCs w:val="21"/>
        </w:rPr>
        <w:t xml:space="preserve">JG/T 298—2010   </w:t>
      </w:r>
      <w:r>
        <w:rPr>
          <w:rFonts w:hAnsiTheme="minorEastAsia" w:eastAsiaTheme="minorEastAsia"/>
          <w:szCs w:val="21"/>
        </w:rPr>
        <w:t>建筑室内用腻子</w:t>
      </w:r>
    </w:p>
    <w:p w14:paraId="287533E4">
      <w:pPr>
        <w:adjustRightInd w:val="0"/>
        <w:snapToGrid w:val="0"/>
        <w:spacing w:line="400" w:lineRule="exact"/>
        <w:ind w:left="420" w:leftChars="200"/>
        <w:rPr>
          <w:rFonts w:eastAsiaTheme="minorEastAsia"/>
          <w:szCs w:val="21"/>
        </w:rPr>
      </w:pPr>
      <w:r>
        <w:rPr>
          <w:rFonts w:eastAsiaTheme="minorEastAsia"/>
          <w:szCs w:val="21"/>
        </w:rPr>
        <w:t xml:space="preserve">JG/T 157—2009   </w:t>
      </w:r>
      <w:r>
        <w:rPr>
          <w:rFonts w:hAnsiTheme="minorEastAsia" w:eastAsiaTheme="minorEastAsia"/>
          <w:szCs w:val="21"/>
        </w:rPr>
        <w:t>建筑外墙用腻子</w:t>
      </w:r>
    </w:p>
    <w:p w14:paraId="4D17C21C">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2BD67129">
      <w:pPr>
        <w:adjustRightInd w:val="0"/>
        <w:snapToGrid w:val="0"/>
        <w:spacing w:line="440" w:lineRule="exact"/>
        <w:rPr>
          <w:color w:val="000000"/>
          <w:szCs w:val="21"/>
        </w:rPr>
      </w:pPr>
      <w:r>
        <w:rPr>
          <w:rFonts w:hint="eastAsia"/>
          <w:color w:val="000000"/>
          <w:szCs w:val="21"/>
        </w:rPr>
        <w:t>3.2判定原则</w:t>
      </w:r>
    </w:p>
    <w:p w14:paraId="048CB957">
      <w:pPr>
        <w:adjustRightInd w:val="0"/>
        <w:snapToGrid w:val="0"/>
        <w:spacing w:line="440" w:lineRule="exact"/>
        <w:ind w:firstLine="420" w:firstLineChars="200"/>
        <w:rPr>
          <w:color w:val="000000"/>
          <w:szCs w:val="21"/>
        </w:rPr>
      </w:pPr>
      <w:r>
        <w:rPr>
          <w:rFonts w:hint="eastAsia"/>
          <w:color w:val="000000"/>
          <w:szCs w:val="21"/>
        </w:rPr>
        <w:t>经检验，检验项目全部合格，判定为被抽查产</w:t>
      </w:r>
      <w:r>
        <w:rPr>
          <w:rFonts w:hint="eastAsia"/>
          <w:color w:val="000000" w:themeColor="text1"/>
          <w:szCs w:val="21"/>
        </w:rPr>
        <w:t>品所检项目未发现不合</w:t>
      </w:r>
      <w:r>
        <w:rPr>
          <w:rFonts w:hint="eastAsia"/>
          <w:color w:val="000000"/>
          <w:szCs w:val="21"/>
        </w:rPr>
        <w:t>格；检验项目中任一项或一项以上不合格，判定为被抽查产品不合格。</w:t>
      </w:r>
    </w:p>
    <w:p w14:paraId="1E7ECE4C">
      <w:pPr>
        <w:adjustRightInd w:val="0"/>
        <w:snapToGrid w:val="0"/>
        <w:spacing w:line="440" w:lineRule="exact"/>
        <w:ind w:firstLine="417" w:firstLineChars="199"/>
        <w:rPr>
          <w:color w:val="000000"/>
          <w:szCs w:val="21"/>
        </w:rPr>
      </w:pPr>
      <w:r>
        <w:rPr>
          <w:rFonts w:hint="eastAsia"/>
          <w:color w:val="000000"/>
          <w:szCs w:val="21"/>
        </w:rPr>
        <w:t>若被检产品明示的质量要求高于本细则中检验项目依据的标准要求时，应按被检产品明示的质量要求判定。</w:t>
      </w:r>
    </w:p>
    <w:p w14:paraId="3CD48104">
      <w:pPr>
        <w:adjustRightInd w:val="0"/>
        <w:snapToGrid w:val="0"/>
        <w:spacing w:line="440" w:lineRule="exact"/>
        <w:ind w:firstLine="417" w:firstLineChars="199"/>
        <w:rPr>
          <w:color w:val="000000"/>
          <w:szCs w:val="21"/>
        </w:rPr>
      </w:pPr>
      <w:r>
        <w:rPr>
          <w:rFonts w:hint="eastAsia"/>
          <w:color w:val="000000"/>
          <w:szCs w:val="21"/>
        </w:rPr>
        <w:t>若被检产品明示的质量要求低于本细则中检验项目依据的强制性标准要求时，应按照强制性标准要求判定。</w:t>
      </w:r>
    </w:p>
    <w:p w14:paraId="21AFD842">
      <w:pPr>
        <w:adjustRightInd w:val="0"/>
        <w:snapToGrid w:val="0"/>
        <w:spacing w:line="440" w:lineRule="exact"/>
        <w:ind w:firstLine="417" w:firstLineChars="199"/>
        <w:rPr>
          <w:color w:val="000000"/>
          <w:szCs w:val="21"/>
        </w:rPr>
      </w:pPr>
      <w:r>
        <w:rPr>
          <w:rFonts w:hint="eastAsia"/>
          <w:color w:val="000000"/>
          <w:szCs w:val="21"/>
        </w:rPr>
        <w:t>若被检产品明示的质量要求低于或包含细则中检验项目依据的推荐性标准要求时，应以被检产品明示的质量要求判定。</w:t>
      </w:r>
    </w:p>
    <w:p w14:paraId="186A6BC2">
      <w:pPr>
        <w:adjustRightInd w:val="0"/>
        <w:snapToGrid w:val="0"/>
        <w:spacing w:line="440" w:lineRule="exact"/>
        <w:ind w:firstLine="417" w:firstLineChars="199"/>
        <w:rPr>
          <w:color w:val="000000"/>
          <w:szCs w:val="21"/>
        </w:rPr>
      </w:pPr>
      <w:r>
        <w:rPr>
          <w:rFonts w:hint="eastAsia"/>
          <w:color w:val="000000"/>
          <w:szCs w:val="21"/>
        </w:rPr>
        <w:t>若被检产品明示的质量要求缺少本细则中检验项目依据的强制性标准要求时，应按照强制性标准要求判定。</w:t>
      </w:r>
    </w:p>
    <w:p w14:paraId="215F0EC1">
      <w:pPr>
        <w:snapToGrid w:val="0"/>
        <w:spacing w:line="440" w:lineRule="exact"/>
        <w:ind w:firstLine="417" w:firstLineChars="199"/>
        <w:rPr>
          <w:color w:val="000000"/>
          <w:szCs w:val="21"/>
        </w:rPr>
      </w:pPr>
      <w:r>
        <w:rPr>
          <w:rFonts w:hint="eastAsia"/>
          <w:color w:val="000000"/>
          <w:szCs w:val="21"/>
        </w:rPr>
        <w:t>若被检产品明示的质量要求缺少本细则中检验项目依据的推荐性标准要求时，该项目不参与判定。</w:t>
      </w:r>
    </w:p>
    <w:p w14:paraId="1C7F1A66">
      <w:pPr>
        <w:snapToGrid w:val="0"/>
        <w:spacing w:line="440" w:lineRule="exact"/>
        <w:rPr>
          <w:rFonts w:eastAsia="黑体"/>
          <w:szCs w:val="21"/>
        </w:rPr>
      </w:pPr>
      <w:r>
        <w:rPr>
          <w:rFonts w:hint="eastAsia" w:eastAsia="黑体"/>
          <w:szCs w:val="21"/>
        </w:rPr>
        <w:t>4附则</w:t>
      </w:r>
    </w:p>
    <w:p w14:paraId="07B18F43">
      <w:pPr>
        <w:snapToGrid w:val="0"/>
        <w:spacing w:line="440" w:lineRule="exact"/>
        <w:ind w:firstLine="420" w:firstLineChars="200"/>
        <w:rPr>
          <w:szCs w:val="21"/>
        </w:rPr>
      </w:pPr>
      <w:r>
        <w:rPr>
          <w:rFonts w:hint="eastAsia"/>
          <w:szCs w:val="21"/>
        </w:rPr>
        <w:t>本细则由淮南市市场监督管理局管理。</w:t>
      </w:r>
    </w:p>
    <w:p w14:paraId="246C3F6C">
      <w:pPr>
        <w:adjustRightInd w:val="0"/>
        <w:snapToGrid w:val="0"/>
        <w:spacing w:line="440" w:lineRule="exact"/>
        <w:ind w:firstLine="420" w:firstLineChars="200"/>
        <w:rPr>
          <w:color w:val="000000"/>
          <w:szCs w:val="21"/>
        </w:rPr>
      </w:pP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方正仿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0623EE">
    <w:pPr>
      <w:pStyle w:val="5"/>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14:paraId="4042121C">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26D86">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RkZWEyZDA0MTYyMmQ3ZjMwMDUwNzM5YmY5NGEwM2YifQ=="/>
    <w:docVar w:name="KSO_WPS_MARK_KEY" w:val="31c68f15-0f69-4088-92c5-2a24a4f1ab11"/>
  </w:docVars>
  <w:rsids>
    <w:rsidRoot w:val="00172A27"/>
    <w:rsid w:val="00001D7E"/>
    <w:rsid w:val="00007345"/>
    <w:rsid w:val="00012EEB"/>
    <w:rsid w:val="00051A44"/>
    <w:rsid w:val="00052092"/>
    <w:rsid w:val="000770C5"/>
    <w:rsid w:val="0008032C"/>
    <w:rsid w:val="00081CBD"/>
    <w:rsid w:val="000976DE"/>
    <w:rsid w:val="000C27EF"/>
    <w:rsid w:val="000F2B3C"/>
    <w:rsid w:val="00172A27"/>
    <w:rsid w:val="001809DD"/>
    <w:rsid w:val="001A51E1"/>
    <w:rsid w:val="0021621A"/>
    <w:rsid w:val="00235DC4"/>
    <w:rsid w:val="002465B9"/>
    <w:rsid w:val="00247E11"/>
    <w:rsid w:val="002501F8"/>
    <w:rsid w:val="00253624"/>
    <w:rsid w:val="002627EB"/>
    <w:rsid w:val="00275517"/>
    <w:rsid w:val="002775B9"/>
    <w:rsid w:val="002A25C4"/>
    <w:rsid w:val="002B2F08"/>
    <w:rsid w:val="002D516F"/>
    <w:rsid w:val="002D7F8A"/>
    <w:rsid w:val="002E0D1D"/>
    <w:rsid w:val="002E3205"/>
    <w:rsid w:val="003203A3"/>
    <w:rsid w:val="00325485"/>
    <w:rsid w:val="00327885"/>
    <w:rsid w:val="003B65A7"/>
    <w:rsid w:val="003C388C"/>
    <w:rsid w:val="003D37E6"/>
    <w:rsid w:val="003D6DF1"/>
    <w:rsid w:val="003E011E"/>
    <w:rsid w:val="003E61BF"/>
    <w:rsid w:val="0041489F"/>
    <w:rsid w:val="004427CF"/>
    <w:rsid w:val="00445E86"/>
    <w:rsid w:val="00462566"/>
    <w:rsid w:val="00467E74"/>
    <w:rsid w:val="00474E04"/>
    <w:rsid w:val="00483AC6"/>
    <w:rsid w:val="004856F1"/>
    <w:rsid w:val="004962E3"/>
    <w:rsid w:val="004A0936"/>
    <w:rsid w:val="004A19E6"/>
    <w:rsid w:val="004A4D52"/>
    <w:rsid w:val="004C7701"/>
    <w:rsid w:val="004D0C5A"/>
    <w:rsid w:val="004E1396"/>
    <w:rsid w:val="004E7C02"/>
    <w:rsid w:val="004F79ED"/>
    <w:rsid w:val="0050405A"/>
    <w:rsid w:val="00513FEA"/>
    <w:rsid w:val="005234E2"/>
    <w:rsid w:val="00563EBC"/>
    <w:rsid w:val="0056578C"/>
    <w:rsid w:val="00585975"/>
    <w:rsid w:val="0059238A"/>
    <w:rsid w:val="005B64D3"/>
    <w:rsid w:val="005D2B84"/>
    <w:rsid w:val="005E2291"/>
    <w:rsid w:val="005F4CC6"/>
    <w:rsid w:val="00666E54"/>
    <w:rsid w:val="00684243"/>
    <w:rsid w:val="006A0B42"/>
    <w:rsid w:val="006A513E"/>
    <w:rsid w:val="006B79A8"/>
    <w:rsid w:val="006E213C"/>
    <w:rsid w:val="006E5209"/>
    <w:rsid w:val="006F0186"/>
    <w:rsid w:val="006F0971"/>
    <w:rsid w:val="00722035"/>
    <w:rsid w:val="0072334C"/>
    <w:rsid w:val="00736DEA"/>
    <w:rsid w:val="00744F41"/>
    <w:rsid w:val="00755136"/>
    <w:rsid w:val="007928F3"/>
    <w:rsid w:val="008139C8"/>
    <w:rsid w:val="00871617"/>
    <w:rsid w:val="00895BEA"/>
    <w:rsid w:val="008A3497"/>
    <w:rsid w:val="008B1BD3"/>
    <w:rsid w:val="008D23A5"/>
    <w:rsid w:val="00917A54"/>
    <w:rsid w:val="009236D8"/>
    <w:rsid w:val="009249EF"/>
    <w:rsid w:val="00926C29"/>
    <w:rsid w:val="00930572"/>
    <w:rsid w:val="009865FB"/>
    <w:rsid w:val="0099665A"/>
    <w:rsid w:val="009D5E02"/>
    <w:rsid w:val="009E01DE"/>
    <w:rsid w:val="009E2550"/>
    <w:rsid w:val="009E4DB8"/>
    <w:rsid w:val="009F7375"/>
    <w:rsid w:val="009F7525"/>
    <w:rsid w:val="00A07E66"/>
    <w:rsid w:val="00A43553"/>
    <w:rsid w:val="00A56E29"/>
    <w:rsid w:val="00A62E74"/>
    <w:rsid w:val="00A760C9"/>
    <w:rsid w:val="00A90157"/>
    <w:rsid w:val="00A902CC"/>
    <w:rsid w:val="00AC4358"/>
    <w:rsid w:val="00AD5A48"/>
    <w:rsid w:val="00AF24AF"/>
    <w:rsid w:val="00B97B76"/>
    <w:rsid w:val="00BE63DC"/>
    <w:rsid w:val="00BF5D64"/>
    <w:rsid w:val="00C26074"/>
    <w:rsid w:val="00C40662"/>
    <w:rsid w:val="00C44CD6"/>
    <w:rsid w:val="00C61D11"/>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26920"/>
    <w:rsid w:val="00E53438"/>
    <w:rsid w:val="00E82621"/>
    <w:rsid w:val="00EC4304"/>
    <w:rsid w:val="00ED4450"/>
    <w:rsid w:val="00ED5419"/>
    <w:rsid w:val="00F10F38"/>
    <w:rsid w:val="00F332B6"/>
    <w:rsid w:val="00F641CE"/>
    <w:rsid w:val="00F77C9A"/>
    <w:rsid w:val="00F86832"/>
    <w:rsid w:val="00F91711"/>
    <w:rsid w:val="00F9432B"/>
    <w:rsid w:val="00FA2298"/>
    <w:rsid w:val="00FB2EAF"/>
    <w:rsid w:val="00FB576C"/>
    <w:rsid w:val="00FD2AA6"/>
    <w:rsid w:val="00FE7E8A"/>
    <w:rsid w:val="00FF5DCC"/>
    <w:rsid w:val="032153FA"/>
    <w:rsid w:val="05DB04A3"/>
    <w:rsid w:val="06EF1ADC"/>
    <w:rsid w:val="08650854"/>
    <w:rsid w:val="09234C9E"/>
    <w:rsid w:val="0BF3562B"/>
    <w:rsid w:val="0D2D5308"/>
    <w:rsid w:val="0EA16002"/>
    <w:rsid w:val="10687853"/>
    <w:rsid w:val="113A2B1E"/>
    <w:rsid w:val="11473DDB"/>
    <w:rsid w:val="13685340"/>
    <w:rsid w:val="15807415"/>
    <w:rsid w:val="1A784B4A"/>
    <w:rsid w:val="1B9113EA"/>
    <w:rsid w:val="1CD979D6"/>
    <w:rsid w:val="1D2E1A78"/>
    <w:rsid w:val="1F14159B"/>
    <w:rsid w:val="1FE13D0A"/>
    <w:rsid w:val="20452C91"/>
    <w:rsid w:val="22096B18"/>
    <w:rsid w:val="22F846E7"/>
    <w:rsid w:val="25B076F4"/>
    <w:rsid w:val="27B0758A"/>
    <w:rsid w:val="2AE961D0"/>
    <w:rsid w:val="2CBC7605"/>
    <w:rsid w:val="2E402CEA"/>
    <w:rsid w:val="30A560CC"/>
    <w:rsid w:val="36971BB5"/>
    <w:rsid w:val="375431B2"/>
    <w:rsid w:val="3AD11981"/>
    <w:rsid w:val="3DB26D01"/>
    <w:rsid w:val="403D52DB"/>
    <w:rsid w:val="43680C43"/>
    <w:rsid w:val="439D67BD"/>
    <w:rsid w:val="4AEE5B50"/>
    <w:rsid w:val="4F4A4DD0"/>
    <w:rsid w:val="50356864"/>
    <w:rsid w:val="50387557"/>
    <w:rsid w:val="51B16CB1"/>
    <w:rsid w:val="575527A0"/>
    <w:rsid w:val="580F6756"/>
    <w:rsid w:val="5DDF5FFC"/>
    <w:rsid w:val="5FC44C79"/>
    <w:rsid w:val="60186FF5"/>
    <w:rsid w:val="60F13276"/>
    <w:rsid w:val="61DA565F"/>
    <w:rsid w:val="636B2161"/>
    <w:rsid w:val="645E744B"/>
    <w:rsid w:val="64F8164D"/>
    <w:rsid w:val="65530838"/>
    <w:rsid w:val="65F46D8D"/>
    <w:rsid w:val="6C9E3369"/>
    <w:rsid w:val="6CD35E8B"/>
    <w:rsid w:val="6FBB0D5A"/>
    <w:rsid w:val="730613D9"/>
    <w:rsid w:val="733405DD"/>
    <w:rsid w:val="768019D5"/>
    <w:rsid w:val="768F7938"/>
    <w:rsid w:val="7BEF7469"/>
    <w:rsid w:val="7D4233C9"/>
    <w:rsid w:val="7EDB396C"/>
    <w:rsid w:val="7F7B129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4B6A3-843F-4B26-9DC6-FBC61A469EC2}">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3</Pages>
  <Words>941</Words>
  <Characters>1273</Characters>
  <Lines>10</Lines>
  <Paragraphs>2</Paragraphs>
  <TotalTime>387</TotalTime>
  <ScaleCrop>false</ScaleCrop>
  <LinksUpToDate>false</LinksUpToDate>
  <CharactersWithSpaces>1326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2019-12-31T08:57:00Z</dcterms:created>
  <dc:creator>Legend User</dc:creator>
  <cp:lastModifiedBy>国家煤化工质检中心</cp:lastModifiedBy>
  <cp:lastPrinted>2022-02-24T00:43:00Z</cp:lastPrinted>
  <dcterms:modified xsi:type="dcterms:W3CDTF">2026-04-13T01:03:04Z</dcterms:modified>
  <dc:title>××产品质量监督抽查实施细则</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B8CE04A1E5E7460BB13C46CF9F05AF67</vt:lpwstr>
  </property>
  <property fmtid="{D5CDD505-2E9C-101B-9397-08002B2CF9AE}" pid="4" name="KSOTemplateDocerSaveRecord">
    <vt:lpwstr>eyJoZGlkIjoiYzUyNjhhNzAxNGQzZTVjZGI4OWNkMzdmNjE1MWFmMTEiLCJ1c2VySWQiOiI1NzEzMjEzNzgifQ==</vt:lpwstr>
  </property>
</Properties>
</file>