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AADCB">
      <w:pPr>
        <w:snapToGrid w:val="0"/>
        <w:spacing w:line="440" w:lineRule="exact"/>
        <w:ind w:firstLine="547" w:firstLineChars="171"/>
        <w:jc w:val="center"/>
        <w:rPr>
          <w:rFonts w:ascii="方正小标宋简体" w:hAnsi="方正小标宋简体" w:eastAsia="方正小标宋简体" w:cs="方正小标宋简体"/>
          <w:color w:val="000000" w:themeColor="text1"/>
          <w:sz w:val="32"/>
          <w:szCs w:val="32"/>
        </w:rPr>
      </w:pPr>
      <w:r>
        <w:rPr>
          <w:rFonts w:hint="eastAsia" w:ascii="方正小标宋简体" w:hAnsi="方正小标宋简体" w:eastAsia="方正小标宋简体" w:cs="方正小标宋简体"/>
          <w:color w:val="000000" w:themeColor="text1"/>
          <w:sz w:val="32"/>
          <w:szCs w:val="32"/>
        </w:rPr>
        <w:t>淮南市农用地膜产品质量</w:t>
      </w:r>
      <w:bookmarkStart w:id="3" w:name="_GoBack"/>
      <w:bookmarkEnd w:id="3"/>
      <w:r>
        <w:rPr>
          <w:rFonts w:hint="eastAsia" w:ascii="方正小标宋简体" w:hAnsi="方正小标宋简体" w:eastAsia="方正小标宋简体" w:cs="方正小标宋简体"/>
          <w:color w:val="000000" w:themeColor="text1"/>
          <w:sz w:val="32"/>
          <w:szCs w:val="32"/>
        </w:rPr>
        <w:t>监督抽查实施细则</w:t>
      </w:r>
    </w:p>
    <w:p w14:paraId="5475923E">
      <w:pPr>
        <w:snapToGrid w:val="0"/>
        <w:spacing w:line="440" w:lineRule="exact"/>
        <w:ind w:firstLine="547" w:firstLineChars="171"/>
        <w:jc w:val="center"/>
        <w:rPr>
          <w:rFonts w:ascii="方正公文小标宋" w:hAnsi="方正公文小标宋" w:eastAsia="方正公文小标宋" w:cs="方正公文小标宋"/>
          <w:color w:val="000000" w:themeColor="text1"/>
          <w:sz w:val="32"/>
          <w:szCs w:val="32"/>
        </w:rPr>
      </w:pPr>
      <w:r>
        <w:rPr>
          <w:rFonts w:hint="eastAsia" w:ascii="方正小标宋简体" w:hAnsi="方正小标宋简体" w:eastAsia="方正小标宋简体" w:cs="方正小标宋简体"/>
          <w:color w:val="000000" w:themeColor="text1"/>
          <w:sz w:val="32"/>
          <w:szCs w:val="32"/>
        </w:rPr>
        <w:t>（2026版）</w:t>
      </w:r>
    </w:p>
    <w:p w14:paraId="667C9077">
      <w:pPr>
        <w:snapToGrid w:val="0"/>
        <w:spacing w:line="440" w:lineRule="exact"/>
        <w:rPr>
          <w:rFonts w:eastAsia="黑体"/>
          <w:color w:val="000000" w:themeColor="text1"/>
          <w:szCs w:val="21"/>
        </w:rPr>
      </w:pPr>
      <w:r>
        <w:rPr>
          <w:rFonts w:eastAsia="黑体"/>
          <w:color w:val="000000" w:themeColor="text1"/>
          <w:szCs w:val="21"/>
        </w:rPr>
        <w:t>1 抽样方法</w:t>
      </w:r>
    </w:p>
    <w:p w14:paraId="723A5CE2">
      <w:pPr>
        <w:snapToGrid w:val="0"/>
        <w:spacing w:line="440" w:lineRule="exact"/>
        <w:ind w:firstLine="420" w:firstLineChars="200"/>
        <w:rPr>
          <w:color w:val="000000" w:themeColor="text1"/>
          <w:szCs w:val="21"/>
        </w:rPr>
      </w:pPr>
      <w:r>
        <w:rPr>
          <w:color w:val="000000" w:themeColor="text1"/>
          <w:szCs w:val="21"/>
        </w:rPr>
        <w:t>以随机抽样的方式在被抽样生产者、销售者的待销产品中抽取。</w:t>
      </w:r>
    </w:p>
    <w:p w14:paraId="736272FF">
      <w:pPr>
        <w:snapToGrid w:val="0"/>
        <w:spacing w:line="440" w:lineRule="exact"/>
        <w:ind w:firstLine="420" w:firstLineChars="200"/>
        <w:rPr>
          <w:rFonts w:ascii="宋体" w:hAnsi="宋体"/>
          <w:color w:val="000000" w:themeColor="text1"/>
          <w:szCs w:val="21"/>
        </w:rPr>
      </w:pPr>
      <w:r>
        <w:rPr>
          <w:rFonts w:hint="eastAsia" w:ascii="宋体" w:hAnsi="宋体"/>
          <w:color w:val="000000" w:themeColor="text1"/>
          <w:szCs w:val="21"/>
        </w:rPr>
        <w:t>随机数一般可使用随机数表等方法产生。</w:t>
      </w:r>
    </w:p>
    <w:p w14:paraId="12BA1255">
      <w:pPr>
        <w:snapToGrid w:val="0"/>
        <w:spacing w:line="440" w:lineRule="exact"/>
        <w:ind w:firstLine="420" w:firstLineChars="200"/>
        <w:rPr>
          <w:rFonts w:asciiTheme="minorEastAsia" w:hAnsiTheme="minorEastAsia" w:eastAsiaTheme="minorEastAsia"/>
          <w:color w:val="000000" w:themeColor="text1"/>
          <w:szCs w:val="21"/>
        </w:rPr>
      </w:pPr>
      <w:r>
        <w:rPr>
          <w:rFonts w:hint="eastAsia" w:cs="宋体"/>
          <w:color w:val="000000" w:themeColor="text1"/>
        </w:rPr>
        <w:t>每批次产品抽取样品2卷或连续</w:t>
      </w:r>
      <w:r>
        <w:rPr>
          <w:rFonts w:hint="eastAsia" w:cs="宋体"/>
          <w:color w:val="000000" w:themeColor="text1"/>
          <w:szCs w:val="21"/>
        </w:rPr>
        <w:t>2段（每段不少于5米）</w:t>
      </w:r>
      <w:r>
        <w:rPr>
          <w:rFonts w:hint="eastAsia" w:cs="宋体"/>
          <w:color w:val="000000" w:themeColor="text1"/>
        </w:rPr>
        <w:t>，其中1卷（段）作为检验样品，1卷（段）作为备用样品。</w:t>
      </w:r>
    </w:p>
    <w:p w14:paraId="0319BDDE">
      <w:pPr>
        <w:snapToGrid w:val="0"/>
        <w:spacing w:line="440" w:lineRule="exact"/>
        <w:rPr>
          <w:rFonts w:eastAsia="黑体"/>
          <w:color w:val="000000" w:themeColor="text1"/>
          <w:szCs w:val="21"/>
        </w:rPr>
      </w:pPr>
      <w:r>
        <w:rPr>
          <w:rFonts w:eastAsia="黑体"/>
          <w:color w:val="000000" w:themeColor="text1"/>
          <w:szCs w:val="21"/>
        </w:rPr>
        <w:t>2 检验依据</w:t>
      </w:r>
    </w:p>
    <w:p w14:paraId="1E3B1C49">
      <w:pPr>
        <w:snapToGrid w:val="0"/>
        <w:spacing w:line="440" w:lineRule="exact"/>
        <w:rPr>
          <w:rFonts w:eastAsia="黑体"/>
          <w:color w:val="000000" w:themeColor="text1"/>
          <w:szCs w:val="21"/>
        </w:rPr>
      </w:pPr>
    </w:p>
    <w:tbl>
      <w:tblPr>
        <w:tblStyle w:val="8"/>
        <w:tblW w:w="7652" w:type="dxa"/>
        <w:tblInd w:w="93" w:type="dxa"/>
        <w:tblLayout w:type="fixed"/>
        <w:tblCellMar>
          <w:top w:w="0" w:type="dxa"/>
          <w:left w:w="108" w:type="dxa"/>
          <w:bottom w:w="0" w:type="dxa"/>
          <w:right w:w="108" w:type="dxa"/>
        </w:tblCellMar>
      </w:tblPr>
      <w:tblGrid>
        <w:gridCol w:w="1187"/>
        <w:gridCol w:w="3615"/>
        <w:gridCol w:w="2850"/>
      </w:tblGrid>
      <w:tr w14:paraId="2632F3D3">
        <w:tblPrEx>
          <w:tblCellMar>
            <w:top w:w="0" w:type="dxa"/>
            <w:left w:w="108" w:type="dxa"/>
            <w:bottom w:w="0" w:type="dxa"/>
            <w:right w:w="108" w:type="dxa"/>
          </w:tblCellMar>
        </w:tblPrEx>
        <w:trPr>
          <w:trHeight w:val="375" w:hRule="atLeast"/>
          <w:tblHeader/>
        </w:trPr>
        <w:tc>
          <w:tcPr>
            <w:tcW w:w="1187" w:type="dxa"/>
            <w:vMerge w:val="restart"/>
            <w:tcBorders>
              <w:top w:val="single" w:color="auto" w:sz="8" w:space="0"/>
              <w:left w:val="single" w:color="auto" w:sz="8" w:space="0"/>
              <w:bottom w:val="single" w:color="000000" w:sz="8" w:space="0"/>
              <w:right w:val="single" w:color="auto" w:sz="8" w:space="0"/>
            </w:tcBorders>
            <w:vAlign w:val="center"/>
          </w:tcPr>
          <w:p w14:paraId="769C7674">
            <w:pPr>
              <w:jc w:val="center"/>
              <w:rPr>
                <w:rFonts w:cs="宋体" w:asciiTheme="minorEastAsia" w:hAnsiTheme="minorEastAsia" w:eastAsiaTheme="minorEastAsia"/>
                <w:color w:val="000000" w:themeColor="text1"/>
                <w:szCs w:val="21"/>
              </w:rPr>
            </w:pPr>
            <w:r>
              <w:rPr>
                <w:rFonts w:hint="eastAsia" w:cs="宋体" w:asciiTheme="minorEastAsia" w:hAnsiTheme="minorEastAsia" w:eastAsiaTheme="minorEastAsia"/>
                <w:color w:val="000000" w:themeColor="text1"/>
                <w:szCs w:val="21"/>
              </w:rPr>
              <w:t>序号</w:t>
            </w:r>
          </w:p>
        </w:tc>
        <w:tc>
          <w:tcPr>
            <w:tcW w:w="3615" w:type="dxa"/>
            <w:vMerge w:val="restart"/>
            <w:tcBorders>
              <w:top w:val="single" w:color="auto" w:sz="8" w:space="0"/>
              <w:left w:val="single" w:color="auto" w:sz="8" w:space="0"/>
              <w:bottom w:val="single" w:color="000000" w:sz="8" w:space="0"/>
              <w:right w:val="single" w:color="auto" w:sz="8" w:space="0"/>
            </w:tcBorders>
            <w:vAlign w:val="center"/>
          </w:tcPr>
          <w:p w14:paraId="5473FE5B">
            <w:pPr>
              <w:jc w:val="center"/>
              <w:rPr>
                <w:rFonts w:cs="宋体" w:asciiTheme="minorEastAsia" w:hAnsiTheme="minorEastAsia" w:eastAsiaTheme="minorEastAsia"/>
                <w:color w:val="000000" w:themeColor="text1"/>
                <w:szCs w:val="21"/>
              </w:rPr>
            </w:pPr>
            <w:r>
              <w:rPr>
                <w:rFonts w:hint="eastAsia" w:cs="宋体" w:asciiTheme="minorEastAsia" w:hAnsiTheme="minorEastAsia" w:eastAsiaTheme="minorEastAsia"/>
                <w:color w:val="000000" w:themeColor="text1"/>
                <w:szCs w:val="21"/>
              </w:rPr>
              <w:t>检验项目</w:t>
            </w:r>
          </w:p>
        </w:tc>
        <w:tc>
          <w:tcPr>
            <w:tcW w:w="2850" w:type="dxa"/>
            <w:vMerge w:val="restart"/>
            <w:tcBorders>
              <w:top w:val="single" w:color="auto" w:sz="8" w:space="0"/>
              <w:left w:val="single" w:color="auto" w:sz="8" w:space="0"/>
              <w:bottom w:val="single" w:color="000000" w:sz="8" w:space="0"/>
              <w:right w:val="single" w:color="auto" w:sz="8" w:space="0"/>
            </w:tcBorders>
            <w:vAlign w:val="center"/>
          </w:tcPr>
          <w:p w14:paraId="53BA75FE">
            <w:pPr>
              <w:jc w:val="center"/>
              <w:rPr>
                <w:rFonts w:cs="宋体" w:asciiTheme="minorEastAsia" w:hAnsiTheme="minorEastAsia" w:eastAsiaTheme="minorEastAsia"/>
                <w:color w:val="000000" w:themeColor="text1"/>
                <w:szCs w:val="21"/>
              </w:rPr>
            </w:pPr>
            <w:r>
              <w:rPr>
                <w:rFonts w:hint="eastAsia" w:cs="宋体" w:asciiTheme="minorEastAsia" w:hAnsiTheme="minorEastAsia" w:eastAsiaTheme="minorEastAsia"/>
                <w:color w:val="000000" w:themeColor="text1"/>
                <w:szCs w:val="21"/>
              </w:rPr>
              <w:t>检测方法</w:t>
            </w:r>
          </w:p>
        </w:tc>
      </w:tr>
      <w:tr w14:paraId="0ED68AE0">
        <w:tblPrEx>
          <w:tblCellMar>
            <w:top w:w="0" w:type="dxa"/>
            <w:left w:w="108" w:type="dxa"/>
            <w:bottom w:w="0" w:type="dxa"/>
            <w:right w:w="108" w:type="dxa"/>
          </w:tblCellMar>
        </w:tblPrEx>
        <w:trPr>
          <w:trHeight w:val="345" w:hRule="atLeast"/>
          <w:tblHeader/>
        </w:trPr>
        <w:tc>
          <w:tcPr>
            <w:tcW w:w="1187" w:type="dxa"/>
            <w:vMerge w:val="continue"/>
            <w:tcBorders>
              <w:top w:val="single" w:color="auto" w:sz="8" w:space="0"/>
              <w:left w:val="single" w:color="auto" w:sz="8" w:space="0"/>
              <w:bottom w:val="single" w:color="000000" w:sz="8" w:space="0"/>
              <w:right w:val="single" w:color="auto" w:sz="8" w:space="0"/>
            </w:tcBorders>
            <w:vAlign w:val="center"/>
          </w:tcPr>
          <w:p w14:paraId="20D06055">
            <w:pPr>
              <w:rPr>
                <w:rFonts w:cs="宋体" w:asciiTheme="minorEastAsia" w:hAnsiTheme="minorEastAsia" w:eastAsiaTheme="minorEastAsia"/>
                <w:color w:val="000000" w:themeColor="text1"/>
                <w:szCs w:val="21"/>
              </w:rPr>
            </w:pPr>
          </w:p>
        </w:tc>
        <w:tc>
          <w:tcPr>
            <w:tcW w:w="3615" w:type="dxa"/>
            <w:vMerge w:val="continue"/>
            <w:tcBorders>
              <w:top w:val="single" w:color="auto" w:sz="8" w:space="0"/>
              <w:left w:val="single" w:color="auto" w:sz="8" w:space="0"/>
              <w:bottom w:val="single" w:color="000000" w:sz="8" w:space="0"/>
              <w:right w:val="single" w:color="auto" w:sz="8" w:space="0"/>
            </w:tcBorders>
            <w:vAlign w:val="center"/>
          </w:tcPr>
          <w:p w14:paraId="79998033">
            <w:pPr>
              <w:rPr>
                <w:rFonts w:cs="宋体" w:asciiTheme="minorEastAsia" w:hAnsiTheme="minorEastAsia" w:eastAsiaTheme="minorEastAsia"/>
                <w:color w:val="000000" w:themeColor="text1"/>
                <w:szCs w:val="21"/>
              </w:rPr>
            </w:pPr>
          </w:p>
        </w:tc>
        <w:tc>
          <w:tcPr>
            <w:tcW w:w="2850" w:type="dxa"/>
            <w:vMerge w:val="continue"/>
            <w:tcBorders>
              <w:top w:val="single" w:color="auto" w:sz="8" w:space="0"/>
              <w:left w:val="single" w:color="auto" w:sz="8" w:space="0"/>
              <w:bottom w:val="single" w:color="000000" w:sz="8" w:space="0"/>
              <w:right w:val="single" w:color="auto" w:sz="8" w:space="0"/>
            </w:tcBorders>
            <w:vAlign w:val="center"/>
          </w:tcPr>
          <w:p w14:paraId="7E137761">
            <w:pPr>
              <w:rPr>
                <w:rFonts w:cs="宋体" w:asciiTheme="minorEastAsia" w:hAnsiTheme="minorEastAsia" w:eastAsiaTheme="minorEastAsia"/>
                <w:color w:val="000000" w:themeColor="text1"/>
                <w:szCs w:val="21"/>
              </w:rPr>
            </w:pPr>
          </w:p>
        </w:tc>
      </w:tr>
      <w:tr w14:paraId="44DD1706">
        <w:tblPrEx>
          <w:tblCellMar>
            <w:top w:w="0" w:type="dxa"/>
            <w:left w:w="108" w:type="dxa"/>
            <w:bottom w:w="0" w:type="dxa"/>
            <w:right w:w="108" w:type="dxa"/>
          </w:tblCellMar>
        </w:tblPrEx>
        <w:trPr>
          <w:trHeight w:val="555" w:hRule="atLeast"/>
        </w:trPr>
        <w:tc>
          <w:tcPr>
            <w:tcW w:w="1187" w:type="dxa"/>
            <w:tcBorders>
              <w:top w:val="nil"/>
              <w:left w:val="single" w:color="auto" w:sz="8" w:space="0"/>
              <w:bottom w:val="single" w:color="auto" w:sz="8" w:space="0"/>
              <w:right w:val="single" w:color="auto" w:sz="8" w:space="0"/>
            </w:tcBorders>
            <w:vAlign w:val="center"/>
          </w:tcPr>
          <w:p w14:paraId="3097E89D">
            <w:pPr>
              <w:adjustRightInd w:val="0"/>
              <w:snapToGrid w:val="0"/>
              <w:jc w:val="center"/>
              <w:rPr>
                <w:rFonts w:cs="宋体" w:asciiTheme="minorEastAsia" w:hAnsiTheme="minorEastAsia" w:eastAsiaTheme="minorEastAsia"/>
                <w:color w:val="000000" w:themeColor="text1"/>
                <w:szCs w:val="21"/>
              </w:rPr>
            </w:pPr>
            <w:r>
              <w:rPr>
                <w:rFonts w:hint="eastAsia" w:ascii="宋体" w:cs="宋体"/>
                <w:color w:val="000000" w:themeColor="text1"/>
                <w:szCs w:val="21"/>
              </w:rPr>
              <w:t>1</w:t>
            </w:r>
          </w:p>
        </w:tc>
        <w:tc>
          <w:tcPr>
            <w:tcW w:w="3615" w:type="dxa"/>
            <w:tcBorders>
              <w:top w:val="nil"/>
              <w:left w:val="nil"/>
              <w:bottom w:val="single" w:color="auto" w:sz="8" w:space="0"/>
              <w:right w:val="single" w:color="auto" w:sz="8" w:space="0"/>
            </w:tcBorders>
          </w:tcPr>
          <w:p w14:paraId="1AD45B9C">
            <w:pPr>
              <w:snapToGrid w:val="0"/>
              <w:spacing w:line="440" w:lineRule="exact"/>
              <w:jc w:val="center"/>
              <w:rPr>
                <w:rFonts w:cs="宋体" w:asciiTheme="minorEastAsia" w:hAnsiTheme="minorEastAsia" w:eastAsiaTheme="minorEastAsia"/>
                <w:color w:val="000000" w:themeColor="text1"/>
                <w:szCs w:val="21"/>
              </w:rPr>
            </w:pPr>
            <w:r>
              <w:rPr>
                <w:rFonts w:hint="eastAsia" w:ascii="宋体"/>
                <w:color w:val="000000" w:themeColor="text1"/>
                <w:szCs w:val="21"/>
              </w:rPr>
              <w:t>厚度和厚度偏差</w:t>
            </w:r>
          </w:p>
        </w:tc>
        <w:tc>
          <w:tcPr>
            <w:tcW w:w="2850" w:type="dxa"/>
            <w:tcBorders>
              <w:top w:val="nil"/>
              <w:left w:val="nil"/>
              <w:bottom w:val="single" w:color="auto" w:sz="8" w:space="0"/>
              <w:right w:val="single" w:color="auto" w:sz="8" w:space="0"/>
            </w:tcBorders>
            <w:vAlign w:val="center"/>
          </w:tcPr>
          <w:p w14:paraId="586EC00B">
            <w:pPr>
              <w:snapToGrid w:val="0"/>
              <w:jc w:val="center"/>
              <w:rPr>
                <w:rFonts w:ascii="宋体"/>
                <w:color w:val="000000" w:themeColor="text1"/>
                <w:szCs w:val="21"/>
              </w:rPr>
            </w:pPr>
            <w:r>
              <w:rPr>
                <w:rFonts w:hint="eastAsia" w:ascii="宋体"/>
                <w:color w:val="000000" w:themeColor="text1"/>
                <w:szCs w:val="21"/>
              </w:rPr>
              <w:t>GB 13735</w:t>
            </w:r>
            <w:bookmarkStart w:id="0" w:name="OLE_LINK10"/>
            <w:r>
              <w:rPr>
                <w:color w:val="000000"/>
                <w:kern w:val="0"/>
                <w:szCs w:val="21"/>
              </w:rPr>
              <w:t>—</w:t>
            </w:r>
            <w:bookmarkEnd w:id="0"/>
            <w:r>
              <w:rPr>
                <w:rFonts w:hint="eastAsia" w:ascii="宋体"/>
                <w:color w:val="000000" w:themeColor="text1"/>
                <w:szCs w:val="21"/>
              </w:rPr>
              <w:t>2017</w:t>
            </w:r>
          </w:p>
          <w:p w14:paraId="1435CD09">
            <w:pPr>
              <w:snapToGrid w:val="0"/>
              <w:jc w:val="center"/>
              <w:rPr>
                <w:rFonts w:cs="宋体" w:asciiTheme="minorEastAsia" w:hAnsiTheme="minorEastAsia" w:eastAsiaTheme="minorEastAsia"/>
                <w:color w:val="000000" w:themeColor="text1"/>
                <w:szCs w:val="21"/>
              </w:rPr>
            </w:pPr>
            <w:r>
              <w:rPr>
                <w:rFonts w:hint="eastAsia" w:ascii="宋体"/>
                <w:color w:val="000000" w:themeColor="text1"/>
                <w:szCs w:val="21"/>
              </w:rPr>
              <w:t>GB/T 6672</w:t>
            </w:r>
            <w:r>
              <w:rPr>
                <w:color w:val="000000"/>
                <w:kern w:val="0"/>
                <w:szCs w:val="21"/>
              </w:rPr>
              <w:t>—</w:t>
            </w:r>
            <w:r>
              <w:rPr>
                <w:rFonts w:hint="eastAsia" w:ascii="宋体"/>
                <w:color w:val="000000" w:themeColor="text1"/>
                <w:szCs w:val="21"/>
              </w:rPr>
              <w:t xml:space="preserve">2001 </w:t>
            </w:r>
          </w:p>
        </w:tc>
      </w:tr>
      <w:tr w14:paraId="1B398C2B">
        <w:tblPrEx>
          <w:tblCellMar>
            <w:top w:w="0" w:type="dxa"/>
            <w:left w:w="108" w:type="dxa"/>
            <w:bottom w:w="0" w:type="dxa"/>
            <w:right w:w="108" w:type="dxa"/>
          </w:tblCellMar>
        </w:tblPrEx>
        <w:trPr>
          <w:trHeight w:val="596" w:hRule="atLeast"/>
        </w:trPr>
        <w:tc>
          <w:tcPr>
            <w:tcW w:w="1187" w:type="dxa"/>
            <w:tcBorders>
              <w:top w:val="single" w:color="auto" w:sz="4" w:space="0"/>
              <w:left w:val="single" w:color="auto" w:sz="8" w:space="0"/>
              <w:bottom w:val="single" w:color="auto" w:sz="8" w:space="0"/>
              <w:right w:val="single" w:color="auto" w:sz="8" w:space="0"/>
            </w:tcBorders>
            <w:vAlign w:val="center"/>
          </w:tcPr>
          <w:p w14:paraId="65A4D9FC">
            <w:pPr>
              <w:adjustRightInd w:val="0"/>
              <w:snapToGrid w:val="0"/>
              <w:jc w:val="center"/>
              <w:rPr>
                <w:rFonts w:cs="宋体" w:asciiTheme="minorEastAsia" w:hAnsiTheme="minorEastAsia" w:eastAsiaTheme="minorEastAsia"/>
                <w:color w:val="000000" w:themeColor="text1"/>
                <w:szCs w:val="21"/>
              </w:rPr>
            </w:pPr>
            <w:r>
              <w:rPr>
                <w:rFonts w:hint="eastAsia" w:cs="宋体" w:asciiTheme="minorEastAsia" w:hAnsiTheme="minorEastAsia" w:eastAsiaTheme="minorEastAsia"/>
                <w:color w:val="000000" w:themeColor="text1"/>
                <w:szCs w:val="21"/>
              </w:rPr>
              <w:t>2</w:t>
            </w:r>
          </w:p>
        </w:tc>
        <w:tc>
          <w:tcPr>
            <w:tcW w:w="3615" w:type="dxa"/>
            <w:tcBorders>
              <w:top w:val="single" w:color="auto" w:sz="4" w:space="0"/>
              <w:left w:val="nil"/>
              <w:bottom w:val="single" w:color="auto" w:sz="8" w:space="0"/>
              <w:right w:val="single" w:color="auto" w:sz="8" w:space="0"/>
            </w:tcBorders>
            <w:vAlign w:val="center"/>
          </w:tcPr>
          <w:p w14:paraId="7D5A1547">
            <w:pPr>
              <w:snapToGrid w:val="0"/>
              <w:spacing w:line="440" w:lineRule="exact"/>
              <w:jc w:val="center"/>
              <w:rPr>
                <w:rFonts w:cs="宋体" w:asciiTheme="minorEastAsia" w:hAnsiTheme="minorEastAsia" w:eastAsiaTheme="minorEastAsia"/>
                <w:color w:val="000000" w:themeColor="text1"/>
                <w:szCs w:val="21"/>
              </w:rPr>
            </w:pPr>
            <w:r>
              <w:rPr>
                <w:rFonts w:hint="eastAsia" w:ascii="宋体"/>
                <w:color w:val="000000" w:themeColor="text1"/>
                <w:szCs w:val="21"/>
              </w:rPr>
              <w:t>拉伸负荷（纵、横向）</w:t>
            </w:r>
          </w:p>
        </w:tc>
        <w:tc>
          <w:tcPr>
            <w:tcW w:w="2850" w:type="dxa"/>
            <w:tcBorders>
              <w:top w:val="single" w:color="auto" w:sz="4" w:space="0"/>
              <w:left w:val="nil"/>
              <w:bottom w:val="single" w:color="auto" w:sz="4" w:space="0"/>
              <w:right w:val="single" w:color="auto" w:sz="8" w:space="0"/>
            </w:tcBorders>
            <w:vAlign w:val="center"/>
          </w:tcPr>
          <w:p w14:paraId="2B7FA33B">
            <w:pPr>
              <w:snapToGrid w:val="0"/>
              <w:jc w:val="center"/>
              <w:rPr>
                <w:rFonts w:ascii="宋体"/>
                <w:color w:val="000000" w:themeColor="text1"/>
                <w:szCs w:val="21"/>
              </w:rPr>
            </w:pPr>
            <w:r>
              <w:rPr>
                <w:rFonts w:hint="eastAsia" w:ascii="宋体"/>
                <w:color w:val="000000" w:themeColor="text1"/>
                <w:szCs w:val="21"/>
              </w:rPr>
              <w:t>GB 13735</w:t>
            </w:r>
            <w:r>
              <w:rPr>
                <w:color w:val="000000"/>
                <w:kern w:val="0"/>
                <w:szCs w:val="21"/>
              </w:rPr>
              <w:t>—</w:t>
            </w:r>
            <w:r>
              <w:rPr>
                <w:rFonts w:hint="eastAsia" w:ascii="宋体"/>
                <w:color w:val="000000" w:themeColor="text1"/>
                <w:szCs w:val="21"/>
              </w:rPr>
              <w:t>2017</w:t>
            </w:r>
          </w:p>
          <w:p w14:paraId="202BA059">
            <w:pPr>
              <w:snapToGrid w:val="0"/>
              <w:jc w:val="center"/>
              <w:rPr>
                <w:rFonts w:cs="宋体" w:asciiTheme="minorEastAsia" w:hAnsiTheme="minorEastAsia" w:eastAsiaTheme="minorEastAsia"/>
                <w:color w:val="000000" w:themeColor="text1"/>
                <w:szCs w:val="21"/>
              </w:rPr>
            </w:pPr>
            <w:r>
              <w:rPr>
                <w:rFonts w:hint="eastAsia" w:ascii="宋体"/>
                <w:color w:val="000000" w:themeColor="text1"/>
                <w:szCs w:val="21"/>
              </w:rPr>
              <w:t>GB/T 1040.3</w:t>
            </w:r>
            <w:r>
              <w:rPr>
                <w:color w:val="000000"/>
                <w:kern w:val="0"/>
                <w:szCs w:val="21"/>
              </w:rPr>
              <w:t>—</w:t>
            </w:r>
            <w:r>
              <w:rPr>
                <w:rFonts w:hint="eastAsia" w:ascii="宋体"/>
                <w:color w:val="000000" w:themeColor="text1"/>
                <w:szCs w:val="21"/>
              </w:rPr>
              <w:t xml:space="preserve">2006 </w:t>
            </w:r>
          </w:p>
        </w:tc>
      </w:tr>
      <w:tr w14:paraId="747E5334">
        <w:tblPrEx>
          <w:tblCellMar>
            <w:top w:w="0" w:type="dxa"/>
            <w:left w:w="108" w:type="dxa"/>
            <w:bottom w:w="0" w:type="dxa"/>
            <w:right w:w="108" w:type="dxa"/>
          </w:tblCellMar>
        </w:tblPrEx>
        <w:trPr>
          <w:trHeight w:val="607" w:hRule="atLeast"/>
        </w:trPr>
        <w:tc>
          <w:tcPr>
            <w:tcW w:w="1187" w:type="dxa"/>
            <w:tcBorders>
              <w:top w:val="nil"/>
              <w:left w:val="single" w:color="auto" w:sz="8" w:space="0"/>
              <w:bottom w:val="single" w:color="auto" w:sz="8" w:space="0"/>
              <w:right w:val="single" w:color="auto" w:sz="8" w:space="0"/>
            </w:tcBorders>
            <w:vAlign w:val="center"/>
          </w:tcPr>
          <w:p w14:paraId="48A1A22A">
            <w:pPr>
              <w:adjustRightInd w:val="0"/>
              <w:snapToGrid w:val="0"/>
              <w:jc w:val="center"/>
              <w:rPr>
                <w:rFonts w:cs="宋体" w:asciiTheme="minorEastAsia" w:hAnsiTheme="minorEastAsia" w:eastAsiaTheme="minorEastAsia"/>
                <w:color w:val="000000" w:themeColor="text1"/>
                <w:szCs w:val="21"/>
              </w:rPr>
            </w:pPr>
            <w:r>
              <w:rPr>
                <w:rFonts w:hint="eastAsia" w:cs="宋体" w:asciiTheme="minorEastAsia" w:hAnsiTheme="minorEastAsia" w:eastAsiaTheme="minorEastAsia"/>
                <w:color w:val="000000" w:themeColor="text1"/>
                <w:szCs w:val="21"/>
              </w:rPr>
              <w:t>3</w:t>
            </w:r>
          </w:p>
        </w:tc>
        <w:tc>
          <w:tcPr>
            <w:tcW w:w="3615" w:type="dxa"/>
            <w:tcBorders>
              <w:top w:val="nil"/>
              <w:left w:val="nil"/>
              <w:bottom w:val="single" w:color="auto" w:sz="8" w:space="0"/>
              <w:right w:val="single" w:color="auto" w:sz="8" w:space="0"/>
            </w:tcBorders>
            <w:vAlign w:val="center"/>
          </w:tcPr>
          <w:p w14:paraId="796EA466">
            <w:pPr>
              <w:snapToGrid w:val="0"/>
              <w:spacing w:line="440" w:lineRule="exact"/>
              <w:jc w:val="center"/>
              <w:rPr>
                <w:rFonts w:cs="宋体" w:asciiTheme="minorEastAsia" w:hAnsiTheme="minorEastAsia" w:eastAsiaTheme="minorEastAsia"/>
                <w:color w:val="000000" w:themeColor="text1"/>
                <w:szCs w:val="21"/>
              </w:rPr>
            </w:pPr>
            <w:r>
              <w:rPr>
                <w:rFonts w:hint="eastAsia" w:ascii="宋体"/>
                <w:color w:val="000000" w:themeColor="text1"/>
                <w:szCs w:val="21"/>
              </w:rPr>
              <w:t>断裂标称应变（纵、横向）</w:t>
            </w:r>
          </w:p>
        </w:tc>
        <w:tc>
          <w:tcPr>
            <w:tcW w:w="2850" w:type="dxa"/>
            <w:tcBorders>
              <w:top w:val="single" w:color="auto" w:sz="4" w:space="0"/>
              <w:left w:val="nil"/>
              <w:bottom w:val="single" w:color="auto" w:sz="8" w:space="0"/>
              <w:right w:val="single" w:color="auto" w:sz="8" w:space="0"/>
            </w:tcBorders>
            <w:vAlign w:val="center"/>
          </w:tcPr>
          <w:p w14:paraId="71DA2B3E">
            <w:pPr>
              <w:snapToGrid w:val="0"/>
              <w:jc w:val="center"/>
              <w:rPr>
                <w:rFonts w:ascii="宋体"/>
                <w:color w:val="000000" w:themeColor="text1"/>
                <w:szCs w:val="21"/>
              </w:rPr>
            </w:pPr>
            <w:r>
              <w:rPr>
                <w:rFonts w:hint="eastAsia" w:ascii="宋体"/>
                <w:color w:val="000000" w:themeColor="text1"/>
                <w:szCs w:val="21"/>
              </w:rPr>
              <w:t>GB 13735</w:t>
            </w:r>
            <w:r>
              <w:rPr>
                <w:color w:val="000000"/>
                <w:kern w:val="0"/>
                <w:szCs w:val="21"/>
              </w:rPr>
              <w:t>—</w:t>
            </w:r>
            <w:r>
              <w:rPr>
                <w:rFonts w:hint="eastAsia" w:ascii="宋体"/>
                <w:color w:val="000000" w:themeColor="text1"/>
                <w:szCs w:val="21"/>
              </w:rPr>
              <w:t>2017</w:t>
            </w:r>
          </w:p>
          <w:p w14:paraId="231481D2">
            <w:pPr>
              <w:jc w:val="center"/>
              <w:rPr>
                <w:rFonts w:cs="宋体" w:asciiTheme="minorEastAsia" w:hAnsiTheme="minorEastAsia" w:eastAsiaTheme="minorEastAsia"/>
                <w:color w:val="000000" w:themeColor="text1"/>
                <w:szCs w:val="21"/>
              </w:rPr>
            </w:pPr>
            <w:r>
              <w:rPr>
                <w:rFonts w:hint="eastAsia" w:ascii="宋体"/>
                <w:color w:val="000000" w:themeColor="text1"/>
                <w:szCs w:val="21"/>
              </w:rPr>
              <w:t>GB/T 1040.3</w:t>
            </w:r>
            <w:r>
              <w:rPr>
                <w:color w:val="000000"/>
                <w:kern w:val="0"/>
                <w:szCs w:val="21"/>
              </w:rPr>
              <w:t>—</w:t>
            </w:r>
            <w:r>
              <w:rPr>
                <w:rFonts w:hint="eastAsia" w:ascii="宋体"/>
                <w:color w:val="000000" w:themeColor="text1"/>
                <w:szCs w:val="21"/>
              </w:rPr>
              <w:t xml:space="preserve">2006 </w:t>
            </w:r>
          </w:p>
        </w:tc>
      </w:tr>
      <w:tr w14:paraId="7D6E6A2F">
        <w:tblPrEx>
          <w:tblCellMar>
            <w:top w:w="0" w:type="dxa"/>
            <w:left w:w="108" w:type="dxa"/>
            <w:bottom w:w="0" w:type="dxa"/>
            <w:right w:w="108" w:type="dxa"/>
          </w:tblCellMar>
        </w:tblPrEx>
        <w:trPr>
          <w:trHeight w:val="601" w:hRule="atLeast"/>
        </w:trPr>
        <w:tc>
          <w:tcPr>
            <w:tcW w:w="1187" w:type="dxa"/>
            <w:tcBorders>
              <w:top w:val="nil"/>
              <w:left w:val="single" w:color="auto" w:sz="8" w:space="0"/>
              <w:bottom w:val="single" w:color="auto" w:sz="8" w:space="0"/>
              <w:right w:val="single" w:color="auto" w:sz="8" w:space="0"/>
            </w:tcBorders>
            <w:vAlign w:val="center"/>
          </w:tcPr>
          <w:p w14:paraId="0B7E9C95">
            <w:pPr>
              <w:adjustRightInd w:val="0"/>
              <w:snapToGrid w:val="0"/>
              <w:jc w:val="center"/>
              <w:rPr>
                <w:rFonts w:cs="宋体" w:asciiTheme="minorEastAsia" w:hAnsiTheme="minorEastAsia" w:eastAsiaTheme="minorEastAsia"/>
                <w:color w:val="000000" w:themeColor="text1"/>
                <w:szCs w:val="21"/>
              </w:rPr>
            </w:pPr>
            <w:r>
              <w:rPr>
                <w:rFonts w:hint="eastAsia" w:cs="宋体" w:asciiTheme="minorEastAsia" w:hAnsiTheme="minorEastAsia" w:eastAsiaTheme="minorEastAsia"/>
                <w:color w:val="000000" w:themeColor="text1"/>
                <w:szCs w:val="21"/>
              </w:rPr>
              <w:t>4</w:t>
            </w:r>
          </w:p>
        </w:tc>
        <w:tc>
          <w:tcPr>
            <w:tcW w:w="3615" w:type="dxa"/>
            <w:tcBorders>
              <w:top w:val="nil"/>
              <w:left w:val="nil"/>
              <w:bottom w:val="single" w:color="auto" w:sz="8" w:space="0"/>
              <w:right w:val="single" w:color="auto" w:sz="8" w:space="0"/>
            </w:tcBorders>
          </w:tcPr>
          <w:p w14:paraId="6D4B119B">
            <w:pPr>
              <w:snapToGrid w:val="0"/>
              <w:spacing w:line="440" w:lineRule="exact"/>
              <w:jc w:val="center"/>
              <w:rPr>
                <w:rFonts w:cs="宋体" w:asciiTheme="minorEastAsia" w:hAnsiTheme="minorEastAsia" w:eastAsiaTheme="minorEastAsia"/>
                <w:color w:val="000000" w:themeColor="text1"/>
                <w:szCs w:val="21"/>
              </w:rPr>
            </w:pPr>
            <w:r>
              <w:rPr>
                <w:rFonts w:hint="eastAsia" w:ascii="宋体"/>
                <w:color w:val="000000" w:themeColor="text1"/>
                <w:szCs w:val="21"/>
              </w:rPr>
              <w:t>直角撕裂负荷（纵、横向）</w:t>
            </w:r>
          </w:p>
        </w:tc>
        <w:tc>
          <w:tcPr>
            <w:tcW w:w="2850" w:type="dxa"/>
            <w:tcBorders>
              <w:top w:val="nil"/>
              <w:left w:val="nil"/>
              <w:bottom w:val="single" w:color="auto" w:sz="8" w:space="0"/>
              <w:right w:val="single" w:color="auto" w:sz="8" w:space="0"/>
            </w:tcBorders>
            <w:vAlign w:val="center"/>
          </w:tcPr>
          <w:p w14:paraId="3C1DBA7A">
            <w:pPr>
              <w:snapToGrid w:val="0"/>
              <w:jc w:val="center"/>
              <w:rPr>
                <w:rFonts w:ascii="宋体"/>
                <w:color w:val="000000" w:themeColor="text1"/>
                <w:szCs w:val="21"/>
              </w:rPr>
            </w:pPr>
            <w:r>
              <w:rPr>
                <w:rFonts w:hint="eastAsia" w:ascii="宋体"/>
                <w:color w:val="000000" w:themeColor="text1"/>
                <w:szCs w:val="21"/>
              </w:rPr>
              <w:t>GB 13735</w:t>
            </w:r>
            <w:r>
              <w:rPr>
                <w:color w:val="000000"/>
                <w:kern w:val="0"/>
                <w:szCs w:val="21"/>
              </w:rPr>
              <w:t>—</w:t>
            </w:r>
            <w:r>
              <w:rPr>
                <w:rFonts w:hint="eastAsia" w:ascii="宋体"/>
                <w:color w:val="000000" w:themeColor="text1"/>
                <w:szCs w:val="21"/>
              </w:rPr>
              <w:t>2017</w:t>
            </w:r>
          </w:p>
          <w:p w14:paraId="7C9BFDB5">
            <w:pPr>
              <w:snapToGrid w:val="0"/>
              <w:jc w:val="center"/>
              <w:rPr>
                <w:rFonts w:cs="宋体" w:asciiTheme="minorEastAsia" w:hAnsiTheme="minorEastAsia" w:eastAsiaTheme="minorEastAsia"/>
                <w:color w:val="000000" w:themeColor="text1"/>
                <w:szCs w:val="21"/>
              </w:rPr>
            </w:pPr>
            <w:r>
              <w:rPr>
                <w:rFonts w:hint="eastAsia" w:ascii="宋体"/>
                <w:color w:val="000000" w:themeColor="text1"/>
                <w:szCs w:val="21"/>
              </w:rPr>
              <w:t>QB/T 1130</w:t>
            </w:r>
            <w:bookmarkStart w:id="1" w:name="OLE_LINK15"/>
            <w:bookmarkStart w:id="2" w:name="OLE_LINK14"/>
            <w:r>
              <w:rPr>
                <w:color w:val="000000"/>
                <w:kern w:val="0"/>
                <w:szCs w:val="21"/>
              </w:rPr>
              <w:t>—</w:t>
            </w:r>
            <w:bookmarkEnd w:id="1"/>
            <w:bookmarkEnd w:id="2"/>
            <w:r>
              <w:rPr>
                <w:rFonts w:hint="eastAsia" w:ascii="宋体"/>
                <w:color w:val="000000" w:themeColor="text1"/>
                <w:szCs w:val="21"/>
              </w:rPr>
              <w:t xml:space="preserve">1991 </w:t>
            </w:r>
          </w:p>
        </w:tc>
      </w:tr>
    </w:tbl>
    <w:p w14:paraId="334F2352">
      <w:pPr>
        <w:snapToGrid w:val="0"/>
        <w:spacing w:line="440" w:lineRule="exact"/>
        <w:ind w:firstLine="420" w:firstLineChars="200"/>
        <w:rPr>
          <w:color w:val="000000" w:themeColor="text1"/>
          <w:szCs w:val="21"/>
        </w:rPr>
      </w:pPr>
      <w:r>
        <w:rPr>
          <w:rFonts w:hint="eastAsia"/>
          <w:color w:val="000000" w:themeColor="text1"/>
          <w:szCs w:val="21"/>
        </w:rPr>
        <w:t>执行企业标准、团体标准、地方标准的产品，检验项目参照上述内容执行。</w:t>
      </w:r>
    </w:p>
    <w:p w14:paraId="5AA47F04">
      <w:pPr>
        <w:snapToGrid w:val="0"/>
        <w:spacing w:line="440" w:lineRule="exact"/>
        <w:ind w:firstLine="420" w:firstLineChars="200"/>
        <w:rPr>
          <w:color w:val="000000" w:themeColor="text1"/>
          <w:szCs w:val="21"/>
        </w:rPr>
      </w:pPr>
      <w:r>
        <w:rPr>
          <w:rFonts w:hint="eastAsia"/>
          <w:color w:val="000000" w:themeColor="text1"/>
          <w:szCs w:val="21"/>
        </w:rPr>
        <w:t>凡是注日期的文件，其随后所有的修改单（不包括勘误的内容）或修订版不适用于本细则。凡是不注日期的文件，其最新版本适用于本细则。</w:t>
      </w:r>
    </w:p>
    <w:p w14:paraId="185F69FC">
      <w:pPr>
        <w:spacing w:beforeLines="50" w:line="360" w:lineRule="auto"/>
        <w:rPr>
          <w:rFonts w:eastAsia="黑体"/>
          <w:color w:val="000000" w:themeColor="text1"/>
          <w:szCs w:val="21"/>
        </w:rPr>
      </w:pPr>
      <w:r>
        <w:rPr>
          <w:rFonts w:eastAsia="黑体"/>
          <w:color w:val="000000" w:themeColor="text1"/>
          <w:szCs w:val="21"/>
        </w:rPr>
        <w:t>3 判定规则</w:t>
      </w:r>
    </w:p>
    <w:p w14:paraId="38430336">
      <w:pPr>
        <w:snapToGrid w:val="0"/>
        <w:spacing w:line="440" w:lineRule="exact"/>
        <w:rPr>
          <w:color w:val="000000" w:themeColor="text1"/>
          <w:szCs w:val="21"/>
        </w:rPr>
      </w:pPr>
      <w:r>
        <w:rPr>
          <w:color w:val="000000" w:themeColor="text1"/>
          <w:szCs w:val="21"/>
        </w:rPr>
        <w:t>3.1依据标准</w:t>
      </w:r>
    </w:p>
    <w:p w14:paraId="474E5AFF">
      <w:pPr>
        <w:snapToGrid w:val="0"/>
        <w:spacing w:line="440" w:lineRule="exact"/>
        <w:ind w:firstLine="420" w:firstLineChars="200"/>
        <w:rPr>
          <w:color w:val="000000" w:themeColor="text1"/>
        </w:rPr>
      </w:pPr>
      <w:r>
        <w:rPr>
          <w:rFonts w:hint="eastAsia"/>
          <w:color w:val="000000" w:themeColor="text1"/>
        </w:rPr>
        <w:t>GB 13735</w:t>
      </w:r>
      <w:r>
        <w:rPr>
          <w:color w:val="000000"/>
          <w:kern w:val="0"/>
          <w:szCs w:val="21"/>
        </w:rPr>
        <w:t>—</w:t>
      </w:r>
      <w:r>
        <w:rPr>
          <w:rFonts w:hint="eastAsia"/>
          <w:color w:val="000000" w:themeColor="text1"/>
        </w:rPr>
        <w:t>2017 聚乙烯吹塑农用地面覆盖薄膜</w:t>
      </w:r>
    </w:p>
    <w:p w14:paraId="786C796A">
      <w:pPr>
        <w:snapToGrid w:val="0"/>
        <w:spacing w:line="440" w:lineRule="exact"/>
        <w:ind w:firstLine="420" w:firstLineChars="200"/>
        <w:rPr>
          <w:color w:val="000000" w:themeColor="text1"/>
          <w:szCs w:val="21"/>
        </w:rPr>
      </w:pPr>
      <w:r>
        <w:rPr>
          <w:color w:val="000000" w:themeColor="text1"/>
          <w:szCs w:val="21"/>
        </w:rPr>
        <w:t>现行有效的企业标准、团体标准、地方标准及产品明示质量要求</w:t>
      </w:r>
    </w:p>
    <w:p w14:paraId="33D6AB1D">
      <w:pPr>
        <w:adjustRightInd w:val="0"/>
        <w:snapToGrid w:val="0"/>
        <w:spacing w:line="440" w:lineRule="exact"/>
        <w:rPr>
          <w:color w:val="000000" w:themeColor="text1"/>
          <w:szCs w:val="21"/>
        </w:rPr>
      </w:pPr>
      <w:r>
        <w:rPr>
          <w:rFonts w:hint="eastAsia"/>
          <w:color w:val="000000" w:themeColor="text1"/>
          <w:szCs w:val="21"/>
        </w:rPr>
        <w:t>3.2判定原则</w:t>
      </w:r>
    </w:p>
    <w:p w14:paraId="3F7348F8">
      <w:pPr>
        <w:snapToGrid w:val="0"/>
        <w:spacing w:line="440" w:lineRule="exact"/>
        <w:ind w:firstLine="420" w:firstLineChars="200"/>
        <w:rPr>
          <w:color w:val="000000" w:themeColor="text1"/>
          <w:szCs w:val="21"/>
        </w:rPr>
      </w:pPr>
      <w:r>
        <w:rPr>
          <w:rFonts w:hint="eastAsia"/>
          <w:color w:val="000000" w:themeColor="text1"/>
          <w:szCs w:val="21"/>
        </w:rPr>
        <w:t>经检验，检验项目全部合格，判定为被抽查产品所检项目未发现不合格；检验项目中任一项或一项以上不合格，判定为被抽查产品不合格。</w:t>
      </w:r>
    </w:p>
    <w:p w14:paraId="2B43E494">
      <w:pPr>
        <w:adjustRightInd w:val="0"/>
        <w:snapToGrid w:val="0"/>
        <w:spacing w:line="440" w:lineRule="exact"/>
        <w:ind w:firstLine="417" w:firstLineChars="199"/>
        <w:rPr>
          <w:color w:val="000000" w:themeColor="text1"/>
          <w:szCs w:val="21"/>
        </w:rPr>
      </w:pPr>
      <w:r>
        <w:rPr>
          <w:rFonts w:hint="eastAsia"/>
          <w:color w:val="000000" w:themeColor="text1"/>
          <w:szCs w:val="21"/>
        </w:rPr>
        <w:t>若被检产品明示的质量要求高于本细则中检验项目依据的标准要求时，应按被检产品明示的质量要求判定。</w:t>
      </w:r>
    </w:p>
    <w:p w14:paraId="718E3FA0">
      <w:pPr>
        <w:adjustRightInd w:val="0"/>
        <w:snapToGrid w:val="0"/>
        <w:spacing w:line="440" w:lineRule="exact"/>
        <w:ind w:firstLine="417" w:firstLineChars="199"/>
        <w:rPr>
          <w:color w:val="000000" w:themeColor="text1"/>
          <w:szCs w:val="21"/>
        </w:rPr>
      </w:pPr>
      <w:r>
        <w:rPr>
          <w:rFonts w:hint="eastAsia"/>
          <w:color w:val="000000" w:themeColor="text1"/>
          <w:szCs w:val="21"/>
        </w:rPr>
        <w:t>若被检产品明示的质量要求低于本细则中检验项目依据的强制性标准要求时，应按照强制性标准要求判定。</w:t>
      </w:r>
    </w:p>
    <w:p w14:paraId="3330C67C">
      <w:pPr>
        <w:adjustRightInd w:val="0"/>
        <w:snapToGrid w:val="0"/>
        <w:spacing w:line="440" w:lineRule="exact"/>
        <w:ind w:firstLine="417" w:firstLineChars="199"/>
        <w:rPr>
          <w:color w:val="000000" w:themeColor="text1"/>
          <w:szCs w:val="21"/>
        </w:rPr>
      </w:pPr>
      <w:r>
        <w:rPr>
          <w:rFonts w:hint="eastAsia"/>
          <w:color w:val="000000" w:themeColor="text1"/>
          <w:szCs w:val="21"/>
        </w:rPr>
        <w:t>若被检产品明示的质量要求低于或包含细则中检验项目依据的推荐性标准要求时，应以被检产品明示的质量要求判定。</w:t>
      </w:r>
    </w:p>
    <w:p w14:paraId="6502116D">
      <w:pPr>
        <w:adjustRightInd w:val="0"/>
        <w:snapToGrid w:val="0"/>
        <w:spacing w:line="440" w:lineRule="exact"/>
        <w:ind w:firstLine="417" w:firstLineChars="199"/>
        <w:rPr>
          <w:color w:val="000000" w:themeColor="text1"/>
          <w:szCs w:val="21"/>
        </w:rPr>
      </w:pPr>
      <w:r>
        <w:rPr>
          <w:rFonts w:hint="eastAsia"/>
          <w:color w:val="000000" w:themeColor="text1"/>
          <w:szCs w:val="21"/>
        </w:rPr>
        <w:t>若被检产品明示的质量要求缺少本细则中检验项目依据的强制性标准要求时，应按照强制性标准要求判定。</w:t>
      </w:r>
    </w:p>
    <w:p w14:paraId="72ABB128">
      <w:pPr>
        <w:snapToGrid w:val="0"/>
        <w:spacing w:line="440" w:lineRule="exact"/>
        <w:ind w:firstLine="417" w:firstLineChars="199"/>
        <w:rPr>
          <w:color w:val="000000" w:themeColor="text1"/>
          <w:szCs w:val="21"/>
        </w:rPr>
      </w:pPr>
      <w:r>
        <w:rPr>
          <w:rFonts w:hint="eastAsia"/>
          <w:color w:val="000000" w:themeColor="text1"/>
          <w:szCs w:val="21"/>
        </w:rPr>
        <w:t>若被检产品明示的质量要求缺少本细则中检验项目依据的推荐性标准要求时，该项目不参与判定。</w:t>
      </w:r>
    </w:p>
    <w:p w14:paraId="59B3D6D1">
      <w:pPr>
        <w:snapToGrid w:val="0"/>
        <w:spacing w:line="440" w:lineRule="exact"/>
        <w:rPr>
          <w:rFonts w:eastAsia="黑体"/>
          <w:szCs w:val="21"/>
        </w:rPr>
      </w:pPr>
      <w:r>
        <w:rPr>
          <w:rFonts w:hint="eastAsia" w:eastAsia="黑体"/>
          <w:szCs w:val="21"/>
        </w:rPr>
        <w:t>4附则</w:t>
      </w:r>
    </w:p>
    <w:p w14:paraId="5B57B7F8">
      <w:pPr>
        <w:snapToGrid w:val="0"/>
        <w:spacing w:line="440" w:lineRule="exact"/>
        <w:ind w:firstLine="420" w:firstLineChars="200"/>
        <w:rPr>
          <w:szCs w:val="21"/>
        </w:rPr>
      </w:pPr>
      <w:r>
        <w:rPr>
          <w:rFonts w:hint="eastAsia"/>
          <w:szCs w:val="21"/>
        </w:rPr>
        <w:t>本细则由淮南市市场监督管理局管理。</w:t>
      </w:r>
    </w:p>
    <w:p w14:paraId="0F35E26B">
      <w:pPr>
        <w:snapToGrid w:val="0"/>
        <w:spacing w:line="440" w:lineRule="exact"/>
        <w:rPr>
          <w:color w:val="000000" w:themeColor="text1"/>
          <w:szCs w:val="21"/>
        </w:rPr>
      </w:pPr>
    </w:p>
    <w:p w14:paraId="4AA040EC">
      <w:pPr>
        <w:snapToGrid w:val="0"/>
        <w:spacing w:line="440" w:lineRule="exact"/>
        <w:rPr>
          <w:color w:val="000000" w:themeColor="text1"/>
          <w:szCs w:val="21"/>
        </w:rPr>
      </w:pPr>
    </w:p>
    <w:p w14:paraId="5510E012">
      <w:pPr>
        <w:snapToGrid w:val="0"/>
        <w:spacing w:line="440" w:lineRule="exact"/>
        <w:rPr>
          <w:color w:val="000000" w:themeColor="text1"/>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4E1DF1-163D-44DC-99E4-F0BE3C427F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0CF20B96-3F63-4C78-B0AA-16A4FB1D4F13}"/>
  </w:font>
  <w:font w:name="方正公文小标宋">
    <w:panose1 w:val="02000500000000000000"/>
    <w:charset w:val="86"/>
    <w:family w:val="auto"/>
    <w:pitch w:val="default"/>
    <w:sig w:usb0="A00002BF" w:usb1="38CF7CFA" w:usb2="00000016" w:usb3="00000000" w:csb0="00040001" w:csb1="00000000"/>
    <w:embedRegular r:id="rId3" w:fontKey="{1689BD20-92E5-4B85-8B61-3EA0AF5A6DA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3ECCC">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7D77B44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32F1E">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078DD"/>
    <w:rsid w:val="003203A3"/>
    <w:rsid w:val="00341746"/>
    <w:rsid w:val="003908E0"/>
    <w:rsid w:val="003B65A7"/>
    <w:rsid w:val="003C388C"/>
    <w:rsid w:val="003D6DF1"/>
    <w:rsid w:val="003E011E"/>
    <w:rsid w:val="003E61BF"/>
    <w:rsid w:val="00445E86"/>
    <w:rsid w:val="00467E74"/>
    <w:rsid w:val="00474E04"/>
    <w:rsid w:val="00483AC6"/>
    <w:rsid w:val="00484B8D"/>
    <w:rsid w:val="004962E3"/>
    <w:rsid w:val="004A0936"/>
    <w:rsid w:val="004D0C5A"/>
    <w:rsid w:val="004E1396"/>
    <w:rsid w:val="004E4686"/>
    <w:rsid w:val="004E7C02"/>
    <w:rsid w:val="00563EBC"/>
    <w:rsid w:val="00585975"/>
    <w:rsid w:val="0059238A"/>
    <w:rsid w:val="005B64D3"/>
    <w:rsid w:val="005F4CC6"/>
    <w:rsid w:val="0065124E"/>
    <w:rsid w:val="00666E54"/>
    <w:rsid w:val="006B79A8"/>
    <w:rsid w:val="006F0971"/>
    <w:rsid w:val="0072334C"/>
    <w:rsid w:val="00736DEA"/>
    <w:rsid w:val="00755136"/>
    <w:rsid w:val="007928F3"/>
    <w:rsid w:val="007A301D"/>
    <w:rsid w:val="008139C8"/>
    <w:rsid w:val="00871617"/>
    <w:rsid w:val="00895BEA"/>
    <w:rsid w:val="008A3497"/>
    <w:rsid w:val="008B1BD3"/>
    <w:rsid w:val="008B6CF2"/>
    <w:rsid w:val="00917A54"/>
    <w:rsid w:val="009249EF"/>
    <w:rsid w:val="00926C29"/>
    <w:rsid w:val="00930572"/>
    <w:rsid w:val="00986007"/>
    <w:rsid w:val="009865FB"/>
    <w:rsid w:val="009D5E02"/>
    <w:rsid w:val="009E01DE"/>
    <w:rsid w:val="009E4DB8"/>
    <w:rsid w:val="009F7375"/>
    <w:rsid w:val="00A07E66"/>
    <w:rsid w:val="00A43553"/>
    <w:rsid w:val="00A51D21"/>
    <w:rsid w:val="00A62E74"/>
    <w:rsid w:val="00A760C9"/>
    <w:rsid w:val="00A902CC"/>
    <w:rsid w:val="00AD5A48"/>
    <w:rsid w:val="00AF24AF"/>
    <w:rsid w:val="00B6137C"/>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6472A"/>
    <w:rsid w:val="00DE2075"/>
    <w:rsid w:val="00E02A7F"/>
    <w:rsid w:val="00E07880"/>
    <w:rsid w:val="00E21E57"/>
    <w:rsid w:val="00E53438"/>
    <w:rsid w:val="00E82621"/>
    <w:rsid w:val="00ED4450"/>
    <w:rsid w:val="00ED5419"/>
    <w:rsid w:val="00F332B6"/>
    <w:rsid w:val="00F53927"/>
    <w:rsid w:val="00F77C9A"/>
    <w:rsid w:val="00F86832"/>
    <w:rsid w:val="00FB576C"/>
    <w:rsid w:val="00FD2AA6"/>
    <w:rsid w:val="00FD7F82"/>
    <w:rsid w:val="00FE7E8A"/>
    <w:rsid w:val="00FF5DCC"/>
    <w:rsid w:val="02EE64DC"/>
    <w:rsid w:val="03C06834"/>
    <w:rsid w:val="04DB46E3"/>
    <w:rsid w:val="068A6CC7"/>
    <w:rsid w:val="07C22247"/>
    <w:rsid w:val="09195AA1"/>
    <w:rsid w:val="09234C9E"/>
    <w:rsid w:val="09500754"/>
    <w:rsid w:val="09CC709B"/>
    <w:rsid w:val="0A295EB9"/>
    <w:rsid w:val="0A635771"/>
    <w:rsid w:val="0AF92D0E"/>
    <w:rsid w:val="0B976158"/>
    <w:rsid w:val="0B9B0319"/>
    <w:rsid w:val="0BF3562B"/>
    <w:rsid w:val="0DA61673"/>
    <w:rsid w:val="0E706B3D"/>
    <w:rsid w:val="0F434917"/>
    <w:rsid w:val="10090E5D"/>
    <w:rsid w:val="1027040D"/>
    <w:rsid w:val="11473DDB"/>
    <w:rsid w:val="12DB66FD"/>
    <w:rsid w:val="12E00606"/>
    <w:rsid w:val="134F66BB"/>
    <w:rsid w:val="16714FDF"/>
    <w:rsid w:val="174B01C5"/>
    <w:rsid w:val="174D36C8"/>
    <w:rsid w:val="1A0E0CCD"/>
    <w:rsid w:val="1A784B4A"/>
    <w:rsid w:val="1B8E2443"/>
    <w:rsid w:val="1B9113EA"/>
    <w:rsid w:val="1C240C09"/>
    <w:rsid w:val="1C74143C"/>
    <w:rsid w:val="1C9B7094"/>
    <w:rsid w:val="1CC34A3E"/>
    <w:rsid w:val="1F404DD2"/>
    <w:rsid w:val="21492C29"/>
    <w:rsid w:val="22096B18"/>
    <w:rsid w:val="22DF6543"/>
    <w:rsid w:val="238D53E2"/>
    <w:rsid w:val="25A2704B"/>
    <w:rsid w:val="26BD0A9C"/>
    <w:rsid w:val="2B166DCB"/>
    <w:rsid w:val="2B88197A"/>
    <w:rsid w:val="2CD30697"/>
    <w:rsid w:val="2D38462F"/>
    <w:rsid w:val="2D824FB8"/>
    <w:rsid w:val="2DFA397D"/>
    <w:rsid w:val="2E051D0E"/>
    <w:rsid w:val="2F0835FE"/>
    <w:rsid w:val="2FA8493D"/>
    <w:rsid w:val="31E41CE9"/>
    <w:rsid w:val="32744BE7"/>
    <w:rsid w:val="33984BB2"/>
    <w:rsid w:val="33AB5DD1"/>
    <w:rsid w:val="35956BF6"/>
    <w:rsid w:val="379B6047"/>
    <w:rsid w:val="37F479DA"/>
    <w:rsid w:val="39276AD2"/>
    <w:rsid w:val="392A7A57"/>
    <w:rsid w:val="39825EE7"/>
    <w:rsid w:val="3BF014E4"/>
    <w:rsid w:val="3C5D4096"/>
    <w:rsid w:val="3D176663"/>
    <w:rsid w:val="3E65446C"/>
    <w:rsid w:val="3EC80C8D"/>
    <w:rsid w:val="3F9ED02C"/>
    <w:rsid w:val="40AD562A"/>
    <w:rsid w:val="423D703A"/>
    <w:rsid w:val="424C1853"/>
    <w:rsid w:val="42BF630F"/>
    <w:rsid w:val="4333084C"/>
    <w:rsid w:val="45225AF9"/>
    <w:rsid w:val="46A24CF0"/>
    <w:rsid w:val="47A54B0F"/>
    <w:rsid w:val="498B21B5"/>
    <w:rsid w:val="4A4A12EF"/>
    <w:rsid w:val="4AA40703"/>
    <w:rsid w:val="4AC35735"/>
    <w:rsid w:val="4B213550"/>
    <w:rsid w:val="4B8B517E"/>
    <w:rsid w:val="4C552648"/>
    <w:rsid w:val="4C5A4552"/>
    <w:rsid w:val="4EBD3D3C"/>
    <w:rsid w:val="4F0D4DC0"/>
    <w:rsid w:val="4F394B08"/>
    <w:rsid w:val="4F3B460A"/>
    <w:rsid w:val="4F8172FD"/>
    <w:rsid w:val="52A56BA5"/>
    <w:rsid w:val="52B35EBB"/>
    <w:rsid w:val="53DA11A0"/>
    <w:rsid w:val="5457656B"/>
    <w:rsid w:val="5511121D"/>
    <w:rsid w:val="556A1533"/>
    <w:rsid w:val="558127D5"/>
    <w:rsid w:val="570738D6"/>
    <w:rsid w:val="575527A0"/>
    <w:rsid w:val="58381A4A"/>
    <w:rsid w:val="58406E56"/>
    <w:rsid w:val="5AA26640"/>
    <w:rsid w:val="5AFD5A55"/>
    <w:rsid w:val="5C967D75"/>
    <w:rsid w:val="5D551C37"/>
    <w:rsid w:val="5DE01011"/>
    <w:rsid w:val="5F662111"/>
    <w:rsid w:val="5F7F5239"/>
    <w:rsid w:val="5FED3403"/>
    <w:rsid w:val="602B0BD5"/>
    <w:rsid w:val="62A80F69"/>
    <w:rsid w:val="636B2161"/>
    <w:rsid w:val="644D709C"/>
    <w:rsid w:val="64B9314C"/>
    <w:rsid w:val="65156AE4"/>
    <w:rsid w:val="66B52D0D"/>
    <w:rsid w:val="677B7253"/>
    <w:rsid w:val="69DA0037"/>
    <w:rsid w:val="6B555325"/>
    <w:rsid w:val="6B8F41CA"/>
    <w:rsid w:val="6C4007A6"/>
    <w:rsid w:val="6E341EDA"/>
    <w:rsid w:val="6F732867"/>
    <w:rsid w:val="6FB72056"/>
    <w:rsid w:val="7295118A"/>
    <w:rsid w:val="74A259E7"/>
    <w:rsid w:val="74DF0804"/>
    <w:rsid w:val="74FF02FF"/>
    <w:rsid w:val="789101DB"/>
    <w:rsid w:val="78FB1E09"/>
    <w:rsid w:val="79B30EF7"/>
    <w:rsid w:val="7A3A4D14"/>
    <w:rsid w:val="7BEF7469"/>
    <w:rsid w:val="7C12239B"/>
    <w:rsid w:val="7C1A5229"/>
    <w:rsid w:val="7D1D4835"/>
    <w:rsid w:val="7EDB396C"/>
    <w:rsid w:val="7F6A3397"/>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ind w:left="420" w:leftChars="200"/>
    </w:pPr>
  </w:style>
  <w:style w:type="paragraph" w:styleId="4">
    <w:name w:val="annotation text"/>
    <w:basedOn w:val="1"/>
    <w:semiHidden/>
    <w:unhideWhenUsed/>
    <w:qFormat/>
    <w:uiPriority w:val="99"/>
    <w:pPr>
      <w:jc w:val="left"/>
    </w:p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脚 Char"/>
    <w:basedOn w:val="9"/>
    <w:link w:val="6"/>
    <w:qFormat/>
    <w:uiPriority w:val="99"/>
    <w:rPr>
      <w:kern w:val="2"/>
      <w:sz w:val="18"/>
      <w:szCs w:val="18"/>
    </w:rPr>
  </w:style>
  <w:style w:type="character" w:customStyle="1" w:styleId="12">
    <w:name w:val="页眉 Char"/>
    <w:basedOn w:val="9"/>
    <w:link w:val="7"/>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674</Words>
  <Characters>779</Characters>
  <Lines>6</Lines>
  <Paragraphs>1</Paragraphs>
  <TotalTime>5</TotalTime>
  <ScaleCrop>false</ScaleCrop>
  <LinksUpToDate>false</LinksUpToDate>
  <CharactersWithSpaces>796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2019-12-31T16:57:00Z</dcterms:created>
  <dc:creator>Legend User</dc:creator>
  <cp:lastModifiedBy>国家煤化工质检中心</cp:lastModifiedBy>
  <cp:lastPrinted>2022-02-24T08:43:00Z</cp:lastPrinted>
  <dcterms:modified xsi:type="dcterms:W3CDTF">2026-04-13T01:04:07Z</dcterms:modified>
  <dc:title>××产品质量监督抽查实施细则</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eyJoZGlkIjoiYzUyNjhhNzAxNGQzZTVjZGI4OWNkMzdmNjE1MWFmMTEiLCJ1c2VySWQiOiI1NzEzMjEzNzgifQ==</vt:lpwstr>
  </property>
</Properties>
</file>