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B5A97">
      <w:pPr>
        <w:snapToGrid w:val="0"/>
        <w:spacing w:line="440" w:lineRule="exact"/>
        <w:jc w:val="both"/>
        <w:rPr>
          <w:rFonts w:ascii="方正小标宋简体" w:hAnsi="方正小标宋简体" w:eastAsia="方正小标宋简体" w:cs="方正小标宋简体"/>
          <w:sz w:val="32"/>
          <w:szCs w:val="32"/>
        </w:rPr>
      </w:pPr>
      <w:bookmarkStart w:id="21" w:name="_GoBack"/>
      <w:bookmarkEnd w:id="21"/>
      <w:r>
        <w:rPr>
          <w:rFonts w:hint="eastAsia" w:ascii="方正小标宋简体" w:hAnsi="方正小标宋简体" w:eastAsia="方正小标宋简体" w:cs="方正小标宋简体"/>
          <w:sz w:val="32"/>
          <w:szCs w:val="32"/>
        </w:rPr>
        <w:t>淮南市塑料</w:t>
      </w:r>
      <w:bookmarkStart w:id="0" w:name="OLE_LINK1"/>
      <w:bookmarkStart w:id="1" w:name="OLE_LINK2"/>
      <w:r>
        <w:rPr>
          <w:rFonts w:hint="eastAsia" w:ascii="方正小标宋简体" w:hAnsi="方正小标宋简体" w:eastAsia="方正小标宋简体" w:cs="方正小标宋简体"/>
          <w:sz w:val="32"/>
          <w:szCs w:val="32"/>
        </w:rPr>
        <w:t>编织袋</w:t>
      </w:r>
      <w:bookmarkEnd w:id="0"/>
      <w:bookmarkEnd w:id="1"/>
      <w:r>
        <w:rPr>
          <w:rFonts w:hint="eastAsia" w:ascii="方正小标宋简体" w:hAnsi="方正小标宋简体" w:eastAsia="方正小标宋简体" w:cs="方正小标宋简体"/>
          <w:sz w:val="32"/>
          <w:szCs w:val="32"/>
        </w:rPr>
        <w:t>（含煤矿井下用）产品质量监督抽查实施细则</w:t>
      </w:r>
    </w:p>
    <w:p w14:paraId="15F777BB">
      <w:pPr>
        <w:snapToGrid w:val="0"/>
        <w:spacing w:line="440" w:lineRule="exact"/>
        <w:ind w:firstLine="547" w:firstLineChars="171"/>
        <w:jc w:val="center"/>
        <w:rPr>
          <w:rFonts w:ascii="方正公文小标宋" w:hAnsi="方正公文小标宋" w:eastAsia="方正公文小标宋" w:cs="方正公文小标宋"/>
          <w:sz w:val="32"/>
          <w:szCs w:val="32"/>
        </w:rPr>
      </w:pPr>
      <w:r>
        <w:rPr>
          <w:rFonts w:hint="eastAsia" w:ascii="方正小标宋简体" w:hAnsi="方正小标宋简体" w:eastAsia="方正小标宋简体" w:cs="方正小标宋简体"/>
          <w:sz w:val="32"/>
          <w:szCs w:val="32"/>
        </w:rPr>
        <w:t>（2026版）</w:t>
      </w:r>
    </w:p>
    <w:p w14:paraId="761F2F9D">
      <w:pPr>
        <w:snapToGrid w:val="0"/>
        <w:spacing w:line="440" w:lineRule="exact"/>
        <w:rPr>
          <w:rFonts w:eastAsia="黑体"/>
          <w:szCs w:val="21"/>
        </w:rPr>
      </w:pPr>
      <w:r>
        <w:rPr>
          <w:rFonts w:eastAsia="黑体"/>
          <w:szCs w:val="21"/>
        </w:rPr>
        <w:t>1 抽样方法</w:t>
      </w:r>
    </w:p>
    <w:p w14:paraId="1FD23887">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198E018B">
      <w:pPr>
        <w:snapToGrid w:val="0"/>
        <w:spacing w:line="440" w:lineRule="exact"/>
        <w:ind w:firstLine="420" w:firstLineChars="200"/>
        <w:rPr>
          <w:color w:val="000000"/>
          <w:szCs w:val="21"/>
        </w:rPr>
      </w:pPr>
      <w:r>
        <w:rPr>
          <w:color w:val="000000"/>
          <w:szCs w:val="21"/>
        </w:rPr>
        <w:t>随机数一般可使用随机数表等方法产生。</w:t>
      </w:r>
    </w:p>
    <w:p w14:paraId="24DC5787">
      <w:pPr>
        <w:snapToGrid w:val="0"/>
        <w:spacing w:line="440" w:lineRule="exact"/>
        <w:ind w:firstLine="420" w:firstLineChars="200"/>
        <w:rPr>
          <w:rFonts w:hint="eastAsia"/>
          <w:szCs w:val="21"/>
        </w:rPr>
      </w:pPr>
      <w:r>
        <w:rPr>
          <w:rFonts w:hint="eastAsia" w:ascii="宋体" w:hAnsi="宋体" w:cs="宋体"/>
          <w:color w:val="000000"/>
          <w:kern w:val="0"/>
          <w:szCs w:val="21"/>
        </w:rPr>
        <w:t>塑料编织袋:</w:t>
      </w:r>
      <w:r>
        <w:rPr>
          <w:szCs w:val="21"/>
        </w:rPr>
        <w:t>每批次产品抽取样品</w:t>
      </w:r>
      <w:bookmarkStart w:id="2" w:name="OLE_LINK10"/>
      <w:bookmarkStart w:id="3" w:name="OLE_LINK11"/>
      <w:bookmarkStart w:id="4" w:name="OLE_LINK5"/>
      <w:bookmarkStart w:id="5" w:name="OLE_LINK6"/>
      <w:bookmarkStart w:id="6" w:name="OLE_LINK7"/>
      <w:r>
        <w:rPr>
          <w:rFonts w:hint="eastAsia"/>
          <w:color w:val="000000"/>
        </w:rPr>
        <w:t>60</w:t>
      </w:r>
      <w:bookmarkEnd w:id="2"/>
      <w:bookmarkEnd w:id="3"/>
      <w:r>
        <w:rPr>
          <w:rFonts w:hint="eastAsia"/>
          <w:color w:val="000000"/>
        </w:rPr>
        <w:t>条</w:t>
      </w:r>
      <w:bookmarkEnd w:id="4"/>
      <w:bookmarkEnd w:id="5"/>
      <w:bookmarkEnd w:id="6"/>
      <w:r>
        <w:rPr>
          <w:szCs w:val="21"/>
        </w:rPr>
        <w:t>，其中</w:t>
      </w:r>
      <w:bookmarkStart w:id="7" w:name="OLE_LINK8"/>
      <w:bookmarkStart w:id="8" w:name="OLE_LINK9"/>
      <w:r>
        <w:rPr>
          <w:color w:val="000000"/>
        </w:rPr>
        <w:t>30</w:t>
      </w:r>
      <w:r>
        <w:rPr>
          <w:rFonts w:hint="eastAsia"/>
          <w:color w:val="000000"/>
        </w:rPr>
        <w:t>条</w:t>
      </w:r>
      <w:bookmarkEnd w:id="7"/>
      <w:bookmarkEnd w:id="8"/>
      <w:r>
        <w:rPr>
          <w:szCs w:val="21"/>
        </w:rPr>
        <w:t>作为检验样品，</w:t>
      </w:r>
      <w:r>
        <w:rPr>
          <w:color w:val="000000"/>
        </w:rPr>
        <w:t>30</w:t>
      </w:r>
      <w:r>
        <w:rPr>
          <w:rFonts w:hint="eastAsia"/>
          <w:color w:val="000000"/>
        </w:rPr>
        <w:t>条</w:t>
      </w:r>
      <w:r>
        <w:rPr>
          <w:szCs w:val="21"/>
        </w:rPr>
        <w:t>作为备用样品。</w:t>
      </w:r>
    </w:p>
    <w:p w14:paraId="63447253">
      <w:pPr>
        <w:snapToGrid w:val="0"/>
        <w:spacing w:line="440" w:lineRule="exact"/>
        <w:ind w:firstLine="420" w:firstLineChars="200"/>
        <w:rPr>
          <w:rFonts w:hint="eastAsia"/>
          <w:szCs w:val="21"/>
        </w:rPr>
      </w:pPr>
      <w:r>
        <w:rPr>
          <w:rFonts w:hint="eastAsia" w:ascii="宋体" w:hAnsi="宋体" w:cs="宋体"/>
          <w:color w:val="000000"/>
          <w:kern w:val="0"/>
          <w:szCs w:val="21"/>
        </w:rPr>
        <w:t>煤矿井下用塑料编织袋:</w:t>
      </w:r>
      <w:r>
        <w:rPr>
          <w:szCs w:val="21"/>
        </w:rPr>
        <w:t xml:space="preserve"> 每批次产品抽取样品</w:t>
      </w:r>
      <w:r>
        <w:rPr>
          <w:rFonts w:hint="eastAsia"/>
          <w:color w:val="000000"/>
        </w:rPr>
        <w:t>30条</w:t>
      </w:r>
      <w:r>
        <w:rPr>
          <w:szCs w:val="21"/>
        </w:rPr>
        <w:t>，其中</w:t>
      </w:r>
      <w:r>
        <w:rPr>
          <w:rFonts w:hint="eastAsia"/>
          <w:color w:val="000000"/>
        </w:rPr>
        <w:t>15条</w:t>
      </w:r>
      <w:r>
        <w:rPr>
          <w:szCs w:val="21"/>
        </w:rPr>
        <w:t>作为检验样品，</w:t>
      </w:r>
      <w:r>
        <w:rPr>
          <w:rFonts w:hint="eastAsia"/>
          <w:color w:val="000000"/>
        </w:rPr>
        <w:t>15条</w:t>
      </w:r>
      <w:r>
        <w:rPr>
          <w:szCs w:val="21"/>
        </w:rPr>
        <w:t>作为备用样品。</w:t>
      </w:r>
    </w:p>
    <w:p w14:paraId="612F06D5">
      <w:pPr>
        <w:snapToGrid w:val="0"/>
        <w:spacing w:line="440" w:lineRule="exact"/>
        <w:ind w:firstLine="420" w:firstLineChars="200"/>
        <w:rPr>
          <w:color w:val="000000"/>
        </w:rPr>
      </w:pPr>
    </w:p>
    <w:p w14:paraId="0FA0A724">
      <w:pPr>
        <w:snapToGrid w:val="0"/>
        <w:spacing w:line="440" w:lineRule="exact"/>
        <w:rPr>
          <w:rFonts w:eastAsia="黑体"/>
          <w:szCs w:val="21"/>
        </w:rPr>
      </w:pPr>
      <w:r>
        <w:rPr>
          <w:rFonts w:eastAsia="黑体"/>
          <w:szCs w:val="21"/>
        </w:rPr>
        <w:t>2 检验依据</w:t>
      </w:r>
    </w:p>
    <w:p w14:paraId="7FB63647">
      <w:pPr>
        <w:widowControl/>
        <w:spacing w:before="100" w:beforeAutospacing="1"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 xml:space="preserve">表1 </w:t>
      </w:r>
      <w:bookmarkStart w:id="9" w:name="OLE_LINK21"/>
      <w:bookmarkStart w:id="10" w:name="OLE_LINK20"/>
      <w:r>
        <w:rPr>
          <w:rFonts w:hint="eastAsia" w:ascii="宋体" w:hAnsi="宋体" w:cs="宋体"/>
          <w:color w:val="000000"/>
          <w:kern w:val="0"/>
          <w:szCs w:val="21"/>
        </w:rPr>
        <w:t>塑料编织袋</w:t>
      </w:r>
      <w:bookmarkEnd w:id="9"/>
      <w:bookmarkEnd w:id="10"/>
    </w:p>
    <w:tbl>
      <w:tblPr>
        <w:tblStyle w:val="8"/>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3524"/>
        <w:gridCol w:w="3305"/>
      </w:tblGrid>
      <w:tr w14:paraId="4E13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tblHeader/>
          <w:jc w:val="center"/>
        </w:trPr>
        <w:tc>
          <w:tcPr>
            <w:tcW w:w="1589" w:type="dxa"/>
            <w:vMerge w:val="restart"/>
            <w:noWrap/>
            <w:vAlign w:val="center"/>
          </w:tcPr>
          <w:p w14:paraId="342A2BBA">
            <w:pPr>
              <w:snapToGrid w:val="0"/>
              <w:jc w:val="center"/>
              <w:rPr>
                <w:rFonts w:ascii="宋体" w:hAnsi="宋体" w:cs="宋体"/>
                <w:kern w:val="0"/>
                <w:szCs w:val="21"/>
              </w:rPr>
            </w:pPr>
            <w:r>
              <w:rPr>
                <w:rFonts w:hint="eastAsia" w:ascii="宋体" w:hAnsi="宋体" w:cs="宋体"/>
                <w:kern w:val="0"/>
                <w:szCs w:val="21"/>
              </w:rPr>
              <w:t>序号</w:t>
            </w:r>
          </w:p>
        </w:tc>
        <w:tc>
          <w:tcPr>
            <w:tcW w:w="3524" w:type="dxa"/>
            <w:vMerge w:val="restart"/>
            <w:noWrap/>
            <w:vAlign w:val="center"/>
          </w:tcPr>
          <w:p w14:paraId="07365ABB">
            <w:pPr>
              <w:snapToGrid w:val="0"/>
              <w:jc w:val="center"/>
              <w:rPr>
                <w:rFonts w:ascii="宋体" w:hAnsi="宋体" w:cs="宋体"/>
                <w:kern w:val="0"/>
                <w:szCs w:val="21"/>
              </w:rPr>
            </w:pPr>
            <w:r>
              <w:rPr>
                <w:rFonts w:hint="eastAsia" w:ascii="宋体" w:hAnsi="宋体" w:cs="宋体"/>
                <w:kern w:val="0"/>
                <w:szCs w:val="21"/>
              </w:rPr>
              <w:t>检验项目</w:t>
            </w:r>
          </w:p>
        </w:tc>
        <w:tc>
          <w:tcPr>
            <w:tcW w:w="3305" w:type="dxa"/>
            <w:vMerge w:val="restart"/>
            <w:noWrap/>
            <w:vAlign w:val="center"/>
          </w:tcPr>
          <w:p w14:paraId="32C7FF71">
            <w:pPr>
              <w:snapToGrid w:val="0"/>
              <w:jc w:val="center"/>
              <w:rPr>
                <w:rFonts w:ascii="宋体" w:hAnsi="宋体" w:cs="宋体"/>
                <w:kern w:val="0"/>
                <w:szCs w:val="21"/>
              </w:rPr>
            </w:pPr>
            <w:r>
              <w:rPr>
                <w:rFonts w:hint="eastAsia" w:ascii="宋体" w:hAnsi="宋体" w:cs="宋体"/>
                <w:kern w:val="0"/>
                <w:szCs w:val="21"/>
              </w:rPr>
              <w:t>检测方法</w:t>
            </w:r>
          </w:p>
        </w:tc>
      </w:tr>
      <w:tr w14:paraId="70C4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blHeader/>
          <w:jc w:val="center"/>
        </w:trPr>
        <w:tc>
          <w:tcPr>
            <w:tcW w:w="1589" w:type="dxa"/>
            <w:vMerge w:val="continue"/>
            <w:noWrap/>
            <w:vAlign w:val="center"/>
          </w:tcPr>
          <w:p w14:paraId="5E8DC195">
            <w:pPr>
              <w:snapToGrid w:val="0"/>
              <w:jc w:val="center"/>
              <w:rPr>
                <w:rFonts w:ascii="宋体" w:hAnsi="宋体" w:cs="宋体"/>
                <w:kern w:val="0"/>
                <w:szCs w:val="21"/>
              </w:rPr>
            </w:pPr>
          </w:p>
        </w:tc>
        <w:tc>
          <w:tcPr>
            <w:tcW w:w="3524" w:type="dxa"/>
            <w:vMerge w:val="continue"/>
            <w:noWrap/>
            <w:vAlign w:val="center"/>
          </w:tcPr>
          <w:p w14:paraId="406E8612">
            <w:pPr>
              <w:snapToGrid w:val="0"/>
              <w:jc w:val="center"/>
              <w:rPr>
                <w:rFonts w:ascii="宋体" w:hAnsi="宋体" w:cs="宋体"/>
                <w:kern w:val="0"/>
                <w:szCs w:val="21"/>
              </w:rPr>
            </w:pPr>
          </w:p>
        </w:tc>
        <w:tc>
          <w:tcPr>
            <w:tcW w:w="3305" w:type="dxa"/>
            <w:vMerge w:val="continue"/>
            <w:noWrap/>
            <w:vAlign w:val="center"/>
          </w:tcPr>
          <w:p w14:paraId="3F797E65">
            <w:pPr>
              <w:snapToGrid w:val="0"/>
              <w:jc w:val="center"/>
              <w:rPr>
                <w:rFonts w:ascii="宋体" w:hAnsi="宋体" w:cs="宋体"/>
                <w:kern w:val="0"/>
                <w:szCs w:val="21"/>
              </w:rPr>
            </w:pPr>
          </w:p>
        </w:tc>
      </w:tr>
      <w:tr w14:paraId="324D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589" w:type="dxa"/>
            <w:noWrap/>
            <w:vAlign w:val="center"/>
          </w:tcPr>
          <w:p w14:paraId="3B258B97">
            <w:pPr>
              <w:snapToGrid w:val="0"/>
              <w:jc w:val="center"/>
              <w:rPr>
                <w:rFonts w:ascii="宋体" w:hAnsi="宋体" w:cs="宋体"/>
                <w:szCs w:val="21"/>
              </w:rPr>
            </w:pPr>
            <w:r>
              <w:rPr>
                <w:rFonts w:hint="eastAsia" w:ascii="宋体" w:hAnsi="宋体" w:cs="宋体"/>
                <w:szCs w:val="21"/>
              </w:rPr>
              <w:t>1</w:t>
            </w:r>
          </w:p>
        </w:tc>
        <w:tc>
          <w:tcPr>
            <w:tcW w:w="3524" w:type="dxa"/>
            <w:noWrap/>
            <w:vAlign w:val="center"/>
          </w:tcPr>
          <w:p w14:paraId="71E6097F">
            <w:pPr>
              <w:widowControl/>
              <w:spacing w:line="320" w:lineRule="atLeast"/>
              <w:jc w:val="center"/>
              <w:rPr>
                <w:kern w:val="0"/>
                <w:szCs w:val="21"/>
              </w:rPr>
            </w:pPr>
            <w:r>
              <w:rPr>
                <w:rFonts w:hint="eastAsia" w:ascii="宋体" w:hAnsi="宋体"/>
                <w:kern w:val="0"/>
                <w:sz w:val="18"/>
                <w:szCs w:val="18"/>
              </w:rPr>
              <w:t>外观质量</w:t>
            </w:r>
          </w:p>
        </w:tc>
        <w:tc>
          <w:tcPr>
            <w:tcW w:w="3305" w:type="dxa"/>
            <w:noWrap/>
            <w:vAlign w:val="center"/>
          </w:tcPr>
          <w:p w14:paraId="7B0464E5">
            <w:pPr>
              <w:widowControl/>
              <w:spacing w:line="320" w:lineRule="atLeast"/>
              <w:jc w:val="center"/>
              <w:rPr>
                <w:kern w:val="0"/>
                <w:szCs w:val="21"/>
              </w:rPr>
            </w:pPr>
            <w:r>
              <w:rPr>
                <w:rFonts w:ascii="宋体" w:hAnsi="宋体"/>
                <w:kern w:val="0"/>
                <w:sz w:val="18"/>
                <w:szCs w:val="18"/>
              </w:rPr>
              <w:t>GB/T 8946</w:t>
            </w:r>
            <w:r>
              <w:rPr>
                <w:color w:val="000000"/>
                <w:kern w:val="0"/>
                <w:szCs w:val="21"/>
              </w:rPr>
              <w:t>—</w:t>
            </w:r>
            <w:r>
              <w:rPr>
                <w:rFonts w:ascii="宋体" w:hAnsi="宋体"/>
                <w:kern w:val="0"/>
                <w:sz w:val="18"/>
                <w:szCs w:val="18"/>
              </w:rPr>
              <w:t>2013</w:t>
            </w:r>
          </w:p>
        </w:tc>
      </w:tr>
      <w:tr w14:paraId="5204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589" w:type="dxa"/>
            <w:noWrap/>
            <w:vAlign w:val="center"/>
          </w:tcPr>
          <w:p w14:paraId="0569B564">
            <w:pPr>
              <w:snapToGrid w:val="0"/>
              <w:jc w:val="center"/>
              <w:rPr>
                <w:rFonts w:ascii="宋体" w:hAnsi="宋体" w:cs="宋体"/>
                <w:szCs w:val="21"/>
              </w:rPr>
            </w:pPr>
            <w:r>
              <w:rPr>
                <w:rFonts w:hint="eastAsia" w:ascii="宋体" w:hAnsi="宋体" w:cs="宋体"/>
                <w:szCs w:val="21"/>
              </w:rPr>
              <w:t>2</w:t>
            </w:r>
          </w:p>
        </w:tc>
        <w:tc>
          <w:tcPr>
            <w:tcW w:w="3524" w:type="dxa"/>
            <w:noWrap/>
            <w:vAlign w:val="center"/>
          </w:tcPr>
          <w:p w14:paraId="46AF4A59">
            <w:pPr>
              <w:widowControl/>
              <w:spacing w:line="320" w:lineRule="atLeast"/>
              <w:jc w:val="center"/>
              <w:rPr>
                <w:kern w:val="0"/>
                <w:szCs w:val="21"/>
              </w:rPr>
            </w:pPr>
            <w:r>
              <w:rPr>
                <w:rFonts w:hint="eastAsia" w:ascii="宋体" w:hAnsi="宋体"/>
                <w:kern w:val="0"/>
                <w:sz w:val="18"/>
                <w:szCs w:val="18"/>
              </w:rPr>
              <w:t>允许偏差</w:t>
            </w:r>
          </w:p>
        </w:tc>
        <w:tc>
          <w:tcPr>
            <w:tcW w:w="3305" w:type="dxa"/>
            <w:noWrap/>
            <w:vAlign w:val="center"/>
          </w:tcPr>
          <w:p w14:paraId="0B467619">
            <w:pPr>
              <w:widowControl/>
              <w:spacing w:line="320" w:lineRule="atLeast"/>
              <w:jc w:val="center"/>
              <w:rPr>
                <w:kern w:val="0"/>
                <w:szCs w:val="21"/>
              </w:rPr>
            </w:pPr>
            <w:r>
              <w:rPr>
                <w:rFonts w:ascii="宋体" w:hAnsi="宋体"/>
                <w:kern w:val="0"/>
                <w:sz w:val="18"/>
                <w:szCs w:val="18"/>
              </w:rPr>
              <w:t>GB/T 8946</w:t>
            </w:r>
            <w:r>
              <w:rPr>
                <w:color w:val="000000"/>
                <w:kern w:val="0"/>
                <w:szCs w:val="21"/>
              </w:rPr>
              <w:t>—</w:t>
            </w:r>
            <w:r>
              <w:rPr>
                <w:rFonts w:ascii="宋体" w:hAnsi="宋体"/>
                <w:kern w:val="0"/>
                <w:sz w:val="18"/>
                <w:szCs w:val="18"/>
              </w:rPr>
              <w:t>2013</w:t>
            </w:r>
          </w:p>
        </w:tc>
      </w:tr>
      <w:tr w14:paraId="7D0D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589" w:type="dxa"/>
            <w:noWrap/>
            <w:vAlign w:val="center"/>
          </w:tcPr>
          <w:p w14:paraId="2968517A">
            <w:pPr>
              <w:snapToGrid w:val="0"/>
              <w:jc w:val="center"/>
              <w:rPr>
                <w:rFonts w:ascii="宋体" w:hAnsi="宋体" w:cs="宋体"/>
                <w:szCs w:val="21"/>
              </w:rPr>
            </w:pPr>
            <w:r>
              <w:rPr>
                <w:rFonts w:hint="eastAsia" w:ascii="宋体" w:hAnsi="宋体" w:cs="宋体"/>
                <w:szCs w:val="21"/>
              </w:rPr>
              <w:t>3</w:t>
            </w:r>
          </w:p>
        </w:tc>
        <w:tc>
          <w:tcPr>
            <w:tcW w:w="3524" w:type="dxa"/>
            <w:noWrap/>
            <w:vAlign w:val="center"/>
          </w:tcPr>
          <w:p w14:paraId="3259874F">
            <w:pPr>
              <w:widowControl/>
              <w:spacing w:line="320" w:lineRule="atLeast"/>
              <w:jc w:val="center"/>
              <w:rPr>
                <w:kern w:val="0"/>
                <w:szCs w:val="21"/>
              </w:rPr>
            </w:pPr>
            <w:r>
              <w:rPr>
                <w:rFonts w:hint="eastAsia" w:ascii="宋体" w:hAnsi="宋体"/>
                <w:kern w:val="0"/>
                <w:sz w:val="18"/>
                <w:szCs w:val="18"/>
              </w:rPr>
              <w:t>拉伸负荷</w:t>
            </w:r>
          </w:p>
        </w:tc>
        <w:tc>
          <w:tcPr>
            <w:tcW w:w="3305" w:type="dxa"/>
            <w:noWrap/>
            <w:vAlign w:val="center"/>
          </w:tcPr>
          <w:p w14:paraId="6C1F8C55">
            <w:pPr>
              <w:widowControl/>
              <w:spacing w:line="320" w:lineRule="atLeast"/>
              <w:jc w:val="center"/>
              <w:rPr>
                <w:kern w:val="0"/>
                <w:szCs w:val="21"/>
              </w:rPr>
            </w:pPr>
            <w:r>
              <w:rPr>
                <w:rFonts w:ascii="宋体" w:hAnsi="宋体"/>
                <w:kern w:val="0"/>
                <w:sz w:val="18"/>
                <w:szCs w:val="18"/>
              </w:rPr>
              <w:t>GB/T 8946</w:t>
            </w:r>
            <w:r>
              <w:rPr>
                <w:color w:val="000000"/>
                <w:kern w:val="0"/>
                <w:szCs w:val="21"/>
              </w:rPr>
              <w:t>—</w:t>
            </w:r>
            <w:r>
              <w:rPr>
                <w:rFonts w:ascii="宋体" w:hAnsi="宋体"/>
                <w:kern w:val="0"/>
                <w:sz w:val="18"/>
                <w:szCs w:val="18"/>
              </w:rPr>
              <w:t>2013</w:t>
            </w:r>
          </w:p>
        </w:tc>
      </w:tr>
      <w:tr w14:paraId="404F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0E67E777">
            <w:pPr>
              <w:snapToGrid w:val="0"/>
              <w:jc w:val="center"/>
              <w:rPr>
                <w:rFonts w:ascii="宋体" w:hAnsi="宋体" w:cs="宋体"/>
                <w:szCs w:val="21"/>
              </w:rPr>
            </w:pPr>
            <w:r>
              <w:rPr>
                <w:rFonts w:hint="eastAsia" w:ascii="宋体" w:hAnsi="宋体" w:cs="宋体"/>
                <w:szCs w:val="21"/>
              </w:rPr>
              <w:t>4</w:t>
            </w:r>
          </w:p>
        </w:tc>
        <w:tc>
          <w:tcPr>
            <w:tcW w:w="3524" w:type="dxa"/>
            <w:noWrap/>
            <w:vAlign w:val="center"/>
          </w:tcPr>
          <w:p w14:paraId="6A71EB0B">
            <w:pPr>
              <w:widowControl/>
              <w:spacing w:line="320" w:lineRule="atLeast"/>
              <w:jc w:val="center"/>
              <w:rPr>
                <w:kern w:val="0"/>
                <w:szCs w:val="21"/>
              </w:rPr>
            </w:pPr>
            <w:r>
              <w:rPr>
                <w:rFonts w:hint="eastAsia" w:ascii="宋体" w:hAnsi="宋体"/>
                <w:kern w:val="0"/>
                <w:sz w:val="18"/>
                <w:szCs w:val="18"/>
              </w:rPr>
              <w:t>耐热性能</w:t>
            </w:r>
          </w:p>
        </w:tc>
        <w:tc>
          <w:tcPr>
            <w:tcW w:w="3305" w:type="dxa"/>
            <w:noWrap/>
            <w:vAlign w:val="center"/>
          </w:tcPr>
          <w:p w14:paraId="29D0518F">
            <w:pPr>
              <w:widowControl/>
              <w:spacing w:line="320" w:lineRule="atLeast"/>
              <w:jc w:val="center"/>
              <w:rPr>
                <w:kern w:val="0"/>
                <w:szCs w:val="21"/>
              </w:rPr>
            </w:pPr>
            <w:r>
              <w:rPr>
                <w:rFonts w:ascii="宋体" w:hAnsi="宋体"/>
                <w:kern w:val="0"/>
                <w:sz w:val="18"/>
                <w:szCs w:val="18"/>
              </w:rPr>
              <w:t>GB/T 8946</w:t>
            </w:r>
            <w:r>
              <w:rPr>
                <w:color w:val="000000"/>
                <w:kern w:val="0"/>
                <w:szCs w:val="21"/>
              </w:rPr>
              <w:t>—</w:t>
            </w:r>
            <w:r>
              <w:rPr>
                <w:rFonts w:ascii="宋体" w:hAnsi="宋体"/>
                <w:kern w:val="0"/>
                <w:sz w:val="18"/>
                <w:szCs w:val="18"/>
              </w:rPr>
              <w:t>2013</w:t>
            </w:r>
          </w:p>
        </w:tc>
      </w:tr>
      <w:tr w14:paraId="6026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532037EF">
            <w:pPr>
              <w:snapToGrid w:val="0"/>
              <w:jc w:val="center"/>
              <w:rPr>
                <w:rFonts w:ascii="宋体" w:hAnsi="宋体" w:cs="宋体"/>
                <w:szCs w:val="21"/>
              </w:rPr>
            </w:pPr>
            <w:r>
              <w:rPr>
                <w:rFonts w:hint="eastAsia" w:ascii="宋体" w:hAnsi="宋体" w:cs="宋体"/>
                <w:szCs w:val="21"/>
              </w:rPr>
              <w:t>5</w:t>
            </w:r>
          </w:p>
        </w:tc>
        <w:tc>
          <w:tcPr>
            <w:tcW w:w="3524" w:type="dxa"/>
            <w:noWrap/>
            <w:vAlign w:val="center"/>
          </w:tcPr>
          <w:p w14:paraId="2BEC89A3">
            <w:pPr>
              <w:widowControl/>
              <w:spacing w:line="320" w:lineRule="atLeast"/>
              <w:jc w:val="center"/>
              <w:rPr>
                <w:kern w:val="0"/>
                <w:szCs w:val="21"/>
              </w:rPr>
            </w:pPr>
            <w:r>
              <w:rPr>
                <w:rFonts w:hint="eastAsia" w:ascii="宋体" w:hAnsi="宋体"/>
                <w:kern w:val="0"/>
                <w:sz w:val="18"/>
                <w:szCs w:val="18"/>
              </w:rPr>
              <w:t>高锰酸钾消耗量</w:t>
            </w:r>
          </w:p>
        </w:tc>
        <w:tc>
          <w:tcPr>
            <w:tcW w:w="3305" w:type="dxa"/>
            <w:noWrap/>
            <w:vAlign w:val="center"/>
          </w:tcPr>
          <w:p w14:paraId="7B958945">
            <w:pPr>
              <w:widowControl/>
              <w:spacing w:line="320" w:lineRule="atLeast"/>
              <w:jc w:val="center"/>
              <w:rPr>
                <w:kern w:val="0"/>
                <w:szCs w:val="21"/>
              </w:rPr>
            </w:pPr>
            <w:r>
              <w:rPr>
                <w:rFonts w:ascii="宋体" w:hAnsi="宋体"/>
                <w:kern w:val="0"/>
                <w:sz w:val="18"/>
                <w:szCs w:val="18"/>
              </w:rPr>
              <w:t>GB 31604.2</w:t>
            </w:r>
            <w:r>
              <w:rPr>
                <w:color w:val="000000"/>
                <w:kern w:val="0"/>
                <w:szCs w:val="21"/>
              </w:rPr>
              <w:t>—</w:t>
            </w:r>
            <w:r>
              <w:rPr>
                <w:rFonts w:ascii="宋体" w:hAnsi="宋体"/>
                <w:kern w:val="0"/>
                <w:sz w:val="18"/>
                <w:szCs w:val="18"/>
              </w:rPr>
              <w:t>2016</w:t>
            </w:r>
          </w:p>
        </w:tc>
      </w:tr>
      <w:tr w14:paraId="49DEE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4EB7AFD9">
            <w:pPr>
              <w:snapToGrid w:val="0"/>
              <w:jc w:val="center"/>
              <w:rPr>
                <w:rFonts w:ascii="宋体" w:hAnsi="宋体" w:cs="宋体"/>
                <w:szCs w:val="21"/>
              </w:rPr>
            </w:pPr>
            <w:r>
              <w:rPr>
                <w:rFonts w:hint="eastAsia" w:ascii="宋体" w:hAnsi="宋体" w:cs="宋体"/>
                <w:szCs w:val="21"/>
              </w:rPr>
              <w:t>6</w:t>
            </w:r>
          </w:p>
        </w:tc>
        <w:tc>
          <w:tcPr>
            <w:tcW w:w="3524" w:type="dxa"/>
            <w:noWrap/>
            <w:vAlign w:val="center"/>
          </w:tcPr>
          <w:p w14:paraId="0661939A">
            <w:pPr>
              <w:widowControl/>
              <w:spacing w:line="320" w:lineRule="atLeast"/>
              <w:jc w:val="center"/>
              <w:rPr>
                <w:kern w:val="0"/>
                <w:szCs w:val="21"/>
              </w:rPr>
            </w:pPr>
            <w:r>
              <w:rPr>
                <w:rFonts w:hint="eastAsia" w:ascii="宋体" w:hAnsi="宋体"/>
                <w:kern w:val="0"/>
                <w:sz w:val="18"/>
                <w:szCs w:val="18"/>
              </w:rPr>
              <w:t>重金属</w:t>
            </w:r>
          </w:p>
        </w:tc>
        <w:tc>
          <w:tcPr>
            <w:tcW w:w="3305" w:type="dxa"/>
            <w:noWrap/>
            <w:vAlign w:val="center"/>
          </w:tcPr>
          <w:p w14:paraId="1828FE9E">
            <w:pPr>
              <w:widowControl/>
              <w:spacing w:line="320" w:lineRule="atLeast"/>
              <w:jc w:val="center"/>
              <w:rPr>
                <w:kern w:val="0"/>
                <w:szCs w:val="21"/>
              </w:rPr>
            </w:pPr>
            <w:r>
              <w:rPr>
                <w:rFonts w:ascii="宋体" w:hAnsi="宋体"/>
                <w:kern w:val="0"/>
                <w:sz w:val="18"/>
                <w:szCs w:val="18"/>
              </w:rPr>
              <w:t>GB 31604.9</w:t>
            </w:r>
            <w:r>
              <w:rPr>
                <w:color w:val="000000"/>
                <w:kern w:val="0"/>
                <w:szCs w:val="21"/>
              </w:rPr>
              <w:t>—</w:t>
            </w:r>
            <w:r>
              <w:rPr>
                <w:rFonts w:ascii="宋体" w:hAnsi="宋体"/>
                <w:kern w:val="0"/>
                <w:sz w:val="18"/>
                <w:szCs w:val="18"/>
              </w:rPr>
              <w:t>2016</w:t>
            </w:r>
          </w:p>
        </w:tc>
      </w:tr>
      <w:tr w14:paraId="67EA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637629F2">
            <w:pPr>
              <w:snapToGrid w:val="0"/>
              <w:jc w:val="center"/>
              <w:rPr>
                <w:rFonts w:ascii="宋体" w:hAnsi="宋体" w:cs="宋体"/>
                <w:szCs w:val="21"/>
              </w:rPr>
            </w:pPr>
            <w:r>
              <w:rPr>
                <w:rFonts w:hint="eastAsia" w:ascii="宋体" w:hAnsi="宋体" w:cs="宋体"/>
                <w:szCs w:val="21"/>
              </w:rPr>
              <w:t>7</w:t>
            </w:r>
          </w:p>
        </w:tc>
        <w:tc>
          <w:tcPr>
            <w:tcW w:w="3524" w:type="dxa"/>
            <w:noWrap/>
            <w:vAlign w:val="center"/>
          </w:tcPr>
          <w:p w14:paraId="7764B43D">
            <w:pPr>
              <w:widowControl/>
              <w:spacing w:line="320" w:lineRule="atLeast"/>
              <w:jc w:val="center"/>
              <w:rPr>
                <w:kern w:val="0"/>
                <w:szCs w:val="21"/>
              </w:rPr>
            </w:pPr>
            <w:r>
              <w:rPr>
                <w:rFonts w:hint="eastAsia" w:ascii="宋体" w:hAnsi="宋体"/>
                <w:kern w:val="0"/>
                <w:sz w:val="18"/>
                <w:szCs w:val="18"/>
              </w:rPr>
              <w:t>脱色试验</w:t>
            </w:r>
          </w:p>
        </w:tc>
        <w:tc>
          <w:tcPr>
            <w:tcW w:w="3305" w:type="dxa"/>
            <w:noWrap/>
            <w:vAlign w:val="center"/>
          </w:tcPr>
          <w:p w14:paraId="6582F2E3">
            <w:pPr>
              <w:widowControl/>
              <w:spacing w:line="320" w:lineRule="atLeast"/>
              <w:jc w:val="center"/>
              <w:rPr>
                <w:kern w:val="0"/>
                <w:szCs w:val="21"/>
              </w:rPr>
            </w:pPr>
            <w:r>
              <w:rPr>
                <w:rFonts w:ascii="宋体" w:hAnsi="宋体"/>
                <w:kern w:val="0"/>
                <w:sz w:val="18"/>
                <w:szCs w:val="18"/>
              </w:rPr>
              <w:t>GB 31604.7</w:t>
            </w:r>
            <w:bookmarkStart w:id="11" w:name="OLE_LINK13"/>
            <w:bookmarkStart w:id="12" w:name="OLE_LINK12"/>
            <w:r>
              <w:rPr>
                <w:color w:val="000000"/>
                <w:kern w:val="0"/>
                <w:szCs w:val="21"/>
              </w:rPr>
              <w:t>—</w:t>
            </w:r>
            <w:bookmarkEnd w:id="11"/>
            <w:bookmarkEnd w:id="12"/>
            <w:r>
              <w:rPr>
                <w:rFonts w:ascii="宋体" w:hAnsi="宋体"/>
                <w:kern w:val="0"/>
                <w:sz w:val="18"/>
                <w:szCs w:val="18"/>
              </w:rPr>
              <w:t>20</w:t>
            </w:r>
            <w:r>
              <w:rPr>
                <w:rFonts w:hint="eastAsia" w:ascii="宋体" w:hAnsi="宋体"/>
                <w:kern w:val="0"/>
                <w:sz w:val="18"/>
                <w:szCs w:val="18"/>
              </w:rPr>
              <w:t>23</w:t>
            </w:r>
          </w:p>
        </w:tc>
      </w:tr>
    </w:tbl>
    <w:p w14:paraId="140C5C2D">
      <w:pPr>
        <w:widowControl/>
        <w:spacing w:before="100" w:beforeAutospacing="1"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 xml:space="preserve">表2 </w:t>
      </w:r>
      <w:bookmarkStart w:id="13" w:name="OLE_LINK23"/>
      <w:bookmarkStart w:id="14" w:name="OLE_LINK22"/>
      <w:r>
        <w:rPr>
          <w:rFonts w:hint="eastAsia" w:ascii="宋体" w:hAnsi="宋体" w:cs="宋体"/>
          <w:color w:val="000000"/>
          <w:kern w:val="0"/>
          <w:szCs w:val="21"/>
        </w:rPr>
        <w:t>煤矿井下用塑料编织袋</w:t>
      </w:r>
      <w:bookmarkEnd w:id="13"/>
      <w:bookmarkEnd w:id="14"/>
    </w:p>
    <w:tbl>
      <w:tblPr>
        <w:tblStyle w:val="8"/>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3524"/>
        <w:gridCol w:w="3305"/>
      </w:tblGrid>
      <w:tr w14:paraId="26A7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tblHeader/>
          <w:jc w:val="center"/>
        </w:trPr>
        <w:tc>
          <w:tcPr>
            <w:tcW w:w="1589" w:type="dxa"/>
            <w:vMerge w:val="restart"/>
            <w:noWrap/>
            <w:vAlign w:val="center"/>
          </w:tcPr>
          <w:p w14:paraId="24FE71C5">
            <w:pPr>
              <w:snapToGrid w:val="0"/>
              <w:jc w:val="center"/>
              <w:rPr>
                <w:rFonts w:ascii="宋体" w:hAnsi="宋体" w:cs="宋体"/>
                <w:kern w:val="0"/>
                <w:szCs w:val="21"/>
              </w:rPr>
            </w:pPr>
            <w:r>
              <w:rPr>
                <w:rFonts w:hint="eastAsia" w:ascii="宋体" w:hAnsi="宋体" w:cs="宋体"/>
                <w:kern w:val="0"/>
                <w:szCs w:val="21"/>
              </w:rPr>
              <w:t>序号</w:t>
            </w:r>
          </w:p>
        </w:tc>
        <w:tc>
          <w:tcPr>
            <w:tcW w:w="3524" w:type="dxa"/>
            <w:vMerge w:val="restart"/>
            <w:noWrap/>
            <w:vAlign w:val="center"/>
          </w:tcPr>
          <w:p w14:paraId="694A2E1C">
            <w:pPr>
              <w:snapToGrid w:val="0"/>
              <w:jc w:val="center"/>
              <w:rPr>
                <w:rFonts w:ascii="宋体" w:hAnsi="宋体" w:cs="宋体"/>
                <w:kern w:val="0"/>
                <w:szCs w:val="21"/>
              </w:rPr>
            </w:pPr>
            <w:r>
              <w:rPr>
                <w:rFonts w:hint="eastAsia" w:ascii="宋体" w:hAnsi="宋体" w:cs="宋体"/>
                <w:kern w:val="0"/>
                <w:szCs w:val="21"/>
              </w:rPr>
              <w:t>检验项目</w:t>
            </w:r>
          </w:p>
        </w:tc>
        <w:tc>
          <w:tcPr>
            <w:tcW w:w="3305" w:type="dxa"/>
            <w:vMerge w:val="restart"/>
            <w:noWrap/>
            <w:vAlign w:val="center"/>
          </w:tcPr>
          <w:p w14:paraId="5683FFAF">
            <w:pPr>
              <w:snapToGrid w:val="0"/>
              <w:jc w:val="center"/>
              <w:rPr>
                <w:rFonts w:ascii="宋体" w:hAnsi="宋体" w:cs="宋体"/>
                <w:kern w:val="0"/>
                <w:szCs w:val="21"/>
              </w:rPr>
            </w:pPr>
            <w:r>
              <w:rPr>
                <w:rFonts w:hint="eastAsia" w:ascii="宋体" w:hAnsi="宋体" w:cs="宋体"/>
                <w:kern w:val="0"/>
                <w:szCs w:val="21"/>
              </w:rPr>
              <w:t>检测方法</w:t>
            </w:r>
          </w:p>
        </w:tc>
      </w:tr>
      <w:tr w14:paraId="2B9D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blHeader/>
          <w:jc w:val="center"/>
        </w:trPr>
        <w:tc>
          <w:tcPr>
            <w:tcW w:w="1589" w:type="dxa"/>
            <w:vMerge w:val="continue"/>
            <w:noWrap/>
            <w:vAlign w:val="center"/>
          </w:tcPr>
          <w:p w14:paraId="52580DFC">
            <w:pPr>
              <w:snapToGrid w:val="0"/>
              <w:jc w:val="center"/>
              <w:rPr>
                <w:rFonts w:ascii="宋体" w:hAnsi="宋体" w:cs="宋体"/>
                <w:kern w:val="0"/>
                <w:szCs w:val="21"/>
              </w:rPr>
            </w:pPr>
          </w:p>
        </w:tc>
        <w:tc>
          <w:tcPr>
            <w:tcW w:w="3524" w:type="dxa"/>
            <w:vMerge w:val="continue"/>
            <w:noWrap/>
            <w:vAlign w:val="center"/>
          </w:tcPr>
          <w:p w14:paraId="1B4570BD">
            <w:pPr>
              <w:snapToGrid w:val="0"/>
              <w:jc w:val="center"/>
              <w:rPr>
                <w:rFonts w:ascii="宋体" w:hAnsi="宋体" w:cs="宋体"/>
                <w:kern w:val="0"/>
                <w:szCs w:val="21"/>
              </w:rPr>
            </w:pPr>
          </w:p>
        </w:tc>
        <w:tc>
          <w:tcPr>
            <w:tcW w:w="3305" w:type="dxa"/>
            <w:vMerge w:val="continue"/>
            <w:noWrap/>
            <w:vAlign w:val="center"/>
          </w:tcPr>
          <w:p w14:paraId="2384946A">
            <w:pPr>
              <w:snapToGrid w:val="0"/>
              <w:jc w:val="center"/>
              <w:rPr>
                <w:rFonts w:ascii="宋体" w:hAnsi="宋体" w:cs="宋体"/>
                <w:kern w:val="0"/>
                <w:szCs w:val="21"/>
              </w:rPr>
            </w:pPr>
          </w:p>
        </w:tc>
      </w:tr>
      <w:tr w14:paraId="180C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589" w:type="dxa"/>
            <w:noWrap/>
            <w:vAlign w:val="center"/>
          </w:tcPr>
          <w:p w14:paraId="648F9B89">
            <w:pPr>
              <w:snapToGrid w:val="0"/>
              <w:jc w:val="center"/>
              <w:rPr>
                <w:rFonts w:ascii="宋体" w:hAnsi="宋体" w:cs="宋体"/>
                <w:szCs w:val="21"/>
              </w:rPr>
            </w:pPr>
            <w:r>
              <w:rPr>
                <w:rFonts w:hint="eastAsia" w:ascii="宋体" w:hAnsi="宋体" w:cs="宋体"/>
                <w:szCs w:val="21"/>
              </w:rPr>
              <w:t>1</w:t>
            </w:r>
          </w:p>
        </w:tc>
        <w:tc>
          <w:tcPr>
            <w:tcW w:w="3524" w:type="dxa"/>
            <w:noWrap/>
            <w:vAlign w:val="center"/>
          </w:tcPr>
          <w:p w14:paraId="6D8B3795">
            <w:pPr>
              <w:jc w:val="center"/>
              <w:rPr>
                <w:rFonts w:hint="eastAsia"/>
              </w:rPr>
            </w:pPr>
            <w:r>
              <w:rPr>
                <w:rFonts w:hint="eastAsia"/>
              </w:rPr>
              <w:t>外观质量</w:t>
            </w:r>
          </w:p>
        </w:tc>
        <w:tc>
          <w:tcPr>
            <w:tcW w:w="3305" w:type="dxa"/>
            <w:noWrap/>
            <w:vAlign w:val="center"/>
          </w:tcPr>
          <w:p w14:paraId="082A54DA">
            <w:pPr>
              <w:widowControl/>
              <w:spacing w:line="320" w:lineRule="atLeast"/>
              <w:jc w:val="center"/>
              <w:rPr>
                <w:kern w:val="0"/>
                <w:szCs w:val="21"/>
              </w:rPr>
            </w:pPr>
            <w:bookmarkStart w:id="15" w:name="OLE_LINK14"/>
            <w:bookmarkStart w:id="16" w:name="OLE_LINK15"/>
            <w:r>
              <w:rPr>
                <w:rFonts w:ascii="宋体" w:hAnsi="宋体"/>
                <w:kern w:val="0"/>
                <w:sz w:val="18"/>
                <w:szCs w:val="18"/>
              </w:rPr>
              <w:t>MT/T 1125</w:t>
            </w:r>
            <w:r>
              <w:rPr>
                <w:color w:val="000000"/>
                <w:kern w:val="0"/>
                <w:szCs w:val="21"/>
              </w:rPr>
              <w:t>—</w:t>
            </w:r>
            <w:r>
              <w:rPr>
                <w:rFonts w:ascii="宋体" w:hAnsi="宋体"/>
                <w:kern w:val="0"/>
                <w:sz w:val="18"/>
                <w:szCs w:val="18"/>
              </w:rPr>
              <w:t>2011</w:t>
            </w:r>
            <w:bookmarkEnd w:id="15"/>
            <w:bookmarkEnd w:id="16"/>
          </w:p>
        </w:tc>
      </w:tr>
      <w:tr w14:paraId="6D48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589" w:type="dxa"/>
            <w:noWrap/>
            <w:vAlign w:val="center"/>
          </w:tcPr>
          <w:p w14:paraId="595162CE">
            <w:pPr>
              <w:snapToGrid w:val="0"/>
              <w:jc w:val="center"/>
              <w:rPr>
                <w:rFonts w:ascii="宋体" w:hAnsi="宋体" w:cs="宋体"/>
                <w:szCs w:val="21"/>
              </w:rPr>
            </w:pPr>
            <w:r>
              <w:rPr>
                <w:rFonts w:hint="eastAsia" w:ascii="宋体" w:hAnsi="宋体" w:cs="宋体"/>
                <w:szCs w:val="21"/>
              </w:rPr>
              <w:t>2</w:t>
            </w:r>
          </w:p>
        </w:tc>
        <w:tc>
          <w:tcPr>
            <w:tcW w:w="3524" w:type="dxa"/>
            <w:noWrap/>
            <w:vAlign w:val="center"/>
          </w:tcPr>
          <w:p w14:paraId="30C4F1F9">
            <w:pPr>
              <w:jc w:val="center"/>
              <w:rPr>
                <w:rFonts w:hint="eastAsia"/>
              </w:rPr>
            </w:pPr>
            <w:r>
              <w:rPr>
                <w:rFonts w:hint="eastAsia"/>
              </w:rPr>
              <w:t>允许偏差</w:t>
            </w:r>
          </w:p>
        </w:tc>
        <w:tc>
          <w:tcPr>
            <w:tcW w:w="3305" w:type="dxa"/>
            <w:noWrap/>
            <w:vAlign w:val="center"/>
          </w:tcPr>
          <w:p w14:paraId="1823AC79">
            <w:pPr>
              <w:widowControl/>
              <w:spacing w:line="320" w:lineRule="atLeast"/>
              <w:jc w:val="center"/>
              <w:rPr>
                <w:kern w:val="0"/>
                <w:szCs w:val="21"/>
              </w:rPr>
            </w:pPr>
            <w:bookmarkStart w:id="17" w:name="OLE_LINK19"/>
            <w:bookmarkStart w:id="18" w:name="OLE_LINK18"/>
            <w:r>
              <w:rPr>
                <w:rFonts w:hint="eastAsia" w:ascii="宋体" w:hAnsi="宋体"/>
                <w:kern w:val="0"/>
                <w:sz w:val="18"/>
                <w:szCs w:val="18"/>
              </w:rPr>
              <w:t>MT/T 1125</w:t>
            </w:r>
            <w:r>
              <w:rPr>
                <w:color w:val="000000"/>
                <w:kern w:val="0"/>
                <w:szCs w:val="21"/>
              </w:rPr>
              <w:t>—</w:t>
            </w:r>
            <w:r>
              <w:rPr>
                <w:rFonts w:hint="eastAsia" w:ascii="宋体" w:hAnsi="宋体"/>
                <w:kern w:val="0"/>
                <w:sz w:val="18"/>
                <w:szCs w:val="18"/>
              </w:rPr>
              <w:t>2011</w:t>
            </w:r>
            <w:bookmarkEnd w:id="17"/>
            <w:bookmarkEnd w:id="18"/>
          </w:p>
        </w:tc>
      </w:tr>
      <w:tr w14:paraId="27A8C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589" w:type="dxa"/>
            <w:noWrap/>
            <w:vAlign w:val="center"/>
          </w:tcPr>
          <w:p w14:paraId="0B3CA8E0">
            <w:pPr>
              <w:snapToGrid w:val="0"/>
              <w:jc w:val="center"/>
              <w:rPr>
                <w:rFonts w:ascii="宋体" w:hAnsi="宋体" w:cs="宋体"/>
                <w:szCs w:val="21"/>
              </w:rPr>
            </w:pPr>
            <w:r>
              <w:rPr>
                <w:rFonts w:hint="eastAsia" w:ascii="宋体" w:hAnsi="宋体" w:cs="宋体"/>
                <w:szCs w:val="21"/>
              </w:rPr>
              <w:t>3</w:t>
            </w:r>
          </w:p>
        </w:tc>
        <w:tc>
          <w:tcPr>
            <w:tcW w:w="3524" w:type="dxa"/>
            <w:noWrap/>
            <w:vAlign w:val="center"/>
          </w:tcPr>
          <w:p w14:paraId="2182DD90">
            <w:pPr>
              <w:jc w:val="center"/>
              <w:rPr>
                <w:rFonts w:hint="eastAsia"/>
              </w:rPr>
            </w:pPr>
            <w:r>
              <w:rPr>
                <w:rFonts w:hint="eastAsia"/>
              </w:rPr>
              <w:t>拉伸负荷</w:t>
            </w:r>
          </w:p>
        </w:tc>
        <w:tc>
          <w:tcPr>
            <w:tcW w:w="3305" w:type="dxa"/>
            <w:noWrap/>
            <w:vAlign w:val="center"/>
          </w:tcPr>
          <w:p w14:paraId="4FC408B9">
            <w:pPr>
              <w:widowControl/>
              <w:spacing w:line="320" w:lineRule="atLeast"/>
              <w:jc w:val="center"/>
              <w:rPr>
                <w:kern w:val="0"/>
                <w:szCs w:val="21"/>
              </w:rPr>
            </w:pPr>
            <w:r>
              <w:rPr>
                <w:rFonts w:hint="eastAsia" w:ascii="宋体" w:hAnsi="宋体"/>
                <w:kern w:val="0"/>
                <w:sz w:val="18"/>
                <w:szCs w:val="18"/>
              </w:rPr>
              <w:t>MT/T 1125</w:t>
            </w:r>
            <w:r>
              <w:rPr>
                <w:color w:val="000000"/>
                <w:kern w:val="0"/>
                <w:szCs w:val="21"/>
              </w:rPr>
              <w:t>—</w:t>
            </w:r>
            <w:r>
              <w:rPr>
                <w:rFonts w:hint="eastAsia" w:ascii="宋体" w:hAnsi="宋体"/>
                <w:kern w:val="0"/>
                <w:sz w:val="18"/>
                <w:szCs w:val="18"/>
              </w:rPr>
              <w:t>2011</w:t>
            </w:r>
          </w:p>
        </w:tc>
      </w:tr>
      <w:tr w14:paraId="74F5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7B17D03B">
            <w:pPr>
              <w:snapToGrid w:val="0"/>
              <w:jc w:val="center"/>
              <w:rPr>
                <w:rFonts w:ascii="宋体" w:hAnsi="宋体" w:cs="宋体"/>
                <w:szCs w:val="21"/>
              </w:rPr>
            </w:pPr>
            <w:r>
              <w:rPr>
                <w:rFonts w:hint="eastAsia" w:ascii="宋体" w:hAnsi="宋体" w:cs="宋体"/>
                <w:szCs w:val="21"/>
              </w:rPr>
              <w:t>4</w:t>
            </w:r>
          </w:p>
        </w:tc>
        <w:tc>
          <w:tcPr>
            <w:tcW w:w="3524" w:type="dxa"/>
            <w:noWrap/>
            <w:vAlign w:val="center"/>
          </w:tcPr>
          <w:p w14:paraId="7BE99364">
            <w:pPr>
              <w:jc w:val="center"/>
              <w:rPr>
                <w:rFonts w:hint="eastAsia"/>
              </w:rPr>
            </w:pPr>
            <w:r>
              <w:rPr>
                <w:rFonts w:hint="eastAsia"/>
              </w:rPr>
              <w:t>耐热性</w:t>
            </w:r>
          </w:p>
        </w:tc>
        <w:tc>
          <w:tcPr>
            <w:tcW w:w="3305" w:type="dxa"/>
            <w:noWrap/>
            <w:vAlign w:val="center"/>
          </w:tcPr>
          <w:p w14:paraId="5B13C9D1">
            <w:pPr>
              <w:widowControl/>
              <w:spacing w:line="320" w:lineRule="atLeast"/>
              <w:jc w:val="center"/>
              <w:rPr>
                <w:kern w:val="0"/>
                <w:szCs w:val="21"/>
              </w:rPr>
            </w:pPr>
            <w:r>
              <w:rPr>
                <w:rFonts w:hint="eastAsia" w:ascii="宋体" w:hAnsi="宋体"/>
                <w:kern w:val="0"/>
                <w:sz w:val="18"/>
                <w:szCs w:val="18"/>
              </w:rPr>
              <w:t>MT/T 1125</w:t>
            </w:r>
            <w:r>
              <w:rPr>
                <w:color w:val="000000"/>
                <w:kern w:val="0"/>
                <w:szCs w:val="21"/>
              </w:rPr>
              <w:t>—</w:t>
            </w:r>
            <w:r>
              <w:rPr>
                <w:rFonts w:hint="eastAsia" w:ascii="宋体" w:hAnsi="宋体"/>
                <w:kern w:val="0"/>
                <w:sz w:val="18"/>
                <w:szCs w:val="18"/>
              </w:rPr>
              <w:t>2011</w:t>
            </w:r>
          </w:p>
        </w:tc>
      </w:tr>
      <w:tr w14:paraId="5B51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584A3337">
            <w:pPr>
              <w:snapToGrid w:val="0"/>
              <w:jc w:val="center"/>
              <w:rPr>
                <w:rFonts w:ascii="宋体" w:hAnsi="宋体" w:cs="宋体"/>
                <w:szCs w:val="21"/>
              </w:rPr>
            </w:pPr>
            <w:r>
              <w:rPr>
                <w:rFonts w:hint="eastAsia" w:ascii="宋体" w:hAnsi="宋体" w:cs="宋体"/>
                <w:szCs w:val="21"/>
              </w:rPr>
              <w:t>5</w:t>
            </w:r>
          </w:p>
        </w:tc>
        <w:tc>
          <w:tcPr>
            <w:tcW w:w="3524" w:type="dxa"/>
            <w:noWrap/>
            <w:vAlign w:val="center"/>
          </w:tcPr>
          <w:p w14:paraId="239DFEEF">
            <w:pPr>
              <w:jc w:val="center"/>
              <w:rPr>
                <w:rFonts w:hint="eastAsia"/>
              </w:rPr>
            </w:pPr>
            <w:r>
              <w:rPr>
                <w:rFonts w:hint="eastAsia"/>
              </w:rPr>
              <w:t>耐跌落性</w:t>
            </w:r>
          </w:p>
        </w:tc>
        <w:tc>
          <w:tcPr>
            <w:tcW w:w="3305" w:type="dxa"/>
            <w:noWrap/>
            <w:vAlign w:val="center"/>
          </w:tcPr>
          <w:p w14:paraId="468EDFB8">
            <w:pPr>
              <w:widowControl/>
              <w:spacing w:line="320" w:lineRule="atLeast"/>
              <w:jc w:val="center"/>
              <w:rPr>
                <w:kern w:val="0"/>
                <w:szCs w:val="21"/>
              </w:rPr>
            </w:pPr>
            <w:r>
              <w:rPr>
                <w:rFonts w:hint="eastAsia" w:ascii="宋体" w:hAnsi="宋体"/>
                <w:kern w:val="0"/>
                <w:sz w:val="18"/>
                <w:szCs w:val="18"/>
              </w:rPr>
              <w:t>MT/T 1125</w:t>
            </w:r>
            <w:bookmarkStart w:id="19" w:name="OLE_LINK16"/>
            <w:bookmarkStart w:id="20" w:name="OLE_LINK17"/>
            <w:r>
              <w:rPr>
                <w:color w:val="000000"/>
                <w:kern w:val="0"/>
                <w:szCs w:val="21"/>
              </w:rPr>
              <w:t>—</w:t>
            </w:r>
            <w:bookmarkEnd w:id="19"/>
            <w:bookmarkEnd w:id="20"/>
            <w:r>
              <w:rPr>
                <w:rFonts w:hint="eastAsia" w:ascii="宋体" w:hAnsi="宋体"/>
                <w:kern w:val="0"/>
                <w:sz w:val="18"/>
                <w:szCs w:val="18"/>
              </w:rPr>
              <w:t>2011</w:t>
            </w:r>
          </w:p>
        </w:tc>
      </w:tr>
      <w:tr w14:paraId="304A7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259658FA">
            <w:pPr>
              <w:snapToGrid w:val="0"/>
              <w:jc w:val="center"/>
              <w:rPr>
                <w:rFonts w:ascii="宋体" w:hAnsi="宋体" w:cs="宋体"/>
                <w:szCs w:val="21"/>
              </w:rPr>
            </w:pPr>
            <w:r>
              <w:rPr>
                <w:rFonts w:hint="eastAsia" w:ascii="宋体" w:hAnsi="宋体" w:cs="宋体"/>
                <w:szCs w:val="21"/>
              </w:rPr>
              <w:t>6</w:t>
            </w:r>
          </w:p>
        </w:tc>
        <w:tc>
          <w:tcPr>
            <w:tcW w:w="3524" w:type="dxa"/>
            <w:noWrap/>
            <w:vAlign w:val="center"/>
          </w:tcPr>
          <w:p w14:paraId="08D225D7">
            <w:pPr>
              <w:jc w:val="center"/>
              <w:rPr>
                <w:rFonts w:hint="eastAsia"/>
              </w:rPr>
            </w:pPr>
            <w:r>
              <w:rPr>
                <w:rFonts w:hint="eastAsia"/>
              </w:rPr>
              <w:t>阻燃性</w:t>
            </w:r>
          </w:p>
        </w:tc>
        <w:tc>
          <w:tcPr>
            <w:tcW w:w="3305" w:type="dxa"/>
            <w:noWrap/>
            <w:vAlign w:val="center"/>
          </w:tcPr>
          <w:p w14:paraId="42808A69">
            <w:pPr>
              <w:widowControl/>
              <w:spacing w:line="320" w:lineRule="atLeast"/>
              <w:jc w:val="center"/>
              <w:rPr>
                <w:kern w:val="0"/>
                <w:szCs w:val="21"/>
              </w:rPr>
            </w:pPr>
            <w:r>
              <w:rPr>
                <w:rFonts w:ascii="宋体" w:hAnsi="宋体"/>
                <w:kern w:val="0"/>
                <w:sz w:val="18"/>
                <w:szCs w:val="18"/>
              </w:rPr>
              <w:t>MT/T 113</w:t>
            </w:r>
            <w:r>
              <w:rPr>
                <w:color w:val="000000"/>
                <w:kern w:val="0"/>
                <w:szCs w:val="21"/>
              </w:rPr>
              <w:t>—</w:t>
            </w:r>
            <w:r>
              <w:rPr>
                <w:rFonts w:ascii="宋体" w:hAnsi="宋体"/>
                <w:kern w:val="0"/>
                <w:sz w:val="18"/>
                <w:szCs w:val="18"/>
              </w:rPr>
              <w:t>1995</w:t>
            </w:r>
          </w:p>
        </w:tc>
      </w:tr>
      <w:tr w14:paraId="75D5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7F7BE53D">
            <w:pPr>
              <w:snapToGrid w:val="0"/>
              <w:jc w:val="center"/>
              <w:rPr>
                <w:rFonts w:ascii="宋体" w:hAnsi="宋体" w:cs="宋体"/>
                <w:szCs w:val="21"/>
              </w:rPr>
            </w:pPr>
            <w:r>
              <w:rPr>
                <w:rFonts w:hint="eastAsia" w:ascii="宋体" w:hAnsi="宋体" w:cs="宋体"/>
                <w:szCs w:val="21"/>
              </w:rPr>
              <w:t>7</w:t>
            </w:r>
          </w:p>
        </w:tc>
        <w:tc>
          <w:tcPr>
            <w:tcW w:w="3524" w:type="dxa"/>
            <w:noWrap/>
            <w:vAlign w:val="center"/>
          </w:tcPr>
          <w:p w14:paraId="353AB561">
            <w:pPr>
              <w:jc w:val="center"/>
              <w:rPr>
                <w:rFonts w:hint="eastAsia"/>
              </w:rPr>
            </w:pPr>
            <w:r>
              <w:rPr>
                <w:rFonts w:hint="eastAsia"/>
              </w:rPr>
              <w:t>表面电阻</w:t>
            </w:r>
          </w:p>
        </w:tc>
        <w:tc>
          <w:tcPr>
            <w:tcW w:w="3305" w:type="dxa"/>
            <w:noWrap/>
            <w:vAlign w:val="center"/>
          </w:tcPr>
          <w:p w14:paraId="200299B6">
            <w:pPr>
              <w:widowControl/>
              <w:spacing w:line="320" w:lineRule="atLeast"/>
              <w:jc w:val="center"/>
              <w:rPr>
                <w:kern w:val="0"/>
                <w:szCs w:val="21"/>
              </w:rPr>
            </w:pPr>
            <w:r>
              <w:rPr>
                <w:rFonts w:ascii="宋体" w:hAnsi="宋体"/>
                <w:kern w:val="0"/>
                <w:sz w:val="18"/>
                <w:szCs w:val="18"/>
              </w:rPr>
              <w:t>MT/T 113</w:t>
            </w:r>
            <w:r>
              <w:rPr>
                <w:color w:val="000000"/>
                <w:kern w:val="0"/>
                <w:szCs w:val="21"/>
              </w:rPr>
              <w:t>—</w:t>
            </w:r>
            <w:r>
              <w:rPr>
                <w:rFonts w:ascii="宋体" w:hAnsi="宋体"/>
                <w:kern w:val="0"/>
                <w:sz w:val="18"/>
                <w:szCs w:val="18"/>
              </w:rPr>
              <w:t>1995</w:t>
            </w:r>
          </w:p>
        </w:tc>
      </w:tr>
    </w:tbl>
    <w:p w14:paraId="319F9680">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10FF7D81">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437789DF">
      <w:pPr>
        <w:spacing w:beforeLines="50" w:line="360" w:lineRule="auto"/>
        <w:rPr>
          <w:rFonts w:eastAsia="黑体"/>
          <w:szCs w:val="21"/>
        </w:rPr>
      </w:pPr>
      <w:r>
        <w:rPr>
          <w:rFonts w:eastAsia="黑体"/>
          <w:szCs w:val="21"/>
        </w:rPr>
        <w:t>3 判定规则</w:t>
      </w:r>
    </w:p>
    <w:p w14:paraId="1208F315">
      <w:pPr>
        <w:snapToGrid w:val="0"/>
        <w:spacing w:line="440" w:lineRule="exact"/>
        <w:rPr>
          <w:szCs w:val="21"/>
        </w:rPr>
      </w:pPr>
      <w:r>
        <w:rPr>
          <w:szCs w:val="21"/>
        </w:rPr>
        <w:t>3.1依据标准</w:t>
      </w:r>
    </w:p>
    <w:p w14:paraId="10D11B4E">
      <w:pPr>
        <w:snapToGrid w:val="0"/>
        <w:spacing w:line="440" w:lineRule="exact"/>
        <w:ind w:firstLine="420" w:firstLineChars="200"/>
        <w:rPr>
          <w:rFonts w:hint="eastAsia" w:ascii="宋体" w:hAnsi="宋体"/>
          <w:color w:val="333333"/>
          <w:kern w:val="0"/>
          <w:szCs w:val="21"/>
        </w:rPr>
      </w:pPr>
      <w:r>
        <w:rPr>
          <w:rFonts w:hint="eastAsia" w:ascii="宋体" w:hAnsi="宋体"/>
          <w:color w:val="333333"/>
          <w:kern w:val="0"/>
          <w:szCs w:val="21"/>
        </w:rPr>
        <w:t>GB/T 8946</w:t>
      </w:r>
      <w:r>
        <w:rPr>
          <w:color w:val="000000"/>
          <w:kern w:val="0"/>
          <w:szCs w:val="21"/>
        </w:rPr>
        <w:t>—</w:t>
      </w:r>
      <w:r>
        <w:rPr>
          <w:rFonts w:hint="eastAsia" w:ascii="宋体" w:hAnsi="宋体"/>
          <w:color w:val="333333"/>
          <w:kern w:val="0"/>
          <w:szCs w:val="21"/>
        </w:rPr>
        <w:t>2013  塑料编织袋通用技术要求</w:t>
      </w:r>
    </w:p>
    <w:p w14:paraId="0BF5564D">
      <w:pPr>
        <w:snapToGrid w:val="0"/>
        <w:spacing w:line="440" w:lineRule="exact"/>
        <w:ind w:firstLine="420" w:firstLineChars="200"/>
        <w:rPr>
          <w:rFonts w:ascii="宋体" w:hAnsi="宋体"/>
          <w:color w:val="333333"/>
          <w:kern w:val="0"/>
          <w:szCs w:val="21"/>
        </w:rPr>
      </w:pPr>
      <w:r>
        <w:rPr>
          <w:rFonts w:ascii="宋体" w:hAnsi="宋体"/>
          <w:color w:val="333333"/>
          <w:kern w:val="0"/>
          <w:szCs w:val="21"/>
        </w:rPr>
        <w:t>MT/T 1125—2011</w:t>
      </w:r>
      <w:r>
        <w:rPr>
          <w:rFonts w:hint="eastAsia" w:ascii="宋体" w:hAnsi="宋体"/>
          <w:color w:val="333333"/>
          <w:kern w:val="0"/>
          <w:szCs w:val="21"/>
        </w:rPr>
        <w:t xml:space="preserve">  煤矿井下用聚合物制品阻燃抗静电性 通用试验方法和判定规则</w:t>
      </w:r>
    </w:p>
    <w:p w14:paraId="6F1F1AA7">
      <w:pPr>
        <w:snapToGrid w:val="0"/>
        <w:spacing w:line="440" w:lineRule="exact"/>
        <w:ind w:firstLine="420" w:firstLineChars="200"/>
        <w:rPr>
          <w:szCs w:val="21"/>
        </w:rPr>
      </w:pPr>
      <w:r>
        <w:rPr>
          <w:szCs w:val="21"/>
        </w:rPr>
        <w:t>现行有效的企业标准、团体标准、地方标准及产品明示质量要求</w:t>
      </w:r>
    </w:p>
    <w:p w14:paraId="4E903B75">
      <w:pPr>
        <w:adjustRightInd w:val="0"/>
        <w:snapToGrid w:val="0"/>
        <w:spacing w:line="440" w:lineRule="exact"/>
        <w:rPr>
          <w:szCs w:val="21"/>
        </w:rPr>
      </w:pPr>
      <w:r>
        <w:rPr>
          <w:rFonts w:hint="eastAsia"/>
          <w:szCs w:val="21"/>
        </w:rPr>
        <w:t>3.2判定原则</w:t>
      </w:r>
    </w:p>
    <w:p w14:paraId="20D339D0">
      <w:pPr>
        <w:adjustRightInd w:val="0"/>
        <w:snapToGrid w:val="0"/>
        <w:spacing w:line="440" w:lineRule="exact"/>
        <w:ind w:firstLine="420" w:firstLineChars="200"/>
        <w:rPr>
          <w:szCs w:val="21"/>
        </w:rPr>
      </w:pPr>
      <w:r>
        <w:rPr>
          <w:szCs w:val="21"/>
        </w:rPr>
        <w:t>经检验，检验项目全部合格，判定为被抽查产品所检项目未发现不合格；</w:t>
      </w:r>
      <w:r>
        <w:rPr>
          <w:rFonts w:hint="eastAsia"/>
          <w:szCs w:val="21"/>
        </w:rPr>
        <w:t>检验项目中任一项或一项以上不合格，判定为被抽查产品不合格。</w:t>
      </w:r>
    </w:p>
    <w:p w14:paraId="7575B8D0">
      <w:pPr>
        <w:adjustRightInd w:val="0"/>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669C5062">
      <w:pPr>
        <w:adjustRightInd w:val="0"/>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6461EBEF">
      <w:pPr>
        <w:adjustRightInd w:val="0"/>
        <w:snapToGrid w:val="0"/>
        <w:spacing w:line="440" w:lineRule="exact"/>
        <w:ind w:firstLine="417" w:firstLineChars="199"/>
        <w:rPr>
          <w:szCs w:val="21"/>
        </w:rPr>
      </w:pPr>
      <w:r>
        <w:rPr>
          <w:rFonts w:hint="eastAsia"/>
          <w:szCs w:val="21"/>
        </w:rPr>
        <w:t>若被检产品明示的质量要求低于或包含细则中检验项目依据的推荐性标准要求时，应以被检产品明示的质量要求判定。</w:t>
      </w:r>
    </w:p>
    <w:p w14:paraId="122A70FE">
      <w:pPr>
        <w:adjustRightInd w:val="0"/>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0C9953BB">
      <w:pPr>
        <w:snapToGrid w:val="0"/>
        <w:spacing w:line="440" w:lineRule="exact"/>
        <w:ind w:firstLine="417" w:firstLineChars="199"/>
        <w:rPr>
          <w:szCs w:val="21"/>
        </w:rPr>
      </w:pPr>
      <w:r>
        <w:rPr>
          <w:rFonts w:hint="eastAsia"/>
          <w:szCs w:val="21"/>
        </w:rPr>
        <w:t>若被检产品明示的质量要求缺少本细则中检验项目依据的推荐性标准要求时，该项目不参与判定。</w:t>
      </w:r>
    </w:p>
    <w:p w14:paraId="7507FB5F">
      <w:pPr>
        <w:snapToGrid w:val="0"/>
        <w:spacing w:line="440" w:lineRule="exact"/>
        <w:rPr>
          <w:rFonts w:eastAsia="黑体"/>
          <w:szCs w:val="21"/>
        </w:rPr>
      </w:pPr>
      <w:r>
        <w:rPr>
          <w:rFonts w:hint="eastAsia" w:eastAsia="黑体"/>
          <w:szCs w:val="21"/>
        </w:rPr>
        <w:t>4附则</w:t>
      </w:r>
    </w:p>
    <w:p w14:paraId="3E6DF380">
      <w:pPr>
        <w:snapToGrid w:val="0"/>
        <w:spacing w:line="440" w:lineRule="exact"/>
        <w:ind w:firstLine="420" w:firstLineChars="200"/>
        <w:rPr>
          <w:szCs w:val="21"/>
        </w:rPr>
      </w:pPr>
      <w:r>
        <w:rPr>
          <w:rFonts w:hint="eastAsia"/>
          <w:szCs w:val="21"/>
        </w:rPr>
        <w:t>本细则由淮南市市场监督管理局管理。</w:t>
      </w:r>
    </w:p>
    <w:p w14:paraId="462F52A2">
      <w:pPr>
        <w:snapToGrid w:val="0"/>
        <w:spacing w:line="440" w:lineRule="exact"/>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58E85">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A3757F6">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B055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770C5"/>
    <w:rsid w:val="00081CBD"/>
    <w:rsid w:val="000976DE"/>
    <w:rsid w:val="000C27EF"/>
    <w:rsid w:val="000F2B3C"/>
    <w:rsid w:val="00136576"/>
    <w:rsid w:val="00172A27"/>
    <w:rsid w:val="001809DD"/>
    <w:rsid w:val="001A51E1"/>
    <w:rsid w:val="001B240F"/>
    <w:rsid w:val="00204786"/>
    <w:rsid w:val="0021621A"/>
    <w:rsid w:val="00235DC4"/>
    <w:rsid w:val="00243791"/>
    <w:rsid w:val="00247E11"/>
    <w:rsid w:val="002501F8"/>
    <w:rsid w:val="00253624"/>
    <w:rsid w:val="002627EB"/>
    <w:rsid w:val="00275517"/>
    <w:rsid w:val="002A25C4"/>
    <w:rsid w:val="002B2F08"/>
    <w:rsid w:val="002D7F8A"/>
    <w:rsid w:val="002E0D1D"/>
    <w:rsid w:val="002E3205"/>
    <w:rsid w:val="002F3D73"/>
    <w:rsid w:val="003203A3"/>
    <w:rsid w:val="003B65A7"/>
    <w:rsid w:val="003C388C"/>
    <w:rsid w:val="003D6DF1"/>
    <w:rsid w:val="003E011E"/>
    <w:rsid w:val="003E61BF"/>
    <w:rsid w:val="00431B5D"/>
    <w:rsid w:val="00445E86"/>
    <w:rsid w:val="00467E74"/>
    <w:rsid w:val="00471943"/>
    <w:rsid w:val="00474E04"/>
    <w:rsid w:val="00483AC6"/>
    <w:rsid w:val="004962E3"/>
    <w:rsid w:val="004A0936"/>
    <w:rsid w:val="004D0C5A"/>
    <w:rsid w:val="004D3316"/>
    <w:rsid w:val="004E1396"/>
    <w:rsid w:val="004E7C02"/>
    <w:rsid w:val="00563EBC"/>
    <w:rsid w:val="00585975"/>
    <w:rsid w:val="0059238A"/>
    <w:rsid w:val="005B64D3"/>
    <w:rsid w:val="005F4CC6"/>
    <w:rsid w:val="005F6A0E"/>
    <w:rsid w:val="00610328"/>
    <w:rsid w:val="00640874"/>
    <w:rsid w:val="00666E54"/>
    <w:rsid w:val="006B79A8"/>
    <w:rsid w:val="006E5AB5"/>
    <w:rsid w:val="006F0971"/>
    <w:rsid w:val="0072334C"/>
    <w:rsid w:val="00736DEA"/>
    <w:rsid w:val="00755136"/>
    <w:rsid w:val="007928F3"/>
    <w:rsid w:val="008139C8"/>
    <w:rsid w:val="008672F1"/>
    <w:rsid w:val="00871617"/>
    <w:rsid w:val="00895BEA"/>
    <w:rsid w:val="008A3497"/>
    <w:rsid w:val="008B1BD3"/>
    <w:rsid w:val="00917A54"/>
    <w:rsid w:val="009249EF"/>
    <w:rsid w:val="00926C29"/>
    <w:rsid w:val="00930572"/>
    <w:rsid w:val="009575EC"/>
    <w:rsid w:val="0097644E"/>
    <w:rsid w:val="009865FB"/>
    <w:rsid w:val="009D5E02"/>
    <w:rsid w:val="009E01DE"/>
    <w:rsid w:val="009E4DB8"/>
    <w:rsid w:val="009F7375"/>
    <w:rsid w:val="00A03FA9"/>
    <w:rsid w:val="00A07E66"/>
    <w:rsid w:val="00A43553"/>
    <w:rsid w:val="00A62E74"/>
    <w:rsid w:val="00A72B9C"/>
    <w:rsid w:val="00A760C9"/>
    <w:rsid w:val="00A803C0"/>
    <w:rsid w:val="00A902CC"/>
    <w:rsid w:val="00A969D6"/>
    <w:rsid w:val="00AD5A48"/>
    <w:rsid w:val="00AF24AF"/>
    <w:rsid w:val="00AF78DD"/>
    <w:rsid w:val="00B36656"/>
    <w:rsid w:val="00B63955"/>
    <w:rsid w:val="00BF5D64"/>
    <w:rsid w:val="00C26074"/>
    <w:rsid w:val="00C40662"/>
    <w:rsid w:val="00C44CD6"/>
    <w:rsid w:val="00C60C39"/>
    <w:rsid w:val="00C83B0A"/>
    <w:rsid w:val="00C924E8"/>
    <w:rsid w:val="00CB2A9E"/>
    <w:rsid w:val="00CB331F"/>
    <w:rsid w:val="00CC137A"/>
    <w:rsid w:val="00CC25C2"/>
    <w:rsid w:val="00CE1E0C"/>
    <w:rsid w:val="00CE277E"/>
    <w:rsid w:val="00D150D3"/>
    <w:rsid w:val="00D206CD"/>
    <w:rsid w:val="00D216CF"/>
    <w:rsid w:val="00D47C41"/>
    <w:rsid w:val="00D47D5F"/>
    <w:rsid w:val="00D50D7D"/>
    <w:rsid w:val="00D56867"/>
    <w:rsid w:val="00D86F49"/>
    <w:rsid w:val="00DE2075"/>
    <w:rsid w:val="00E02A7F"/>
    <w:rsid w:val="00E07880"/>
    <w:rsid w:val="00E21E57"/>
    <w:rsid w:val="00E22560"/>
    <w:rsid w:val="00E42DBD"/>
    <w:rsid w:val="00E53438"/>
    <w:rsid w:val="00E82621"/>
    <w:rsid w:val="00E83863"/>
    <w:rsid w:val="00E941CF"/>
    <w:rsid w:val="00ED4450"/>
    <w:rsid w:val="00ED5019"/>
    <w:rsid w:val="00ED5419"/>
    <w:rsid w:val="00F332B6"/>
    <w:rsid w:val="00F63DE2"/>
    <w:rsid w:val="00F77C9A"/>
    <w:rsid w:val="00F86832"/>
    <w:rsid w:val="00FB576C"/>
    <w:rsid w:val="00FD1E95"/>
    <w:rsid w:val="00FD2AA6"/>
    <w:rsid w:val="00FE7E8A"/>
    <w:rsid w:val="00FF5DCC"/>
    <w:rsid w:val="04DB46E3"/>
    <w:rsid w:val="080066FE"/>
    <w:rsid w:val="09234C9E"/>
    <w:rsid w:val="0B976158"/>
    <w:rsid w:val="0BF3562B"/>
    <w:rsid w:val="11473DDB"/>
    <w:rsid w:val="19171CA6"/>
    <w:rsid w:val="1A784B4A"/>
    <w:rsid w:val="1B9113EA"/>
    <w:rsid w:val="1C240C09"/>
    <w:rsid w:val="22096B18"/>
    <w:rsid w:val="2B166DCB"/>
    <w:rsid w:val="32744BE7"/>
    <w:rsid w:val="3D176663"/>
    <w:rsid w:val="3F9ED02C"/>
    <w:rsid w:val="556A1533"/>
    <w:rsid w:val="57476615"/>
    <w:rsid w:val="575527A0"/>
    <w:rsid w:val="5D551C37"/>
    <w:rsid w:val="636B2161"/>
    <w:rsid w:val="74DF0804"/>
    <w:rsid w:val="7BEF7469"/>
    <w:rsid w:val="7EDB396C"/>
    <w:rsid w:val="BFB7A0DA"/>
    <w:rsid w:val="CF9EC20D"/>
    <w:rsid w:val="E1E78D0A"/>
    <w:rsid w:val="F177F1CF"/>
    <w:rsid w:val="F7EF903B"/>
    <w:rsid w:val="FFDFD8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807</Words>
  <Characters>995</Characters>
  <Lines>7</Lines>
  <Paragraphs>2</Paragraphs>
  <TotalTime>744</TotalTime>
  <ScaleCrop>false</ScaleCrop>
  <LinksUpToDate>false</LinksUpToDate>
  <CharactersWithSpaces>1022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2020-01-02T00:57:00Z</dcterms:created>
  <dc:creator>Legend User</dc:creator>
  <cp:lastModifiedBy>国家煤化工质检中心</cp:lastModifiedBy>
  <cp:lastPrinted>2022-02-25T16:43:00Z</cp:lastPrinted>
  <dcterms:modified xsi:type="dcterms:W3CDTF">2026-04-13T00:54:01Z</dcterms:modified>
  <dc:title>××产品质量监督抽查实施细则</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eyJoZGlkIjoiYzUyNjhhNzAxNGQzZTVjZGI4OWNkMzdmNjE1MWFmMTEiLCJ1c2VySWQiOiI1NzEzMjEzNzgifQ==</vt:lpwstr>
  </property>
</Properties>
</file>