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D7E287">
      <w:pPr>
        <w:snapToGrid w:val="0"/>
        <w:spacing w:line="440" w:lineRule="exact"/>
        <w:ind w:firstLine="547" w:firstLineChars="171"/>
        <w:jc w:val="center"/>
        <w:rPr>
          <w:rFonts w:eastAsia="方正小标宋简体" w:cs="方正仿宋简体"/>
          <w:color w:val="000000"/>
          <w:sz w:val="32"/>
          <w:szCs w:val="32"/>
        </w:rPr>
      </w:pPr>
      <w:r>
        <w:rPr>
          <w:rFonts w:hint="eastAsia" w:eastAsia="方正小标宋简体" w:cs="方正仿宋简体"/>
          <w:color w:val="000000"/>
          <w:sz w:val="32"/>
          <w:szCs w:val="32"/>
        </w:rPr>
        <w:t>淮南市砖、砌块产品质量</w:t>
      </w:r>
      <w:bookmarkStart w:id="5" w:name="_GoBack"/>
      <w:bookmarkEnd w:id="5"/>
      <w:r>
        <w:rPr>
          <w:rFonts w:hint="eastAsia" w:eastAsia="方正小标宋简体" w:cs="方正仿宋简体"/>
          <w:color w:val="000000"/>
          <w:sz w:val="32"/>
          <w:szCs w:val="32"/>
        </w:rPr>
        <w:t>监督抽查实施细则</w:t>
      </w:r>
    </w:p>
    <w:p w14:paraId="1F2BCF5D">
      <w:pPr>
        <w:snapToGrid w:val="0"/>
        <w:spacing w:line="440" w:lineRule="exact"/>
        <w:ind w:firstLine="547" w:firstLineChars="171"/>
        <w:jc w:val="center"/>
        <w:rPr>
          <w:rFonts w:eastAsia="方正小标宋简体" w:cs="方正仿宋简体"/>
          <w:color w:val="000000"/>
          <w:sz w:val="32"/>
          <w:szCs w:val="32"/>
        </w:rPr>
      </w:pPr>
      <w:r>
        <w:rPr>
          <w:rFonts w:hint="eastAsia" w:eastAsia="方正小标宋简体" w:cs="方正仿宋简体"/>
          <w:color w:val="000000"/>
          <w:sz w:val="32"/>
          <w:szCs w:val="32"/>
        </w:rPr>
        <w:t>（2026版）</w:t>
      </w:r>
    </w:p>
    <w:p w14:paraId="466B90E5">
      <w:pPr>
        <w:snapToGrid w:val="0"/>
        <w:spacing w:line="560" w:lineRule="exact"/>
        <w:rPr>
          <w:rFonts w:eastAsia="黑体"/>
          <w:color w:val="000000"/>
          <w:szCs w:val="21"/>
        </w:rPr>
      </w:pPr>
      <w:r>
        <w:rPr>
          <w:rFonts w:eastAsia="黑体"/>
          <w:color w:val="000000"/>
          <w:szCs w:val="21"/>
        </w:rPr>
        <w:t>1 抽样方法</w:t>
      </w:r>
    </w:p>
    <w:p w14:paraId="0704E5B5">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37818C17">
      <w:pPr>
        <w:snapToGrid w:val="0"/>
        <w:spacing w:line="440" w:lineRule="exact"/>
        <w:ind w:firstLine="420" w:firstLineChars="200"/>
        <w:rPr>
          <w:color w:val="000000"/>
          <w:szCs w:val="21"/>
        </w:rPr>
      </w:pPr>
      <w:r>
        <w:rPr>
          <w:color w:val="000000"/>
          <w:szCs w:val="21"/>
        </w:rPr>
        <w:t>随机数一般可使用随机数表等方法产生。</w:t>
      </w:r>
    </w:p>
    <w:p w14:paraId="35F424E3">
      <w:pPr>
        <w:adjustRightInd w:val="0"/>
        <w:snapToGrid w:val="0"/>
        <w:spacing w:line="440" w:lineRule="exact"/>
        <w:ind w:firstLine="420" w:firstLineChars="200"/>
        <w:rPr>
          <w:color w:val="000000"/>
          <w:szCs w:val="21"/>
        </w:rPr>
      </w:pPr>
      <w:r>
        <w:rPr>
          <w:rFonts w:hint="eastAsia"/>
          <w:color w:val="000000"/>
          <w:szCs w:val="21"/>
        </w:rPr>
        <w:t>每批次抽样数量见表1。</w:t>
      </w:r>
    </w:p>
    <w:p w14:paraId="6968CB1A">
      <w:pPr>
        <w:adjustRightInd w:val="0"/>
        <w:snapToGrid w:val="0"/>
        <w:spacing w:line="360" w:lineRule="auto"/>
        <w:ind w:firstLine="420"/>
        <w:jc w:val="center"/>
        <w:rPr>
          <w:color w:val="000000"/>
          <w:szCs w:val="21"/>
        </w:rPr>
      </w:pPr>
      <w:r>
        <w:rPr>
          <w:color w:val="000000"/>
          <w:szCs w:val="21"/>
        </w:rPr>
        <w:t>表1 抽样数量表</w:t>
      </w:r>
    </w:p>
    <w:tbl>
      <w:tblPr>
        <w:tblStyle w:val="8"/>
        <w:tblW w:w="483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550"/>
        <w:gridCol w:w="1653"/>
        <w:gridCol w:w="1842"/>
        <w:gridCol w:w="1834"/>
      </w:tblGrid>
      <w:tr w14:paraId="118B9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999" w:type="pct"/>
            <w:vMerge w:val="restart"/>
            <w:shd w:val="clear" w:color="auto" w:fill="FFFFFF"/>
            <w:noWrap/>
            <w:vAlign w:val="center"/>
          </w:tcPr>
          <w:p w14:paraId="308D06C4">
            <w:pPr>
              <w:spacing w:line="302" w:lineRule="auto"/>
              <w:jc w:val="center"/>
              <w:rPr>
                <w:color w:val="000000"/>
                <w:szCs w:val="21"/>
              </w:rPr>
            </w:pPr>
            <w:r>
              <w:rPr>
                <w:color w:val="000000"/>
                <w:szCs w:val="21"/>
              </w:rPr>
              <w:t>产品种类</w:t>
            </w:r>
          </w:p>
        </w:tc>
        <w:tc>
          <w:tcPr>
            <w:tcW w:w="3001" w:type="pct"/>
            <w:gridSpan w:val="3"/>
            <w:shd w:val="clear" w:color="auto" w:fill="FFFFFF"/>
            <w:noWrap/>
          </w:tcPr>
          <w:p w14:paraId="26AB9869">
            <w:pPr>
              <w:spacing w:line="302" w:lineRule="auto"/>
              <w:jc w:val="center"/>
              <w:rPr>
                <w:color w:val="000000"/>
                <w:szCs w:val="21"/>
              </w:rPr>
            </w:pPr>
            <w:r>
              <w:rPr>
                <w:color w:val="000000"/>
                <w:szCs w:val="21"/>
              </w:rPr>
              <w:t>抽样数量（块）</w:t>
            </w:r>
          </w:p>
        </w:tc>
      </w:tr>
      <w:tr w14:paraId="4591AF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 w:hRule="atLeast"/>
          <w:jc w:val="center"/>
        </w:trPr>
        <w:tc>
          <w:tcPr>
            <w:tcW w:w="1999" w:type="pct"/>
            <w:vMerge w:val="continue"/>
            <w:shd w:val="clear" w:color="auto" w:fill="FFFFFF"/>
            <w:noWrap/>
            <w:vAlign w:val="center"/>
          </w:tcPr>
          <w:p w14:paraId="4A573485">
            <w:pPr>
              <w:spacing w:line="302" w:lineRule="auto"/>
              <w:jc w:val="center"/>
              <w:rPr>
                <w:color w:val="000000"/>
                <w:szCs w:val="21"/>
              </w:rPr>
            </w:pPr>
          </w:p>
        </w:tc>
        <w:tc>
          <w:tcPr>
            <w:tcW w:w="931" w:type="pct"/>
            <w:shd w:val="clear" w:color="auto" w:fill="FFFFFF"/>
            <w:noWrap/>
          </w:tcPr>
          <w:p w14:paraId="1B15D7DF">
            <w:pPr>
              <w:spacing w:line="302" w:lineRule="auto"/>
              <w:jc w:val="center"/>
              <w:rPr>
                <w:color w:val="000000"/>
                <w:szCs w:val="21"/>
              </w:rPr>
            </w:pPr>
            <w:r>
              <w:rPr>
                <w:rFonts w:hint="eastAsia"/>
                <w:szCs w:val="21"/>
              </w:rPr>
              <w:t>抽样总数量</w:t>
            </w:r>
          </w:p>
        </w:tc>
        <w:tc>
          <w:tcPr>
            <w:tcW w:w="1037" w:type="pct"/>
            <w:shd w:val="clear" w:color="auto" w:fill="FFFFFF"/>
            <w:noWrap/>
            <w:vAlign w:val="center"/>
          </w:tcPr>
          <w:p w14:paraId="467CEF30">
            <w:pPr>
              <w:spacing w:line="302" w:lineRule="auto"/>
              <w:jc w:val="center"/>
              <w:rPr>
                <w:color w:val="000000"/>
                <w:szCs w:val="21"/>
              </w:rPr>
            </w:pPr>
            <w:r>
              <w:rPr>
                <w:color w:val="000000"/>
                <w:szCs w:val="21"/>
              </w:rPr>
              <w:t>检验样品</w:t>
            </w:r>
          </w:p>
        </w:tc>
        <w:tc>
          <w:tcPr>
            <w:tcW w:w="1033" w:type="pct"/>
            <w:shd w:val="clear" w:color="auto" w:fill="FFFFFF"/>
            <w:noWrap/>
            <w:vAlign w:val="center"/>
          </w:tcPr>
          <w:p w14:paraId="73A56938">
            <w:pPr>
              <w:spacing w:line="302" w:lineRule="auto"/>
              <w:jc w:val="center"/>
              <w:rPr>
                <w:color w:val="000000"/>
                <w:szCs w:val="21"/>
              </w:rPr>
            </w:pPr>
            <w:r>
              <w:rPr>
                <w:color w:val="000000"/>
                <w:szCs w:val="21"/>
              </w:rPr>
              <w:t>备用样品</w:t>
            </w:r>
          </w:p>
        </w:tc>
      </w:tr>
      <w:tr w14:paraId="124877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999" w:type="pct"/>
            <w:shd w:val="clear" w:color="auto" w:fill="FFFFFF"/>
            <w:noWrap/>
            <w:vAlign w:val="center"/>
          </w:tcPr>
          <w:p w14:paraId="3CB32D4F">
            <w:pPr>
              <w:spacing w:line="302" w:lineRule="auto"/>
              <w:jc w:val="center"/>
              <w:rPr>
                <w:color w:val="000000"/>
                <w:szCs w:val="21"/>
              </w:rPr>
            </w:pPr>
            <w:r>
              <w:rPr>
                <w:rFonts w:hint="eastAsia"/>
                <w:color w:val="000000"/>
                <w:szCs w:val="21"/>
              </w:rPr>
              <w:t>烧结普通砖</w:t>
            </w:r>
          </w:p>
        </w:tc>
        <w:tc>
          <w:tcPr>
            <w:tcW w:w="931" w:type="pct"/>
            <w:shd w:val="clear" w:color="auto" w:fill="FFFFFF"/>
            <w:noWrap/>
          </w:tcPr>
          <w:p w14:paraId="6558396F">
            <w:pPr>
              <w:spacing w:line="302" w:lineRule="auto"/>
              <w:jc w:val="center"/>
              <w:rPr>
                <w:color w:val="000000"/>
                <w:szCs w:val="21"/>
              </w:rPr>
            </w:pPr>
            <w:r>
              <w:rPr>
                <w:rFonts w:hint="eastAsia"/>
                <w:color w:val="000000"/>
                <w:szCs w:val="21"/>
              </w:rPr>
              <w:t>100</w:t>
            </w:r>
          </w:p>
        </w:tc>
        <w:tc>
          <w:tcPr>
            <w:tcW w:w="1037" w:type="pct"/>
            <w:shd w:val="clear" w:color="auto" w:fill="FFFFFF"/>
            <w:noWrap/>
            <w:vAlign w:val="center"/>
          </w:tcPr>
          <w:p w14:paraId="7C7A6A83">
            <w:pPr>
              <w:spacing w:line="302" w:lineRule="auto"/>
              <w:jc w:val="center"/>
              <w:rPr>
                <w:color w:val="000000"/>
                <w:szCs w:val="21"/>
              </w:rPr>
            </w:pPr>
            <w:r>
              <w:rPr>
                <w:rFonts w:hint="eastAsia"/>
                <w:color w:val="000000"/>
                <w:szCs w:val="21"/>
              </w:rPr>
              <w:t>50</w:t>
            </w:r>
          </w:p>
        </w:tc>
        <w:tc>
          <w:tcPr>
            <w:tcW w:w="1033" w:type="pct"/>
            <w:shd w:val="clear" w:color="auto" w:fill="FFFFFF"/>
            <w:noWrap/>
            <w:vAlign w:val="center"/>
          </w:tcPr>
          <w:p w14:paraId="2DA56F72">
            <w:pPr>
              <w:spacing w:line="302" w:lineRule="auto"/>
              <w:jc w:val="center"/>
              <w:rPr>
                <w:color w:val="000000"/>
                <w:szCs w:val="21"/>
              </w:rPr>
            </w:pPr>
            <w:r>
              <w:rPr>
                <w:rFonts w:hint="eastAsia"/>
                <w:color w:val="000000"/>
                <w:szCs w:val="21"/>
              </w:rPr>
              <w:t>50</w:t>
            </w:r>
          </w:p>
        </w:tc>
      </w:tr>
      <w:tr w14:paraId="7854B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1999" w:type="pct"/>
            <w:shd w:val="clear" w:color="auto" w:fill="FFFFFF"/>
            <w:noWrap/>
            <w:vAlign w:val="center"/>
          </w:tcPr>
          <w:p w14:paraId="329E57BE">
            <w:pPr>
              <w:spacing w:line="302" w:lineRule="auto"/>
              <w:jc w:val="center"/>
              <w:rPr>
                <w:color w:val="000000"/>
                <w:szCs w:val="21"/>
              </w:rPr>
            </w:pPr>
            <w:r>
              <w:rPr>
                <w:rFonts w:hint="eastAsia"/>
                <w:color w:val="000000"/>
                <w:szCs w:val="21"/>
              </w:rPr>
              <w:t>混凝土路面砖</w:t>
            </w:r>
          </w:p>
        </w:tc>
        <w:tc>
          <w:tcPr>
            <w:tcW w:w="931" w:type="pct"/>
            <w:shd w:val="clear" w:color="auto" w:fill="FFFFFF"/>
            <w:noWrap/>
            <w:vAlign w:val="center"/>
          </w:tcPr>
          <w:p w14:paraId="5B970AD3">
            <w:pPr>
              <w:jc w:val="center"/>
            </w:pPr>
            <w:r>
              <w:rPr>
                <w:rFonts w:hint="eastAsia"/>
                <w:color w:val="000000"/>
                <w:szCs w:val="21"/>
              </w:rPr>
              <w:t>100</w:t>
            </w:r>
          </w:p>
        </w:tc>
        <w:tc>
          <w:tcPr>
            <w:tcW w:w="1037" w:type="pct"/>
            <w:shd w:val="clear" w:color="auto" w:fill="FFFFFF"/>
            <w:noWrap/>
            <w:vAlign w:val="center"/>
          </w:tcPr>
          <w:p w14:paraId="64EF6191">
            <w:pPr>
              <w:spacing w:line="302" w:lineRule="auto"/>
              <w:jc w:val="center"/>
              <w:rPr>
                <w:color w:val="000000"/>
                <w:szCs w:val="21"/>
              </w:rPr>
            </w:pPr>
            <w:r>
              <w:rPr>
                <w:rFonts w:hint="eastAsia"/>
                <w:color w:val="000000"/>
                <w:szCs w:val="21"/>
              </w:rPr>
              <w:t>50</w:t>
            </w:r>
          </w:p>
        </w:tc>
        <w:tc>
          <w:tcPr>
            <w:tcW w:w="1033" w:type="pct"/>
            <w:shd w:val="clear" w:color="auto" w:fill="FFFFFF"/>
            <w:noWrap/>
            <w:vAlign w:val="center"/>
          </w:tcPr>
          <w:p w14:paraId="2F3083CE">
            <w:pPr>
              <w:spacing w:line="302" w:lineRule="auto"/>
              <w:jc w:val="center"/>
              <w:rPr>
                <w:color w:val="000000"/>
                <w:szCs w:val="21"/>
              </w:rPr>
            </w:pPr>
            <w:r>
              <w:rPr>
                <w:rFonts w:hint="eastAsia"/>
                <w:color w:val="000000"/>
                <w:szCs w:val="21"/>
              </w:rPr>
              <w:t>50</w:t>
            </w:r>
          </w:p>
        </w:tc>
      </w:tr>
    </w:tbl>
    <w:p w14:paraId="589C6475">
      <w:pPr>
        <w:snapToGrid w:val="0"/>
        <w:spacing w:line="440" w:lineRule="exact"/>
        <w:rPr>
          <w:szCs w:val="21"/>
        </w:rPr>
      </w:pPr>
      <w:r>
        <w:rPr>
          <w:rFonts w:eastAsia="黑体"/>
          <w:color w:val="000000"/>
          <w:szCs w:val="21"/>
        </w:rPr>
        <w:t>2 检验依据</w:t>
      </w:r>
    </w:p>
    <w:p w14:paraId="7D2C9D72">
      <w:pPr>
        <w:adjustRightInd w:val="0"/>
        <w:snapToGrid w:val="0"/>
        <w:spacing w:line="360" w:lineRule="auto"/>
        <w:jc w:val="center"/>
        <w:rPr>
          <w:b/>
          <w:szCs w:val="21"/>
        </w:rPr>
      </w:pPr>
      <w:r>
        <w:rPr>
          <w:szCs w:val="21"/>
        </w:rPr>
        <w:t>表</w:t>
      </w:r>
      <w:r>
        <w:rPr>
          <w:rFonts w:hint="eastAsia"/>
          <w:szCs w:val="21"/>
        </w:rPr>
        <w:t>2</w:t>
      </w:r>
      <w:r>
        <w:rPr>
          <w:rFonts w:hint="eastAsia"/>
          <w:color w:val="000000"/>
          <w:szCs w:val="21"/>
        </w:rPr>
        <w:t>烧结普通砖</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3715"/>
        <w:gridCol w:w="4233"/>
      </w:tblGrid>
      <w:tr w14:paraId="21205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668" w:type="pct"/>
            <w:vAlign w:val="center"/>
          </w:tcPr>
          <w:p w14:paraId="3B04E2FA">
            <w:pPr>
              <w:adjustRightInd w:val="0"/>
              <w:snapToGrid w:val="0"/>
              <w:jc w:val="center"/>
              <w:rPr>
                <w:szCs w:val="21"/>
              </w:rPr>
            </w:pPr>
            <w:r>
              <w:rPr>
                <w:szCs w:val="21"/>
              </w:rPr>
              <w:t>序号</w:t>
            </w:r>
          </w:p>
        </w:tc>
        <w:tc>
          <w:tcPr>
            <w:tcW w:w="2025" w:type="pct"/>
            <w:vAlign w:val="center"/>
          </w:tcPr>
          <w:p w14:paraId="1709C15E">
            <w:pPr>
              <w:adjustRightInd w:val="0"/>
              <w:snapToGrid w:val="0"/>
              <w:jc w:val="center"/>
              <w:rPr>
                <w:szCs w:val="21"/>
              </w:rPr>
            </w:pPr>
            <w:r>
              <w:rPr>
                <w:szCs w:val="21"/>
              </w:rPr>
              <w:t>检验项目</w:t>
            </w:r>
          </w:p>
        </w:tc>
        <w:tc>
          <w:tcPr>
            <w:tcW w:w="2307" w:type="pct"/>
            <w:vAlign w:val="center"/>
          </w:tcPr>
          <w:p w14:paraId="06A77D19">
            <w:pPr>
              <w:adjustRightInd w:val="0"/>
              <w:snapToGrid w:val="0"/>
              <w:jc w:val="center"/>
              <w:rPr>
                <w:szCs w:val="21"/>
              </w:rPr>
            </w:pPr>
            <w:r>
              <w:rPr>
                <w:color w:val="000000"/>
                <w:szCs w:val="21"/>
              </w:rPr>
              <w:t>检验方法</w:t>
            </w:r>
          </w:p>
        </w:tc>
      </w:tr>
      <w:tr w14:paraId="241D9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68" w:type="pct"/>
            <w:vAlign w:val="center"/>
          </w:tcPr>
          <w:p w14:paraId="39CD6395">
            <w:pPr>
              <w:adjustRightInd w:val="0"/>
              <w:snapToGrid w:val="0"/>
              <w:jc w:val="center"/>
              <w:rPr>
                <w:szCs w:val="21"/>
              </w:rPr>
            </w:pPr>
            <w:bookmarkStart w:id="0" w:name="_Hlk226537848"/>
            <w:r>
              <w:rPr>
                <w:szCs w:val="21"/>
              </w:rPr>
              <w:t>1</w:t>
            </w:r>
          </w:p>
        </w:tc>
        <w:tc>
          <w:tcPr>
            <w:tcW w:w="2025" w:type="pct"/>
            <w:vAlign w:val="center"/>
          </w:tcPr>
          <w:p w14:paraId="1609CAF3">
            <w:pPr>
              <w:adjustRightInd w:val="0"/>
              <w:snapToGrid w:val="0"/>
              <w:jc w:val="center"/>
              <w:rPr>
                <w:szCs w:val="21"/>
              </w:rPr>
            </w:pPr>
            <w:r>
              <w:rPr>
                <w:rFonts w:hint="eastAsia"/>
                <w:szCs w:val="21"/>
              </w:rPr>
              <w:t>尺寸偏差</w:t>
            </w:r>
          </w:p>
        </w:tc>
        <w:tc>
          <w:tcPr>
            <w:tcW w:w="2307" w:type="pct"/>
            <w:vAlign w:val="center"/>
          </w:tcPr>
          <w:p w14:paraId="61A17F39">
            <w:pPr>
              <w:adjustRightInd w:val="0"/>
              <w:snapToGrid w:val="0"/>
              <w:jc w:val="center"/>
              <w:rPr>
                <w:szCs w:val="21"/>
              </w:rPr>
            </w:pPr>
            <w:r>
              <w:rPr>
                <w:szCs w:val="21"/>
              </w:rPr>
              <w:t>GB/T 5101</w:t>
            </w:r>
            <w:r>
              <w:rPr>
                <w:color w:val="000000"/>
                <w:szCs w:val="21"/>
              </w:rPr>
              <w:t>—</w:t>
            </w:r>
            <w:r>
              <w:rPr>
                <w:szCs w:val="21"/>
              </w:rPr>
              <w:t>2017</w:t>
            </w:r>
          </w:p>
          <w:p w14:paraId="3876250E">
            <w:pPr>
              <w:adjustRightInd w:val="0"/>
              <w:snapToGrid w:val="0"/>
              <w:jc w:val="center"/>
              <w:rPr>
                <w:kern w:val="0"/>
                <w:szCs w:val="21"/>
              </w:rPr>
            </w:pPr>
            <w:r>
              <w:rPr>
                <w:szCs w:val="21"/>
              </w:rPr>
              <w:t>GB/T 2542</w:t>
            </w:r>
            <w:r>
              <w:rPr>
                <w:color w:val="000000"/>
                <w:szCs w:val="21"/>
              </w:rPr>
              <w:t>—</w:t>
            </w:r>
            <w:r>
              <w:rPr>
                <w:szCs w:val="21"/>
              </w:rPr>
              <w:t>2012</w:t>
            </w:r>
          </w:p>
        </w:tc>
      </w:tr>
      <w:tr w14:paraId="6134F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68" w:type="pct"/>
            <w:vAlign w:val="center"/>
          </w:tcPr>
          <w:p w14:paraId="2814099C">
            <w:pPr>
              <w:adjustRightInd w:val="0"/>
              <w:snapToGrid w:val="0"/>
              <w:jc w:val="center"/>
              <w:rPr>
                <w:szCs w:val="21"/>
              </w:rPr>
            </w:pPr>
            <w:r>
              <w:rPr>
                <w:rFonts w:hint="eastAsia"/>
                <w:szCs w:val="21"/>
              </w:rPr>
              <w:t>2</w:t>
            </w:r>
          </w:p>
        </w:tc>
        <w:tc>
          <w:tcPr>
            <w:tcW w:w="2025" w:type="pct"/>
            <w:vAlign w:val="center"/>
          </w:tcPr>
          <w:p w14:paraId="368E0E35">
            <w:pPr>
              <w:adjustRightInd w:val="0"/>
              <w:snapToGrid w:val="0"/>
              <w:jc w:val="center"/>
              <w:rPr>
                <w:szCs w:val="21"/>
              </w:rPr>
            </w:pPr>
            <w:r>
              <w:rPr>
                <w:rFonts w:hint="eastAsia"/>
                <w:szCs w:val="21"/>
              </w:rPr>
              <w:t>外观质量</w:t>
            </w:r>
          </w:p>
        </w:tc>
        <w:tc>
          <w:tcPr>
            <w:tcW w:w="2307" w:type="pct"/>
            <w:vAlign w:val="center"/>
          </w:tcPr>
          <w:p w14:paraId="46CF2F17">
            <w:pPr>
              <w:adjustRightInd w:val="0"/>
              <w:snapToGrid w:val="0"/>
              <w:jc w:val="center"/>
              <w:rPr>
                <w:szCs w:val="21"/>
              </w:rPr>
            </w:pPr>
            <w:r>
              <w:rPr>
                <w:szCs w:val="21"/>
              </w:rPr>
              <w:t>GB/T 2542</w:t>
            </w:r>
            <w:r>
              <w:rPr>
                <w:color w:val="000000"/>
                <w:szCs w:val="21"/>
              </w:rPr>
              <w:t>—</w:t>
            </w:r>
            <w:r>
              <w:rPr>
                <w:szCs w:val="21"/>
              </w:rPr>
              <w:t>2012</w:t>
            </w:r>
          </w:p>
        </w:tc>
      </w:tr>
      <w:bookmarkEnd w:id="0"/>
      <w:tr w14:paraId="74D85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68" w:type="pct"/>
            <w:vAlign w:val="center"/>
          </w:tcPr>
          <w:p w14:paraId="6C773209">
            <w:pPr>
              <w:adjustRightInd w:val="0"/>
              <w:snapToGrid w:val="0"/>
              <w:jc w:val="center"/>
              <w:rPr>
                <w:szCs w:val="21"/>
              </w:rPr>
            </w:pPr>
            <w:r>
              <w:rPr>
                <w:rFonts w:hint="eastAsia"/>
                <w:szCs w:val="21"/>
              </w:rPr>
              <w:t>3</w:t>
            </w:r>
          </w:p>
        </w:tc>
        <w:tc>
          <w:tcPr>
            <w:tcW w:w="2025" w:type="pct"/>
            <w:vAlign w:val="center"/>
          </w:tcPr>
          <w:p w14:paraId="62847097">
            <w:pPr>
              <w:adjustRightInd w:val="0"/>
              <w:snapToGrid w:val="0"/>
              <w:jc w:val="center"/>
              <w:rPr>
                <w:szCs w:val="21"/>
              </w:rPr>
            </w:pPr>
            <w:r>
              <w:rPr>
                <w:szCs w:val="21"/>
              </w:rPr>
              <w:t>强度等级</w:t>
            </w:r>
          </w:p>
        </w:tc>
        <w:tc>
          <w:tcPr>
            <w:tcW w:w="2307" w:type="pct"/>
            <w:vAlign w:val="center"/>
          </w:tcPr>
          <w:p w14:paraId="337CAEA7">
            <w:pPr>
              <w:adjustRightInd w:val="0"/>
              <w:snapToGrid w:val="0"/>
              <w:jc w:val="center"/>
              <w:rPr>
                <w:kern w:val="0"/>
                <w:szCs w:val="21"/>
              </w:rPr>
            </w:pPr>
            <w:r>
              <w:rPr>
                <w:szCs w:val="21"/>
              </w:rPr>
              <w:t>GB/T 2542</w:t>
            </w:r>
            <w:r>
              <w:rPr>
                <w:color w:val="000000"/>
                <w:szCs w:val="21"/>
              </w:rPr>
              <w:t>—</w:t>
            </w:r>
            <w:r>
              <w:rPr>
                <w:szCs w:val="21"/>
              </w:rPr>
              <w:t>2012</w:t>
            </w:r>
          </w:p>
        </w:tc>
      </w:tr>
      <w:tr w14:paraId="5178FD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68" w:type="pct"/>
            <w:vAlign w:val="center"/>
          </w:tcPr>
          <w:p w14:paraId="3FDE331C">
            <w:pPr>
              <w:adjustRightInd w:val="0"/>
              <w:snapToGrid w:val="0"/>
              <w:jc w:val="center"/>
              <w:rPr>
                <w:szCs w:val="21"/>
              </w:rPr>
            </w:pPr>
            <w:r>
              <w:rPr>
                <w:rFonts w:hint="eastAsia"/>
                <w:szCs w:val="21"/>
              </w:rPr>
              <w:t>4</w:t>
            </w:r>
          </w:p>
        </w:tc>
        <w:tc>
          <w:tcPr>
            <w:tcW w:w="2025" w:type="pct"/>
            <w:vAlign w:val="center"/>
          </w:tcPr>
          <w:p w14:paraId="18CA9009">
            <w:pPr>
              <w:adjustRightInd w:val="0"/>
              <w:snapToGrid w:val="0"/>
              <w:jc w:val="center"/>
              <w:rPr>
                <w:szCs w:val="21"/>
              </w:rPr>
            </w:pPr>
            <w:r>
              <w:rPr>
                <w:rFonts w:hint="eastAsia"/>
                <w:szCs w:val="21"/>
              </w:rPr>
              <w:t>欠火砖、酥砖和螺纹砖</w:t>
            </w:r>
          </w:p>
        </w:tc>
        <w:tc>
          <w:tcPr>
            <w:tcW w:w="2307" w:type="pct"/>
            <w:vAlign w:val="center"/>
          </w:tcPr>
          <w:p w14:paraId="0EEC6B27">
            <w:pPr>
              <w:adjustRightInd w:val="0"/>
              <w:snapToGrid w:val="0"/>
              <w:jc w:val="center"/>
              <w:rPr>
                <w:szCs w:val="21"/>
              </w:rPr>
            </w:pPr>
            <w:r>
              <w:rPr>
                <w:szCs w:val="21"/>
              </w:rPr>
              <w:t>GB/T 5101</w:t>
            </w:r>
            <w:r>
              <w:rPr>
                <w:color w:val="000000"/>
                <w:szCs w:val="21"/>
              </w:rPr>
              <w:t>—</w:t>
            </w:r>
            <w:r>
              <w:rPr>
                <w:szCs w:val="21"/>
              </w:rPr>
              <w:t>2017</w:t>
            </w:r>
          </w:p>
        </w:tc>
      </w:tr>
      <w:tr w14:paraId="24F951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68" w:type="pct"/>
            <w:vAlign w:val="center"/>
          </w:tcPr>
          <w:p w14:paraId="6D673059">
            <w:pPr>
              <w:adjustRightInd w:val="0"/>
              <w:snapToGrid w:val="0"/>
              <w:jc w:val="center"/>
              <w:rPr>
                <w:szCs w:val="21"/>
              </w:rPr>
            </w:pPr>
            <w:r>
              <w:rPr>
                <w:rFonts w:hint="eastAsia"/>
                <w:szCs w:val="21"/>
              </w:rPr>
              <w:t>5</w:t>
            </w:r>
          </w:p>
        </w:tc>
        <w:tc>
          <w:tcPr>
            <w:tcW w:w="2025" w:type="pct"/>
            <w:vAlign w:val="center"/>
          </w:tcPr>
          <w:p w14:paraId="7192C0D7">
            <w:pPr>
              <w:adjustRightInd w:val="0"/>
              <w:snapToGrid w:val="0"/>
              <w:jc w:val="center"/>
              <w:rPr>
                <w:szCs w:val="21"/>
              </w:rPr>
            </w:pPr>
            <w:r>
              <w:rPr>
                <w:szCs w:val="21"/>
              </w:rPr>
              <w:t>石灰爆裂</w:t>
            </w:r>
          </w:p>
        </w:tc>
        <w:tc>
          <w:tcPr>
            <w:tcW w:w="2307" w:type="pct"/>
            <w:vAlign w:val="center"/>
          </w:tcPr>
          <w:p w14:paraId="6D9F6C55">
            <w:pPr>
              <w:adjustRightInd w:val="0"/>
              <w:snapToGrid w:val="0"/>
              <w:jc w:val="center"/>
              <w:rPr>
                <w:szCs w:val="21"/>
              </w:rPr>
            </w:pPr>
            <w:r>
              <w:rPr>
                <w:szCs w:val="21"/>
              </w:rPr>
              <w:t>GB/T 2542</w:t>
            </w:r>
            <w:r>
              <w:rPr>
                <w:color w:val="000000"/>
                <w:szCs w:val="21"/>
              </w:rPr>
              <w:t>—</w:t>
            </w:r>
            <w:r>
              <w:rPr>
                <w:szCs w:val="21"/>
              </w:rPr>
              <w:t>2012</w:t>
            </w:r>
          </w:p>
        </w:tc>
      </w:tr>
      <w:tr w14:paraId="16DC35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68" w:type="pct"/>
            <w:vAlign w:val="center"/>
          </w:tcPr>
          <w:p w14:paraId="3C35B6E3">
            <w:pPr>
              <w:adjustRightInd w:val="0"/>
              <w:snapToGrid w:val="0"/>
              <w:jc w:val="center"/>
              <w:rPr>
                <w:szCs w:val="21"/>
              </w:rPr>
            </w:pPr>
            <w:r>
              <w:rPr>
                <w:rFonts w:hint="eastAsia"/>
                <w:szCs w:val="21"/>
              </w:rPr>
              <w:t>6</w:t>
            </w:r>
          </w:p>
        </w:tc>
        <w:tc>
          <w:tcPr>
            <w:tcW w:w="2025" w:type="pct"/>
            <w:vAlign w:val="center"/>
          </w:tcPr>
          <w:p w14:paraId="415F7C8A">
            <w:pPr>
              <w:adjustRightInd w:val="0"/>
              <w:snapToGrid w:val="0"/>
              <w:jc w:val="center"/>
              <w:rPr>
                <w:szCs w:val="21"/>
              </w:rPr>
            </w:pPr>
            <w:bookmarkStart w:id="1" w:name="OLE_LINK43"/>
            <w:bookmarkStart w:id="2" w:name="OLE_LINK42"/>
            <w:r>
              <w:rPr>
                <w:szCs w:val="21"/>
              </w:rPr>
              <w:t>抗风化性能</w:t>
            </w:r>
            <w:r>
              <w:rPr>
                <w:rFonts w:hint="eastAsia"/>
                <w:szCs w:val="21"/>
              </w:rPr>
              <w:t>（</w:t>
            </w:r>
            <w:r>
              <w:rPr>
                <w:rFonts w:hint="eastAsia"/>
                <w:szCs w:val="22"/>
              </w:rPr>
              <w:t>吸水率和饱和系数</w:t>
            </w:r>
            <w:r>
              <w:rPr>
                <w:rFonts w:hint="eastAsia"/>
                <w:szCs w:val="21"/>
              </w:rPr>
              <w:t>）</w:t>
            </w:r>
            <w:bookmarkEnd w:id="1"/>
            <w:bookmarkEnd w:id="2"/>
          </w:p>
        </w:tc>
        <w:tc>
          <w:tcPr>
            <w:tcW w:w="2307" w:type="pct"/>
            <w:vAlign w:val="center"/>
          </w:tcPr>
          <w:p w14:paraId="72C8B549">
            <w:pPr>
              <w:adjustRightInd w:val="0"/>
              <w:snapToGrid w:val="0"/>
              <w:jc w:val="center"/>
              <w:rPr>
                <w:szCs w:val="21"/>
              </w:rPr>
            </w:pPr>
            <w:r>
              <w:rPr>
                <w:szCs w:val="21"/>
              </w:rPr>
              <w:t>GB/T 2542</w:t>
            </w:r>
            <w:r>
              <w:rPr>
                <w:color w:val="000000"/>
                <w:szCs w:val="21"/>
              </w:rPr>
              <w:t>—</w:t>
            </w:r>
            <w:r>
              <w:rPr>
                <w:szCs w:val="21"/>
              </w:rPr>
              <w:t>2012</w:t>
            </w:r>
          </w:p>
        </w:tc>
      </w:tr>
      <w:tr w14:paraId="05DFC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68" w:type="pct"/>
            <w:vAlign w:val="center"/>
          </w:tcPr>
          <w:p w14:paraId="548C3AE1">
            <w:pPr>
              <w:adjustRightInd w:val="0"/>
              <w:snapToGrid w:val="0"/>
              <w:jc w:val="center"/>
              <w:rPr>
                <w:szCs w:val="21"/>
              </w:rPr>
            </w:pPr>
            <w:r>
              <w:rPr>
                <w:rFonts w:hint="eastAsia"/>
                <w:szCs w:val="21"/>
              </w:rPr>
              <w:t>7</w:t>
            </w:r>
          </w:p>
        </w:tc>
        <w:tc>
          <w:tcPr>
            <w:tcW w:w="2025" w:type="pct"/>
            <w:vAlign w:val="center"/>
          </w:tcPr>
          <w:p w14:paraId="1E7A450B">
            <w:pPr>
              <w:adjustRightInd w:val="0"/>
              <w:snapToGrid w:val="0"/>
              <w:jc w:val="center"/>
              <w:rPr>
                <w:szCs w:val="21"/>
              </w:rPr>
            </w:pPr>
            <w:r>
              <w:rPr>
                <w:rFonts w:hint="eastAsia"/>
                <w:szCs w:val="22"/>
              </w:rPr>
              <w:t>放射性核素限量</w:t>
            </w:r>
          </w:p>
        </w:tc>
        <w:tc>
          <w:tcPr>
            <w:tcW w:w="2307" w:type="pct"/>
            <w:vAlign w:val="center"/>
          </w:tcPr>
          <w:p w14:paraId="649579A3">
            <w:pPr>
              <w:adjustRightInd w:val="0"/>
              <w:snapToGrid w:val="0"/>
              <w:jc w:val="center"/>
              <w:rPr>
                <w:szCs w:val="21"/>
              </w:rPr>
            </w:pPr>
            <w:r>
              <w:rPr>
                <w:szCs w:val="21"/>
              </w:rPr>
              <w:t>GB 6566</w:t>
            </w:r>
            <w:r>
              <w:rPr>
                <w:color w:val="000000"/>
                <w:szCs w:val="21"/>
              </w:rPr>
              <w:t>—</w:t>
            </w:r>
            <w:r>
              <w:rPr>
                <w:szCs w:val="21"/>
              </w:rPr>
              <w:t>2010</w:t>
            </w:r>
          </w:p>
        </w:tc>
      </w:tr>
    </w:tbl>
    <w:p w14:paraId="5EC0B422">
      <w:pPr>
        <w:adjustRightInd w:val="0"/>
        <w:snapToGrid w:val="0"/>
        <w:spacing w:line="360" w:lineRule="auto"/>
        <w:jc w:val="center"/>
        <w:rPr>
          <w:b/>
          <w:szCs w:val="21"/>
        </w:rPr>
      </w:pPr>
      <w:r>
        <w:rPr>
          <w:szCs w:val="21"/>
        </w:rPr>
        <w:t>表</w:t>
      </w:r>
      <w:r>
        <w:rPr>
          <w:rFonts w:hint="eastAsia"/>
          <w:szCs w:val="21"/>
        </w:rPr>
        <w:t xml:space="preserve">3 </w:t>
      </w:r>
      <w:r>
        <w:rPr>
          <w:rFonts w:hint="eastAsia"/>
          <w:color w:val="000000"/>
          <w:szCs w:val="21"/>
        </w:rPr>
        <w:t>混凝土路面砖</w:t>
      </w:r>
    </w:p>
    <w:tbl>
      <w:tblPr>
        <w:tblStyle w:val="8"/>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26"/>
        <w:gridCol w:w="3715"/>
        <w:gridCol w:w="4233"/>
      </w:tblGrid>
      <w:tr w14:paraId="63AFD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68" w:type="pct"/>
            <w:tcBorders>
              <w:top w:val="single" w:color="auto" w:sz="4" w:space="0"/>
              <w:left w:val="single" w:color="auto" w:sz="4" w:space="0"/>
              <w:bottom w:val="single" w:color="auto" w:sz="4" w:space="0"/>
              <w:right w:val="single" w:color="auto" w:sz="4" w:space="0"/>
            </w:tcBorders>
            <w:vAlign w:val="center"/>
          </w:tcPr>
          <w:p w14:paraId="6769A1B8">
            <w:pPr>
              <w:adjustRightInd w:val="0"/>
              <w:snapToGrid w:val="0"/>
              <w:jc w:val="center"/>
              <w:rPr>
                <w:szCs w:val="21"/>
              </w:rPr>
            </w:pPr>
            <w:r>
              <w:rPr>
                <w:szCs w:val="21"/>
              </w:rPr>
              <w:t>序号</w:t>
            </w:r>
          </w:p>
        </w:tc>
        <w:tc>
          <w:tcPr>
            <w:tcW w:w="2025" w:type="pct"/>
            <w:tcBorders>
              <w:top w:val="single" w:color="auto" w:sz="4" w:space="0"/>
              <w:left w:val="single" w:color="auto" w:sz="4" w:space="0"/>
              <w:bottom w:val="single" w:color="auto" w:sz="4" w:space="0"/>
              <w:right w:val="single" w:color="auto" w:sz="4" w:space="0"/>
            </w:tcBorders>
            <w:vAlign w:val="center"/>
          </w:tcPr>
          <w:p w14:paraId="6AF3D64F">
            <w:pPr>
              <w:adjustRightInd w:val="0"/>
              <w:snapToGrid w:val="0"/>
              <w:jc w:val="center"/>
              <w:rPr>
                <w:szCs w:val="21"/>
              </w:rPr>
            </w:pPr>
            <w:r>
              <w:rPr>
                <w:szCs w:val="21"/>
              </w:rPr>
              <w:t>检验项目</w:t>
            </w:r>
          </w:p>
        </w:tc>
        <w:tc>
          <w:tcPr>
            <w:tcW w:w="2307" w:type="pct"/>
            <w:tcBorders>
              <w:top w:val="single" w:color="auto" w:sz="4" w:space="0"/>
              <w:left w:val="single" w:color="auto" w:sz="4" w:space="0"/>
              <w:bottom w:val="single" w:color="auto" w:sz="4" w:space="0"/>
              <w:right w:val="single" w:color="auto" w:sz="4" w:space="0"/>
            </w:tcBorders>
            <w:vAlign w:val="center"/>
          </w:tcPr>
          <w:p w14:paraId="13F6A80D">
            <w:pPr>
              <w:adjustRightInd w:val="0"/>
              <w:snapToGrid w:val="0"/>
              <w:jc w:val="center"/>
              <w:rPr>
                <w:color w:val="000000"/>
                <w:szCs w:val="21"/>
              </w:rPr>
            </w:pPr>
            <w:r>
              <w:rPr>
                <w:color w:val="000000"/>
                <w:szCs w:val="21"/>
              </w:rPr>
              <w:t>检验方法</w:t>
            </w:r>
          </w:p>
        </w:tc>
      </w:tr>
      <w:tr w14:paraId="43A5D0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68" w:type="pct"/>
            <w:tcBorders>
              <w:top w:val="single" w:color="auto" w:sz="4" w:space="0"/>
              <w:left w:val="single" w:color="auto" w:sz="4" w:space="0"/>
              <w:bottom w:val="single" w:color="auto" w:sz="4" w:space="0"/>
              <w:right w:val="single" w:color="auto" w:sz="4" w:space="0"/>
            </w:tcBorders>
            <w:vAlign w:val="center"/>
          </w:tcPr>
          <w:p w14:paraId="61290ECC">
            <w:pPr>
              <w:adjustRightInd w:val="0"/>
              <w:snapToGrid w:val="0"/>
              <w:jc w:val="center"/>
              <w:rPr>
                <w:szCs w:val="21"/>
              </w:rPr>
            </w:pPr>
            <w:r>
              <w:rPr>
                <w:szCs w:val="21"/>
              </w:rPr>
              <w:t>1</w:t>
            </w:r>
          </w:p>
        </w:tc>
        <w:tc>
          <w:tcPr>
            <w:tcW w:w="2025" w:type="pct"/>
            <w:tcBorders>
              <w:top w:val="single" w:color="auto" w:sz="4" w:space="0"/>
              <w:left w:val="single" w:color="auto" w:sz="4" w:space="0"/>
              <w:bottom w:val="single" w:color="auto" w:sz="4" w:space="0"/>
              <w:right w:val="single" w:color="auto" w:sz="4" w:space="0"/>
            </w:tcBorders>
            <w:vAlign w:val="center"/>
          </w:tcPr>
          <w:p w14:paraId="655B5A57">
            <w:pPr>
              <w:adjustRightInd w:val="0"/>
              <w:snapToGrid w:val="0"/>
              <w:jc w:val="center"/>
              <w:rPr>
                <w:szCs w:val="21"/>
              </w:rPr>
            </w:pPr>
            <w:r>
              <w:rPr>
                <w:rFonts w:hint="eastAsia"/>
                <w:szCs w:val="21"/>
              </w:rPr>
              <w:t>外观质量</w:t>
            </w:r>
          </w:p>
        </w:tc>
        <w:tc>
          <w:tcPr>
            <w:tcW w:w="2307" w:type="pct"/>
            <w:tcBorders>
              <w:top w:val="single" w:color="auto" w:sz="4" w:space="0"/>
              <w:left w:val="single" w:color="auto" w:sz="4" w:space="0"/>
              <w:bottom w:val="single" w:color="auto" w:sz="4" w:space="0"/>
              <w:right w:val="single" w:color="auto" w:sz="4" w:space="0"/>
            </w:tcBorders>
            <w:vAlign w:val="center"/>
          </w:tcPr>
          <w:p w14:paraId="07475356">
            <w:pPr>
              <w:adjustRightInd w:val="0"/>
              <w:snapToGrid w:val="0"/>
              <w:jc w:val="center"/>
              <w:rPr>
                <w:color w:val="000000"/>
                <w:szCs w:val="21"/>
              </w:rPr>
            </w:pPr>
            <w:r>
              <w:rPr>
                <w:rFonts w:hint="eastAsia"/>
                <w:color w:val="000000"/>
                <w:szCs w:val="21"/>
              </w:rPr>
              <w:t>GB/T 28635</w:t>
            </w:r>
            <w:r>
              <w:rPr>
                <w:color w:val="000000"/>
                <w:szCs w:val="21"/>
              </w:rPr>
              <w:t>—</w:t>
            </w:r>
            <w:r>
              <w:rPr>
                <w:rFonts w:hint="eastAsia"/>
                <w:color w:val="000000"/>
                <w:szCs w:val="21"/>
              </w:rPr>
              <w:t>2012</w:t>
            </w:r>
          </w:p>
        </w:tc>
      </w:tr>
      <w:tr w14:paraId="786B2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68" w:type="pct"/>
            <w:tcBorders>
              <w:top w:val="single" w:color="auto" w:sz="4" w:space="0"/>
              <w:left w:val="single" w:color="auto" w:sz="4" w:space="0"/>
              <w:bottom w:val="single" w:color="auto" w:sz="4" w:space="0"/>
              <w:right w:val="single" w:color="auto" w:sz="4" w:space="0"/>
            </w:tcBorders>
            <w:vAlign w:val="center"/>
          </w:tcPr>
          <w:p w14:paraId="00228CB5">
            <w:pPr>
              <w:adjustRightInd w:val="0"/>
              <w:snapToGrid w:val="0"/>
              <w:jc w:val="center"/>
              <w:rPr>
                <w:szCs w:val="21"/>
              </w:rPr>
            </w:pPr>
            <w:r>
              <w:rPr>
                <w:rFonts w:hint="eastAsia"/>
                <w:szCs w:val="21"/>
              </w:rPr>
              <w:t>2</w:t>
            </w:r>
          </w:p>
        </w:tc>
        <w:tc>
          <w:tcPr>
            <w:tcW w:w="2025" w:type="pct"/>
            <w:tcBorders>
              <w:top w:val="single" w:color="auto" w:sz="4" w:space="0"/>
              <w:left w:val="single" w:color="auto" w:sz="4" w:space="0"/>
              <w:bottom w:val="single" w:color="auto" w:sz="4" w:space="0"/>
              <w:right w:val="single" w:color="auto" w:sz="4" w:space="0"/>
            </w:tcBorders>
            <w:vAlign w:val="center"/>
          </w:tcPr>
          <w:p w14:paraId="37ADD215">
            <w:pPr>
              <w:adjustRightInd w:val="0"/>
              <w:snapToGrid w:val="0"/>
              <w:jc w:val="center"/>
              <w:rPr>
                <w:szCs w:val="21"/>
              </w:rPr>
            </w:pPr>
            <w:r>
              <w:rPr>
                <w:rFonts w:hint="eastAsia"/>
                <w:szCs w:val="21"/>
              </w:rPr>
              <w:t>尺寸偏差</w:t>
            </w:r>
          </w:p>
        </w:tc>
        <w:tc>
          <w:tcPr>
            <w:tcW w:w="2307" w:type="pct"/>
            <w:tcBorders>
              <w:top w:val="single" w:color="auto" w:sz="4" w:space="0"/>
              <w:left w:val="single" w:color="auto" w:sz="4" w:space="0"/>
              <w:bottom w:val="single" w:color="auto" w:sz="4" w:space="0"/>
              <w:right w:val="single" w:color="auto" w:sz="4" w:space="0"/>
            </w:tcBorders>
            <w:vAlign w:val="center"/>
          </w:tcPr>
          <w:p w14:paraId="1F965FD3">
            <w:pPr>
              <w:adjustRightInd w:val="0"/>
              <w:snapToGrid w:val="0"/>
              <w:jc w:val="center"/>
              <w:rPr>
                <w:color w:val="000000"/>
                <w:szCs w:val="21"/>
              </w:rPr>
            </w:pPr>
            <w:r>
              <w:rPr>
                <w:rFonts w:hint="eastAsia"/>
                <w:color w:val="000000"/>
                <w:szCs w:val="21"/>
              </w:rPr>
              <w:t>GB/T 28635</w:t>
            </w:r>
            <w:r>
              <w:rPr>
                <w:color w:val="000000"/>
                <w:szCs w:val="21"/>
              </w:rPr>
              <w:t>—</w:t>
            </w:r>
            <w:r>
              <w:rPr>
                <w:rFonts w:hint="eastAsia"/>
                <w:color w:val="000000"/>
                <w:szCs w:val="21"/>
              </w:rPr>
              <w:t>2012</w:t>
            </w:r>
          </w:p>
        </w:tc>
      </w:tr>
      <w:tr w14:paraId="0A0CD6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68" w:type="pct"/>
            <w:tcBorders>
              <w:top w:val="single" w:color="auto" w:sz="4" w:space="0"/>
              <w:left w:val="single" w:color="auto" w:sz="4" w:space="0"/>
              <w:bottom w:val="single" w:color="auto" w:sz="4" w:space="0"/>
              <w:right w:val="single" w:color="auto" w:sz="4" w:space="0"/>
            </w:tcBorders>
            <w:vAlign w:val="center"/>
          </w:tcPr>
          <w:p w14:paraId="77AB21D9">
            <w:pPr>
              <w:adjustRightInd w:val="0"/>
              <w:snapToGrid w:val="0"/>
              <w:jc w:val="center"/>
              <w:rPr>
                <w:szCs w:val="21"/>
              </w:rPr>
            </w:pPr>
            <w:r>
              <w:rPr>
                <w:rFonts w:hint="eastAsia"/>
                <w:szCs w:val="21"/>
              </w:rPr>
              <w:t>3</w:t>
            </w:r>
          </w:p>
        </w:tc>
        <w:tc>
          <w:tcPr>
            <w:tcW w:w="2025" w:type="pct"/>
            <w:tcBorders>
              <w:top w:val="single" w:color="auto" w:sz="4" w:space="0"/>
              <w:left w:val="single" w:color="auto" w:sz="4" w:space="0"/>
              <w:bottom w:val="single" w:color="auto" w:sz="4" w:space="0"/>
              <w:right w:val="single" w:color="auto" w:sz="4" w:space="0"/>
            </w:tcBorders>
            <w:vAlign w:val="center"/>
          </w:tcPr>
          <w:p w14:paraId="47B509F6">
            <w:pPr>
              <w:adjustRightInd w:val="0"/>
              <w:snapToGrid w:val="0"/>
              <w:jc w:val="center"/>
              <w:rPr>
                <w:szCs w:val="21"/>
              </w:rPr>
            </w:pPr>
            <w:r>
              <w:rPr>
                <w:rFonts w:hint="eastAsia"/>
                <w:szCs w:val="21"/>
              </w:rPr>
              <w:t>抗压强度</w:t>
            </w:r>
          </w:p>
        </w:tc>
        <w:tc>
          <w:tcPr>
            <w:tcW w:w="2307" w:type="pct"/>
            <w:tcBorders>
              <w:top w:val="single" w:color="auto" w:sz="4" w:space="0"/>
              <w:left w:val="single" w:color="auto" w:sz="4" w:space="0"/>
              <w:bottom w:val="single" w:color="auto" w:sz="4" w:space="0"/>
              <w:right w:val="single" w:color="auto" w:sz="4" w:space="0"/>
            </w:tcBorders>
            <w:vAlign w:val="center"/>
          </w:tcPr>
          <w:p w14:paraId="6BD40908">
            <w:pPr>
              <w:adjustRightInd w:val="0"/>
              <w:snapToGrid w:val="0"/>
              <w:jc w:val="center"/>
              <w:rPr>
                <w:color w:val="000000"/>
                <w:szCs w:val="21"/>
              </w:rPr>
            </w:pPr>
            <w:r>
              <w:rPr>
                <w:rFonts w:hint="eastAsia"/>
                <w:color w:val="000000"/>
                <w:szCs w:val="21"/>
              </w:rPr>
              <w:t>GB/T 28635</w:t>
            </w:r>
            <w:r>
              <w:rPr>
                <w:color w:val="000000"/>
                <w:szCs w:val="21"/>
              </w:rPr>
              <w:t>—</w:t>
            </w:r>
            <w:r>
              <w:rPr>
                <w:rFonts w:hint="eastAsia"/>
                <w:color w:val="000000"/>
                <w:szCs w:val="21"/>
              </w:rPr>
              <w:t>2012</w:t>
            </w:r>
          </w:p>
        </w:tc>
      </w:tr>
      <w:tr w14:paraId="4F0DD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68" w:type="pct"/>
            <w:tcBorders>
              <w:top w:val="single" w:color="auto" w:sz="4" w:space="0"/>
              <w:left w:val="single" w:color="auto" w:sz="4" w:space="0"/>
              <w:bottom w:val="single" w:color="auto" w:sz="4" w:space="0"/>
              <w:right w:val="single" w:color="auto" w:sz="4" w:space="0"/>
            </w:tcBorders>
            <w:vAlign w:val="center"/>
          </w:tcPr>
          <w:p w14:paraId="1A8A3BE7">
            <w:pPr>
              <w:adjustRightInd w:val="0"/>
              <w:snapToGrid w:val="0"/>
              <w:jc w:val="center"/>
              <w:rPr>
                <w:szCs w:val="21"/>
              </w:rPr>
            </w:pPr>
            <w:r>
              <w:rPr>
                <w:rFonts w:hint="eastAsia"/>
                <w:szCs w:val="21"/>
              </w:rPr>
              <w:t>4</w:t>
            </w:r>
          </w:p>
        </w:tc>
        <w:tc>
          <w:tcPr>
            <w:tcW w:w="2025" w:type="pct"/>
            <w:tcBorders>
              <w:top w:val="single" w:color="auto" w:sz="4" w:space="0"/>
              <w:left w:val="single" w:color="auto" w:sz="4" w:space="0"/>
              <w:bottom w:val="single" w:color="auto" w:sz="4" w:space="0"/>
              <w:right w:val="single" w:color="auto" w:sz="4" w:space="0"/>
            </w:tcBorders>
            <w:vAlign w:val="center"/>
          </w:tcPr>
          <w:p w14:paraId="235937EF">
            <w:pPr>
              <w:adjustRightInd w:val="0"/>
              <w:snapToGrid w:val="0"/>
              <w:jc w:val="center"/>
              <w:rPr>
                <w:szCs w:val="21"/>
              </w:rPr>
            </w:pPr>
            <w:r>
              <w:rPr>
                <w:rFonts w:hint="eastAsia"/>
                <w:szCs w:val="21"/>
              </w:rPr>
              <w:t>抗折强度</w:t>
            </w:r>
          </w:p>
        </w:tc>
        <w:tc>
          <w:tcPr>
            <w:tcW w:w="2307" w:type="pct"/>
            <w:tcBorders>
              <w:top w:val="single" w:color="auto" w:sz="4" w:space="0"/>
              <w:left w:val="single" w:color="auto" w:sz="4" w:space="0"/>
              <w:bottom w:val="single" w:color="auto" w:sz="4" w:space="0"/>
              <w:right w:val="single" w:color="auto" w:sz="4" w:space="0"/>
            </w:tcBorders>
            <w:vAlign w:val="center"/>
          </w:tcPr>
          <w:p w14:paraId="2AD8EA76">
            <w:pPr>
              <w:adjustRightInd w:val="0"/>
              <w:snapToGrid w:val="0"/>
              <w:jc w:val="center"/>
              <w:rPr>
                <w:color w:val="000000"/>
                <w:szCs w:val="21"/>
              </w:rPr>
            </w:pPr>
            <w:r>
              <w:rPr>
                <w:rFonts w:hint="eastAsia"/>
                <w:color w:val="000000"/>
                <w:szCs w:val="21"/>
              </w:rPr>
              <w:t>GB/T 28635</w:t>
            </w:r>
            <w:r>
              <w:rPr>
                <w:color w:val="000000"/>
                <w:szCs w:val="21"/>
              </w:rPr>
              <w:t>—</w:t>
            </w:r>
            <w:r>
              <w:rPr>
                <w:rFonts w:hint="eastAsia"/>
                <w:color w:val="000000"/>
                <w:szCs w:val="21"/>
              </w:rPr>
              <w:t>2012</w:t>
            </w:r>
          </w:p>
        </w:tc>
      </w:tr>
      <w:tr w14:paraId="457DA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exact"/>
          <w:jc w:val="center"/>
        </w:trPr>
        <w:tc>
          <w:tcPr>
            <w:tcW w:w="668" w:type="pct"/>
            <w:tcBorders>
              <w:top w:val="single" w:color="auto" w:sz="4" w:space="0"/>
              <w:left w:val="single" w:color="auto" w:sz="4" w:space="0"/>
              <w:bottom w:val="single" w:color="auto" w:sz="4" w:space="0"/>
              <w:right w:val="single" w:color="auto" w:sz="4" w:space="0"/>
            </w:tcBorders>
            <w:vAlign w:val="center"/>
          </w:tcPr>
          <w:p w14:paraId="175BDB7A">
            <w:pPr>
              <w:adjustRightInd w:val="0"/>
              <w:snapToGrid w:val="0"/>
              <w:jc w:val="center"/>
              <w:rPr>
                <w:szCs w:val="21"/>
              </w:rPr>
            </w:pPr>
            <w:r>
              <w:rPr>
                <w:rFonts w:hint="eastAsia"/>
                <w:szCs w:val="21"/>
              </w:rPr>
              <w:t>5</w:t>
            </w:r>
          </w:p>
        </w:tc>
        <w:tc>
          <w:tcPr>
            <w:tcW w:w="2025" w:type="pct"/>
            <w:tcBorders>
              <w:top w:val="single" w:color="auto" w:sz="4" w:space="0"/>
              <w:left w:val="single" w:color="auto" w:sz="4" w:space="0"/>
              <w:bottom w:val="single" w:color="auto" w:sz="4" w:space="0"/>
              <w:right w:val="single" w:color="auto" w:sz="4" w:space="0"/>
            </w:tcBorders>
            <w:vAlign w:val="center"/>
          </w:tcPr>
          <w:p w14:paraId="1B1EE21E">
            <w:pPr>
              <w:adjustRightInd w:val="0"/>
              <w:snapToGrid w:val="0"/>
              <w:jc w:val="center"/>
              <w:rPr>
                <w:szCs w:val="21"/>
              </w:rPr>
            </w:pPr>
            <w:r>
              <w:rPr>
                <w:rFonts w:hint="eastAsia"/>
                <w:szCs w:val="21"/>
              </w:rPr>
              <w:t>吸水性</w:t>
            </w:r>
          </w:p>
        </w:tc>
        <w:tc>
          <w:tcPr>
            <w:tcW w:w="2307" w:type="pct"/>
            <w:tcBorders>
              <w:top w:val="single" w:color="auto" w:sz="4" w:space="0"/>
              <w:left w:val="single" w:color="auto" w:sz="4" w:space="0"/>
              <w:bottom w:val="single" w:color="auto" w:sz="4" w:space="0"/>
              <w:right w:val="single" w:color="auto" w:sz="4" w:space="0"/>
            </w:tcBorders>
            <w:vAlign w:val="center"/>
          </w:tcPr>
          <w:p w14:paraId="3C365586">
            <w:pPr>
              <w:adjustRightInd w:val="0"/>
              <w:snapToGrid w:val="0"/>
              <w:jc w:val="center"/>
              <w:rPr>
                <w:color w:val="000000"/>
                <w:szCs w:val="21"/>
              </w:rPr>
            </w:pPr>
            <w:r>
              <w:rPr>
                <w:rFonts w:hint="eastAsia"/>
                <w:color w:val="000000"/>
                <w:szCs w:val="21"/>
              </w:rPr>
              <w:t>GB/T 28635</w:t>
            </w:r>
            <w:r>
              <w:rPr>
                <w:color w:val="000000"/>
                <w:szCs w:val="21"/>
              </w:rPr>
              <w:t>—</w:t>
            </w:r>
            <w:r>
              <w:rPr>
                <w:rFonts w:hint="eastAsia"/>
                <w:color w:val="000000"/>
                <w:szCs w:val="21"/>
              </w:rPr>
              <w:t>2012</w:t>
            </w:r>
          </w:p>
        </w:tc>
      </w:tr>
      <w:tr w14:paraId="60487B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8" w:hRule="exact"/>
          <w:jc w:val="center"/>
        </w:trPr>
        <w:tc>
          <w:tcPr>
            <w:tcW w:w="668" w:type="pct"/>
            <w:vAlign w:val="center"/>
          </w:tcPr>
          <w:p w14:paraId="4640CF5D">
            <w:pPr>
              <w:adjustRightInd w:val="0"/>
              <w:snapToGrid w:val="0"/>
              <w:jc w:val="center"/>
              <w:rPr>
                <w:szCs w:val="21"/>
              </w:rPr>
            </w:pPr>
            <w:r>
              <w:rPr>
                <w:rFonts w:hint="eastAsia"/>
                <w:szCs w:val="21"/>
              </w:rPr>
              <w:t>备注：</w:t>
            </w:r>
          </w:p>
        </w:tc>
        <w:tc>
          <w:tcPr>
            <w:tcW w:w="4332" w:type="pct"/>
            <w:gridSpan w:val="2"/>
            <w:vAlign w:val="center"/>
          </w:tcPr>
          <w:p w14:paraId="1F0779C0">
            <w:pPr>
              <w:adjustRightInd w:val="0"/>
              <w:snapToGrid w:val="0"/>
              <w:jc w:val="left"/>
              <w:rPr>
                <w:color w:val="000000"/>
                <w:szCs w:val="21"/>
              </w:rPr>
            </w:pPr>
            <w:r>
              <w:rPr>
                <w:rFonts w:hint="eastAsia"/>
                <w:color w:val="000000"/>
                <w:szCs w:val="21"/>
              </w:rPr>
              <w:t>公称长度与公称厚度的比值小于或等于4的，应进行抗压强度试验；公称长度与公称厚度的比值大于4的，应进行抗折强度试验。</w:t>
            </w:r>
          </w:p>
        </w:tc>
      </w:tr>
    </w:tbl>
    <w:p w14:paraId="755A34C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B6D1C7">
      <w:pPr>
        <w:snapToGrid w:val="0"/>
        <w:spacing w:line="440" w:lineRule="exact"/>
        <w:ind w:firstLine="420" w:firstLineChars="200"/>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FEEE297">
      <w:pPr>
        <w:spacing w:line="360" w:lineRule="auto"/>
        <w:rPr>
          <w:rFonts w:eastAsia="黑体"/>
          <w:color w:val="000000"/>
          <w:szCs w:val="21"/>
        </w:rPr>
      </w:pPr>
      <w:r>
        <w:rPr>
          <w:rFonts w:eastAsia="黑体"/>
          <w:color w:val="000000"/>
          <w:szCs w:val="21"/>
        </w:rPr>
        <w:t>3 判定规则</w:t>
      </w:r>
    </w:p>
    <w:p w14:paraId="575B039D">
      <w:pPr>
        <w:snapToGrid w:val="0"/>
        <w:spacing w:line="440" w:lineRule="exact"/>
        <w:rPr>
          <w:color w:val="000000"/>
          <w:szCs w:val="21"/>
        </w:rPr>
      </w:pPr>
      <w:r>
        <w:rPr>
          <w:color w:val="000000"/>
          <w:szCs w:val="21"/>
        </w:rPr>
        <w:t>3.1依据标准</w:t>
      </w:r>
    </w:p>
    <w:p w14:paraId="7AF542E4">
      <w:pPr>
        <w:snapToGrid w:val="0"/>
        <w:spacing w:line="440" w:lineRule="exact"/>
        <w:ind w:firstLine="420" w:firstLineChars="200"/>
        <w:rPr>
          <w:color w:val="000000"/>
          <w:szCs w:val="21"/>
        </w:rPr>
      </w:pPr>
      <w:r>
        <w:rPr>
          <w:color w:val="000000"/>
          <w:szCs w:val="21"/>
        </w:rPr>
        <w:t>GB/T 5101</w:t>
      </w:r>
      <w:bookmarkStart w:id="3" w:name="OLE_LINK52"/>
      <w:bookmarkStart w:id="4" w:name="OLE_LINK51"/>
      <w:r>
        <w:rPr>
          <w:color w:val="000000"/>
          <w:szCs w:val="21"/>
        </w:rPr>
        <w:t>—</w:t>
      </w:r>
      <w:bookmarkEnd w:id="3"/>
      <w:bookmarkEnd w:id="4"/>
      <w:r>
        <w:rPr>
          <w:color w:val="000000"/>
          <w:szCs w:val="21"/>
        </w:rPr>
        <w:t xml:space="preserve">2017  </w:t>
      </w:r>
      <w:r>
        <w:rPr>
          <w:rFonts w:hint="eastAsia"/>
          <w:color w:val="000000"/>
          <w:szCs w:val="21"/>
        </w:rPr>
        <w:t>烧结普通砖</w:t>
      </w:r>
    </w:p>
    <w:p w14:paraId="00F87C4D">
      <w:pPr>
        <w:snapToGrid w:val="0"/>
        <w:spacing w:line="440" w:lineRule="exact"/>
        <w:ind w:firstLine="420" w:firstLineChars="200"/>
        <w:rPr>
          <w:color w:val="000000"/>
          <w:szCs w:val="21"/>
        </w:rPr>
      </w:pPr>
      <w:r>
        <w:rPr>
          <w:color w:val="000000"/>
          <w:szCs w:val="21"/>
        </w:rPr>
        <w:t xml:space="preserve">GB/T 28635—2012 </w:t>
      </w:r>
      <w:r>
        <w:rPr>
          <w:rFonts w:hint="eastAsia"/>
          <w:color w:val="000000"/>
          <w:szCs w:val="21"/>
        </w:rPr>
        <w:t>混凝土路面砖</w:t>
      </w:r>
    </w:p>
    <w:p w14:paraId="66D95CA6">
      <w:pPr>
        <w:snapToGrid w:val="0"/>
        <w:spacing w:line="440" w:lineRule="exact"/>
        <w:ind w:firstLine="462" w:firstLineChars="220"/>
        <w:rPr>
          <w:color w:val="000000"/>
          <w:szCs w:val="21"/>
        </w:rPr>
      </w:pPr>
      <w:r>
        <w:rPr>
          <w:color w:val="000000"/>
          <w:szCs w:val="21"/>
        </w:rPr>
        <w:t>现行有效的企业标准、</w:t>
      </w:r>
      <w:r>
        <w:rPr>
          <w:szCs w:val="21"/>
        </w:rPr>
        <w:t>团体标准、地方标准及</w:t>
      </w:r>
      <w:r>
        <w:rPr>
          <w:color w:val="000000"/>
          <w:szCs w:val="21"/>
        </w:rPr>
        <w:t>产品明示质量要求</w:t>
      </w:r>
    </w:p>
    <w:p w14:paraId="0A942E73">
      <w:pPr>
        <w:snapToGrid w:val="0"/>
        <w:spacing w:line="440" w:lineRule="exact"/>
        <w:rPr>
          <w:color w:val="000000"/>
          <w:szCs w:val="21"/>
        </w:rPr>
      </w:pPr>
      <w:r>
        <w:rPr>
          <w:color w:val="000000"/>
          <w:szCs w:val="21"/>
        </w:rPr>
        <w:t>3.2判定原则</w:t>
      </w:r>
    </w:p>
    <w:p w14:paraId="5ADBB64D">
      <w:pPr>
        <w:snapToGrid w:val="0"/>
        <w:spacing w:line="440" w:lineRule="exact"/>
        <w:ind w:firstLine="420" w:firstLineChars="200"/>
        <w:rPr>
          <w:color w:val="000000"/>
          <w:szCs w:val="21"/>
        </w:rPr>
      </w:pPr>
      <w:r>
        <w:rPr>
          <w:color w:val="000000"/>
          <w:szCs w:val="21"/>
        </w:rPr>
        <w:t>经检验，检验项目全部合格，判定为被抽查产品</w:t>
      </w:r>
      <w:r>
        <w:rPr>
          <w:rFonts w:hint="eastAsia"/>
          <w:color w:val="000000"/>
          <w:szCs w:val="21"/>
        </w:rPr>
        <w:t>所检项目未发现不</w:t>
      </w:r>
      <w:r>
        <w:rPr>
          <w:color w:val="000000"/>
          <w:szCs w:val="21"/>
        </w:rPr>
        <w:t>合格；检验项目中任一项或一项以上不合格，判定为被抽查产品不合格。</w:t>
      </w:r>
    </w:p>
    <w:p w14:paraId="3C8F4F6F">
      <w:pPr>
        <w:snapToGrid w:val="0"/>
        <w:spacing w:line="440" w:lineRule="exact"/>
        <w:ind w:firstLine="420" w:firstLineChars="200"/>
        <w:rPr>
          <w:color w:val="000000"/>
          <w:szCs w:val="21"/>
        </w:rPr>
      </w:pPr>
      <w:r>
        <w:rPr>
          <w:color w:val="000000"/>
          <w:szCs w:val="21"/>
        </w:rPr>
        <w:t>若被检产品明示的质量要求高于本细则中检验项目依据的标准要求时，应按被检产品明示的质量要求判定。</w:t>
      </w:r>
    </w:p>
    <w:p w14:paraId="75789BCD">
      <w:pPr>
        <w:snapToGrid w:val="0"/>
        <w:spacing w:line="440" w:lineRule="exact"/>
        <w:ind w:firstLine="420" w:firstLineChars="200"/>
        <w:rPr>
          <w:color w:val="000000"/>
          <w:szCs w:val="21"/>
        </w:rPr>
      </w:pPr>
      <w:r>
        <w:rPr>
          <w:color w:val="000000"/>
          <w:szCs w:val="21"/>
        </w:rPr>
        <w:t>若被检产品明示的质量要求低于本细则中检验项目依据的强制性标准要求时，应按照强制性标准要求判定。</w:t>
      </w:r>
    </w:p>
    <w:p w14:paraId="5E478B4D">
      <w:pPr>
        <w:snapToGrid w:val="0"/>
        <w:spacing w:line="440" w:lineRule="exact"/>
        <w:ind w:firstLine="420" w:firstLineChars="200"/>
        <w:rPr>
          <w:color w:val="000000"/>
          <w:szCs w:val="21"/>
        </w:rPr>
      </w:pPr>
      <w:r>
        <w:rPr>
          <w:color w:val="000000"/>
          <w:szCs w:val="21"/>
        </w:rPr>
        <w:t>若被检产品明示的质量要求低于或包含本细则中检验项目依据的推荐性标准要求时，应以被检产品明示的质量要求判定。</w:t>
      </w:r>
    </w:p>
    <w:p w14:paraId="40D2E0F9">
      <w:pPr>
        <w:snapToGrid w:val="0"/>
        <w:spacing w:line="440" w:lineRule="exact"/>
        <w:ind w:firstLine="420" w:firstLineChars="200"/>
        <w:rPr>
          <w:color w:val="000000"/>
          <w:szCs w:val="21"/>
        </w:rPr>
      </w:pPr>
      <w:r>
        <w:rPr>
          <w:color w:val="000000"/>
          <w:szCs w:val="21"/>
        </w:rPr>
        <w:t>若被检产品明示的质量要求缺少本细则中检验项目依据的强制性标准要求时，应按照强制性标准要求判定。</w:t>
      </w:r>
    </w:p>
    <w:p w14:paraId="3D5FBA4E">
      <w:pPr>
        <w:snapToGrid w:val="0"/>
        <w:spacing w:line="440" w:lineRule="exact"/>
        <w:ind w:firstLine="420" w:firstLineChars="200"/>
        <w:rPr>
          <w:color w:val="000000"/>
          <w:szCs w:val="21"/>
        </w:rPr>
      </w:pPr>
      <w:r>
        <w:rPr>
          <w:color w:val="000000"/>
          <w:szCs w:val="21"/>
        </w:rPr>
        <w:t>若被检产品明示的质量要求缺少本细则中检验项目依据的推荐性标准要求时，该项目不参与判定，但应在检验报告备注中进行说明。</w:t>
      </w:r>
    </w:p>
    <w:p w14:paraId="0C091588">
      <w:pPr>
        <w:snapToGrid w:val="0"/>
        <w:spacing w:line="440" w:lineRule="exact"/>
        <w:rPr>
          <w:rFonts w:eastAsia="黑体"/>
          <w:szCs w:val="21"/>
        </w:rPr>
      </w:pPr>
      <w:r>
        <w:rPr>
          <w:rFonts w:hint="eastAsia" w:eastAsia="黑体"/>
          <w:szCs w:val="21"/>
        </w:rPr>
        <w:t>4附则</w:t>
      </w:r>
    </w:p>
    <w:p w14:paraId="192F6E50">
      <w:pPr>
        <w:snapToGrid w:val="0"/>
        <w:spacing w:line="440" w:lineRule="exact"/>
        <w:ind w:firstLine="420" w:firstLineChars="200"/>
        <w:rPr>
          <w:color w:val="FF0000"/>
          <w:sz w:val="24"/>
        </w:rPr>
      </w:pPr>
      <w:r>
        <w:rPr>
          <w:rFonts w:hint="eastAsia"/>
          <w:szCs w:val="21"/>
        </w:rPr>
        <w:t>本细则由淮南市市场监督管理局管理。</w:t>
      </w:r>
    </w:p>
    <w:sectPr>
      <w:headerReference r:id="rId3" w:type="default"/>
      <w:footerReference r:id="rId4" w:type="default"/>
      <w:pgSz w:w="11906" w:h="16838"/>
      <w:pgMar w:top="1985" w:right="1474" w:bottom="1644" w:left="1474" w:header="851" w:footer="1191" w:gutter="0"/>
      <w:cols w:space="0" w:num="1"/>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00000000000000000"/>
    <w:charset w:val="86"/>
    <w:family w:val="script"/>
    <w:pitch w:val="default"/>
    <w:sig w:usb0="00000001" w:usb1="08000000" w:usb2="00000000" w:usb3="00000000" w:csb0="00040000" w:csb1="00000000"/>
  </w:font>
  <w:font w:name="方正仿宋简体">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1AAA053">
    <w:pPr>
      <w:pStyle w:val="5"/>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52D8A790">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717C8B">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9"/>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OGRkZWEyZDA0MTYyMmQ3ZjMwMDUwNzM5YmY5NGEwM2YifQ=="/>
    <w:docVar w:name="KSO_WPS_MARK_KEY" w:val="f5f868bf-0c6a-486f-b983-ff5b0ec06dad"/>
  </w:docVars>
  <w:rsids>
    <w:rsidRoot w:val="00172A27"/>
    <w:rsid w:val="00001D7E"/>
    <w:rsid w:val="00012EEB"/>
    <w:rsid w:val="000203FE"/>
    <w:rsid w:val="00051A44"/>
    <w:rsid w:val="00052092"/>
    <w:rsid w:val="000770C5"/>
    <w:rsid w:val="00081CBD"/>
    <w:rsid w:val="00083EBC"/>
    <w:rsid w:val="000976DE"/>
    <w:rsid w:val="000C27EF"/>
    <w:rsid w:val="000F23DA"/>
    <w:rsid w:val="000F2B3C"/>
    <w:rsid w:val="00172A27"/>
    <w:rsid w:val="001809DD"/>
    <w:rsid w:val="00181B0C"/>
    <w:rsid w:val="00190EB0"/>
    <w:rsid w:val="001A51E1"/>
    <w:rsid w:val="001D0C3F"/>
    <w:rsid w:val="0021621A"/>
    <w:rsid w:val="00235DC4"/>
    <w:rsid w:val="00247E11"/>
    <w:rsid w:val="002501F8"/>
    <w:rsid w:val="00253624"/>
    <w:rsid w:val="002627EB"/>
    <w:rsid w:val="00275517"/>
    <w:rsid w:val="00282868"/>
    <w:rsid w:val="002A25C4"/>
    <w:rsid w:val="002B1E5D"/>
    <w:rsid w:val="002B2F08"/>
    <w:rsid w:val="002D7F8A"/>
    <w:rsid w:val="002E0D1D"/>
    <w:rsid w:val="002E3205"/>
    <w:rsid w:val="003203A3"/>
    <w:rsid w:val="003B65A7"/>
    <w:rsid w:val="003C388C"/>
    <w:rsid w:val="003D6DF1"/>
    <w:rsid w:val="003E011E"/>
    <w:rsid w:val="003E61BF"/>
    <w:rsid w:val="00445E86"/>
    <w:rsid w:val="00467E74"/>
    <w:rsid w:val="00474E04"/>
    <w:rsid w:val="00483AC6"/>
    <w:rsid w:val="004962E3"/>
    <w:rsid w:val="004A0936"/>
    <w:rsid w:val="004D00D3"/>
    <w:rsid w:val="004D0C5A"/>
    <w:rsid w:val="004E1396"/>
    <w:rsid w:val="004E7C02"/>
    <w:rsid w:val="005475BE"/>
    <w:rsid w:val="00563EBC"/>
    <w:rsid w:val="00575184"/>
    <w:rsid w:val="00585975"/>
    <w:rsid w:val="0059238A"/>
    <w:rsid w:val="005B64D3"/>
    <w:rsid w:val="005F4CC6"/>
    <w:rsid w:val="00610A1A"/>
    <w:rsid w:val="006438DE"/>
    <w:rsid w:val="00666E54"/>
    <w:rsid w:val="006B79A8"/>
    <w:rsid w:val="006F0971"/>
    <w:rsid w:val="0072334C"/>
    <w:rsid w:val="00736DEA"/>
    <w:rsid w:val="007374E8"/>
    <w:rsid w:val="00755136"/>
    <w:rsid w:val="007928F3"/>
    <w:rsid w:val="007A2390"/>
    <w:rsid w:val="00813759"/>
    <w:rsid w:val="008139C8"/>
    <w:rsid w:val="008252E6"/>
    <w:rsid w:val="00871617"/>
    <w:rsid w:val="00895BEA"/>
    <w:rsid w:val="008960CC"/>
    <w:rsid w:val="008A1C2F"/>
    <w:rsid w:val="008A3497"/>
    <w:rsid w:val="008B1BD3"/>
    <w:rsid w:val="008C292F"/>
    <w:rsid w:val="00917A54"/>
    <w:rsid w:val="009249EF"/>
    <w:rsid w:val="00926C29"/>
    <w:rsid w:val="00930572"/>
    <w:rsid w:val="00933A6E"/>
    <w:rsid w:val="009865FB"/>
    <w:rsid w:val="009B3664"/>
    <w:rsid w:val="009C4DCE"/>
    <w:rsid w:val="009D5E02"/>
    <w:rsid w:val="009E01DE"/>
    <w:rsid w:val="009E4DB8"/>
    <w:rsid w:val="009F7375"/>
    <w:rsid w:val="00A07E66"/>
    <w:rsid w:val="00A15CDF"/>
    <w:rsid w:val="00A229CB"/>
    <w:rsid w:val="00A43553"/>
    <w:rsid w:val="00A62E74"/>
    <w:rsid w:val="00A7490F"/>
    <w:rsid w:val="00A760C9"/>
    <w:rsid w:val="00A902CC"/>
    <w:rsid w:val="00AD5A48"/>
    <w:rsid w:val="00AF24AF"/>
    <w:rsid w:val="00B064EC"/>
    <w:rsid w:val="00B61E61"/>
    <w:rsid w:val="00B84E0D"/>
    <w:rsid w:val="00B87C1A"/>
    <w:rsid w:val="00BF5D64"/>
    <w:rsid w:val="00C25E48"/>
    <w:rsid w:val="00C26074"/>
    <w:rsid w:val="00C40662"/>
    <w:rsid w:val="00C44CD6"/>
    <w:rsid w:val="00C52C18"/>
    <w:rsid w:val="00C6753E"/>
    <w:rsid w:val="00C83B0A"/>
    <w:rsid w:val="00C90236"/>
    <w:rsid w:val="00C924E8"/>
    <w:rsid w:val="00CB2A9E"/>
    <w:rsid w:val="00CB331F"/>
    <w:rsid w:val="00CC137A"/>
    <w:rsid w:val="00CC25C2"/>
    <w:rsid w:val="00CC7172"/>
    <w:rsid w:val="00CE1E0C"/>
    <w:rsid w:val="00CE277E"/>
    <w:rsid w:val="00D206CD"/>
    <w:rsid w:val="00D50D7D"/>
    <w:rsid w:val="00D56867"/>
    <w:rsid w:val="00DE2075"/>
    <w:rsid w:val="00E02A7F"/>
    <w:rsid w:val="00E03582"/>
    <w:rsid w:val="00E07880"/>
    <w:rsid w:val="00E21E57"/>
    <w:rsid w:val="00E53438"/>
    <w:rsid w:val="00E82621"/>
    <w:rsid w:val="00ED4450"/>
    <w:rsid w:val="00ED5419"/>
    <w:rsid w:val="00F145FE"/>
    <w:rsid w:val="00F246FC"/>
    <w:rsid w:val="00F332B6"/>
    <w:rsid w:val="00F77C9A"/>
    <w:rsid w:val="00F86832"/>
    <w:rsid w:val="00FA4D3E"/>
    <w:rsid w:val="00FB576C"/>
    <w:rsid w:val="00FC75D0"/>
    <w:rsid w:val="00FD2AA6"/>
    <w:rsid w:val="00FE7E8A"/>
    <w:rsid w:val="00FF5DCC"/>
    <w:rsid w:val="09234C9E"/>
    <w:rsid w:val="0BF3562B"/>
    <w:rsid w:val="11473DDB"/>
    <w:rsid w:val="1A784B4A"/>
    <w:rsid w:val="1B9113EA"/>
    <w:rsid w:val="20033D27"/>
    <w:rsid w:val="22096B18"/>
    <w:rsid w:val="235009A2"/>
    <w:rsid w:val="24D91F15"/>
    <w:rsid w:val="28430F37"/>
    <w:rsid w:val="34D779A2"/>
    <w:rsid w:val="3DAB63D2"/>
    <w:rsid w:val="4DF07F98"/>
    <w:rsid w:val="50340321"/>
    <w:rsid w:val="575527A0"/>
    <w:rsid w:val="5C9A0DE7"/>
    <w:rsid w:val="620C0129"/>
    <w:rsid w:val="636B2161"/>
    <w:rsid w:val="64383040"/>
    <w:rsid w:val="7BEF7469"/>
    <w:rsid w:val="7EDB396C"/>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Indent"/>
    <w:basedOn w:val="1"/>
    <w:unhideWhenUsed/>
    <w:qFormat/>
    <w:uiPriority w:val="99"/>
    <w:pPr>
      <w:ind w:left="420" w:left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unhideWhenUsed/>
    <w:qFormat/>
    <w:uiPriority w:val="99"/>
    <w:pPr>
      <w:ind w:firstLine="420" w:firstLineChars="200"/>
    </w:pPr>
  </w:style>
  <w:style w:type="character" w:styleId="10">
    <w:name w:val="page number"/>
    <w:basedOn w:val="9"/>
    <w:qFormat/>
    <w:uiPriority w:val="0"/>
  </w:style>
  <w:style w:type="character" w:customStyle="1" w:styleId="11">
    <w:name w:val="页脚 Char"/>
    <w:basedOn w:val="9"/>
    <w:link w:val="5"/>
    <w:qFormat/>
    <w:uiPriority w:val="99"/>
    <w:rPr>
      <w:kern w:val="2"/>
      <w:sz w:val="18"/>
      <w:szCs w:val="18"/>
    </w:rPr>
  </w:style>
  <w:style w:type="character" w:customStyle="1" w:styleId="12">
    <w:name w:val="页眉 Char"/>
    <w:basedOn w:val="9"/>
    <w:link w:val="6"/>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批注框文本 Char"/>
    <w:basedOn w:val="9"/>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826</Words>
  <Characters>1010</Characters>
  <Lines>8</Lines>
  <Paragraphs>2</Paragraphs>
  <TotalTime>127</TotalTime>
  <ScaleCrop>false</ScaleCrop>
  <LinksUpToDate>false</LinksUpToDate>
  <CharactersWithSpaces>1033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2019-12-31T08:57:00Z</dcterms:created>
  <dc:creator>Legend User</dc:creator>
  <cp:lastModifiedBy>国家煤化工质检中心</cp:lastModifiedBy>
  <cp:lastPrinted>2022-02-24T00:43:00Z</cp:lastPrinted>
  <dcterms:modified xsi:type="dcterms:W3CDTF">2026-04-13T00:55:02Z</dcterms:modified>
  <dc:title>××产品质量监督抽查实施细则</dc:title>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A03D9F2AE0A947169B5B12712C7FBBB0</vt:lpwstr>
  </property>
  <property fmtid="{D5CDD505-2E9C-101B-9397-08002B2CF9AE}" pid="4" name="KSOTemplateDocerSaveRecord">
    <vt:lpwstr>eyJoZGlkIjoiYzUyNjhhNzAxNGQzZTVjZGI4OWNkMzdmNjE1MWFmMTEiLCJ1c2VySWQiOiI1NzEzMjEzNzgifQ==</vt:lpwstr>
  </property>
</Properties>
</file>