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73C40">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学生用品</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5B085CD1">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31769A5E">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0BA9EB2A">
      <w:pPr>
        <w:snapToGrid w:val="0"/>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以随机抽样的方式在被抽样生产者、销售者的待销产品中抽取。</w:t>
      </w:r>
    </w:p>
    <w:p w14:paraId="50E6DC71">
      <w:pPr>
        <w:snapToGrid w:val="0"/>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随机数一般可使用随机数表等方法产生。</w:t>
      </w:r>
    </w:p>
    <w:p w14:paraId="5E3A80AD">
      <w:pPr>
        <w:snapToGrid w:val="0"/>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auto"/>
          <w:sz w:val="21"/>
          <w:szCs w:val="21"/>
          <w:lang w:val="en-US" w:eastAsia="zh-CN"/>
        </w:rPr>
        <w:t>橡皮擦每批次抽取15个，其中10个用于检测，5个用于备样；</w:t>
      </w:r>
    </w:p>
    <w:p w14:paraId="01DE0DF6">
      <w:pPr>
        <w:snapToGrid w:val="0"/>
        <w:spacing w:line="44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修正液每批次抽取不低于15个，其中10个用于检测，5个用于备样；</w:t>
      </w:r>
    </w:p>
    <w:p w14:paraId="27ADC794">
      <w:pPr>
        <w:snapToGrid w:val="0"/>
        <w:spacing w:line="44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修正带每批次抽取不低于15个，其中10个用于检测，5个用于备样；</w:t>
      </w:r>
    </w:p>
    <w:p w14:paraId="3FCC28EF">
      <w:pPr>
        <w:snapToGrid w:val="0"/>
        <w:spacing w:line="440" w:lineRule="exact"/>
        <w:ind w:firstLine="420" w:firstLineChars="200"/>
        <w:rPr>
          <w:rFonts w:hint="eastAsia" w:ascii="宋体" w:hAnsi="宋体" w:eastAsia="宋体" w:cs="宋体"/>
          <w:color w:val="auto"/>
          <w:sz w:val="21"/>
          <w:szCs w:val="21"/>
          <w:lang w:val="en-US" w:eastAsia="zh-CN"/>
        </w:rPr>
      </w:pPr>
    </w:p>
    <w:p w14:paraId="2C32AC74">
      <w:pPr>
        <w:spacing w:line="440" w:lineRule="exact"/>
        <w:rPr>
          <w:rFonts w:hint="eastAsia" w:ascii="宋体" w:hAnsi="宋体" w:eastAsia="宋体" w:cs="宋体"/>
          <w:bCs/>
          <w:color w:val="auto"/>
          <w:szCs w:val="21"/>
          <w:highlight w:val="none"/>
        </w:rPr>
      </w:pPr>
      <w:r>
        <w:rPr>
          <w:rFonts w:hint="eastAsia" w:ascii="宋体" w:hAnsi="宋体" w:eastAsia="宋体" w:cs="宋体"/>
          <w:b/>
          <w:color w:val="000000" w:themeColor="text1"/>
          <w:szCs w:val="21"/>
          <w:highlight w:val="none"/>
          <w14:textFill>
            <w14:solidFill>
              <w14:schemeClr w14:val="tx1"/>
            </w14:solidFill>
          </w14:textFill>
        </w:rPr>
        <w:t>2、检验依据</w:t>
      </w:r>
    </w:p>
    <w:p w14:paraId="49E19DE0">
      <w:pPr>
        <w:snapToGrid w:val="0"/>
        <w:spacing w:line="44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表1 橡皮擦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3499"/>
        <w:gridCol w:w="3419"/>
      </w:tblGrid>
      <w:tr w14:paraId="67A9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241" w:type="dxa"/>
            <w:noWrap w:val="0"/>
            <w:vAlign w:val="center"/>
          </w:tcPr>
          <w:p w14:paraId="7AED65AE">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499" w:type="dxa"/>
            <w:noWrap w:val="0"/>
            <w:vAlign w:val="center"/>
          </w:tcPr>
          <w:p w14:paraId="252BA67D">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检验项目</w:t>
            </w:r>
          </w:p>
        </w:tc>
        <w:tc>
          <w:tcPr>
            <w:tcW w:w="3419" w:type="dxa"/>
            <w:noWrap w:val="0"/>
            <w:vAlign w:val="center"/>
          </w:tcPr>
          <w:p w14:paraId="39F28024">
            <w:pPr>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检验方法</w:t>
            </w:r>
          </w:p>
        </w:tc>
      </w:tr>
      <w:tr w14:paraId="7DC4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4AF4D0AF">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p>
        </w:tc>
        <w:tc>
          <w:tcPr>
            <w:tcW w:w="3499" w:type="dxa"/>
            <w:noWrap w:val="0"/>
            <w:vAlign w:val="center"/>
          </w:tcPr>
          <w:p w14:paraId="11D9F0D8">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b w:val="0"/>
                <w:bCs w:val="0"/>
                <w:i w:val="0"/>
                <w:iCs w:val="0"/>
                <w:color w:val="auto"/>
                <w:kern w:val="0"/>
                <w:sz w:val="21"/>
                <w:szCs w:val="21"/>
                <w:u w:val="none"/>
                <w:lang w:val="en-US" w:eastAsia="zh-CN" w:bidi="ar"/>
              </w:rPr>
              <w:t>外观</w:t>
            </w:r>
          </w:p>
        </w:tc>
        <w:tc>
          <w:tcPr>
            <w:tcW w:w="3419" w:type="dxa"/>
            <w:vMerge w:val="restart"/>
            <w:noWrap w:val="0"/>
            <w:vAlign w:val="center"/>
          </w:tcPr>
          <w:p w14:paraId="79FC7B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color w:val="auto"/>
                <w:sz w:val="21"/>
                <w:szCs w:val="21"/>
              </w:rPr>
            </w:pPr>
            <w:r>
              <w:rPr>
                <w:rFonts w:hint="eastAsia" w:ascii="宋体" w:hAnsi="宋体" w:eastAsia="宋体" w:cs="宋体"/>
                <w:i w:val="0"/>
                <w:color w:val="auto"/>
                <w:kern w:val="0"/>
                <w:sz w:val="21"/>
                <w:szCs w:val="21"/>
                <w:highlight w:val="none"/>
                <w:u w:val="none"/>
                <w:lang w:val="en-US" w:eastAsia="zh-CN" w:bidi="ar"/>
              </w:rPr>
              <w:t>QB/T 2309-2020</w:t>
            </w:r>
          </w:p>
        </w:tc>
      </w:tr>
      <w:tr w14:paraId="702B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2FEE4E14">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3499" w:type="dxa"/>
            <w:noWrap w:val="0"/>
            <w:vAlign w:val="center"/>
          </w:tcPr>
          <w:p w14:paraId="0EF39424">
            <w:pPr>
              <w:snapToGrid w:val="0"/>
              <w:spacing w:line="320" w:lineRule="exact"/>
              <w:jc w:val="center"/>
              <w:rPr>
                <w:rFonts w:hint="eastAsia" w:ascii="宋体" w:hAnsi="宋体" w:eastAsia="宋体" w:cs="宋体"/>
                <w:color w:val="auto"/>
                <w:kern w:val="1"/>
                <w:sz w:val="21"/>
                <w:szCs w:val="21"/>
                <w:highlight w:val="none"/>
                <w:lang w:val="en-US" w:eastAsia="zh-CN" w:bidi="ar-SA"/>
              </w:rPr>
            </w:pPr>
            <w:r>
              <w:rPr>
                <w:rFonts w:hint="eastAsia" w:ascii="宋体" w:hAnsi="宋体" w:eastAsia="宋体" w:cs="宋体"/>
                <w:color w:val="auto"/>
                <w:kern w:val="1"/>
                <w:sz w:val="21"/>
                <w:szCs w:val="21"/>
                <w:highlight w:val="none"/>
                <w:lang w:val="en-US" w:eastAsia="zh-CN" w:bidi="ar-SA"/>
              </w:rPr>
              <w:t>造型产品的安全要求</w:t>
            </w:r>
          </w:p>
        </w:tc>
        <w:tc>
          <w:tcPr>
            <w:tcW w:w="3419" w:type="dxa"/>
            <w:vMerge w:val="continue"/>
            <w:noWrap w:val="0"/>
            <w:vAlign w:val="center"/>
          </w:tcPr>
          <w:p w14:paraId="46831E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51BC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6C4A22BA">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p>
        </w:tc>
        <w:tc>
          <w:tcPr>
            <w:tcW w:w="3499" w:type="dxa"/>
            <w:noWrap w:val="0"/>
            <w:vAlign w:val="center"/>
          </w:tcPr>
          <w:p w14:paraId="5CAFB13F">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highlight w:val="none"/>
                <w:u w:val="none"/>
                <w:lang w:val="en-US" w:eastAsia="zh-CN" w:bidi="ar"/>
              </w:rPr>
              <w:t>硬度</w:t>
            </w:r>
          </w:p>
        </w:tc>
        <w:tc>
          <w:tcPr>
            <w:tcW w:w="3419" w:type="dxa"/>
            <w:vMerge w:val="continue"/>
            <w:noWrap w:val="0"/>
            <w:vAlign w:val="center"/>
          </w:tcPr>
          <w:p w14:paraId="32079873">
            <w:pPr>
              <w:snapToGrid w:val="0"/>
              <w:spacing w:line="320" w:lineRule="exact"/>
              <w:jc w:val="center"/>
              <w:rPr>
                <w:rFonts w:hint="eastAsia" w:ascii="宋体" w:hAnsi="宋体" w:eastAsia="宋体" w:cs="宋体"/>
                <w:color w:val="auto"/>
                <w:sz w:val="21"/>
                <w:szCs w:val="21"/>
              </w:rPr>
            </w:pPr>
          </w:p>
        </w:tc>
      </w:tr>
      <w:tr w14:paraId="2E4A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0E395466">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3499" w:type="dxa"/>
            <w:shd w:val="clear" w:color="auto" w:fill="auto"/>
            <w:noWrap w:val="0"/>
            <w:vAlign w:val="center"/>
          </w:tcPr>
          <w:p w14:paraId="5B21225D">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1"/>
                <w:sz w:val="21"/>
                <w:szCs w:val="21"/>
              </w:rPr>
              <w:t>标志标识</w:t>
            </w:r>
          </w:p>
        </w:tc>
        <w:tc>
          <w:tcPr>
            <w:tcW w:w="3419" w:type="dxa"/>
            <w:shd w:val="clear" w:color="auto" w:fill="auto"/>
            <w:noWrap w:val="0"/>
            <w:vAlign w:val="center"/>
          </w:tcPr>
          <w:p w14:paraId="6E090DAC">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highlight w:val="none"/>
              </w:rPr>
              <w:t>GB 21027-2020</w:t>
            </w:r>
          </w:p>
        </w:tc>
      </w:tr>
      <w:tr w14:paraId="25D5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0D938BC9">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3499" w:type="dxa"/>
            <w:shd w:val="clear" w:color="auto" w:fill="auto"/>
            <w:noWrap w:val="0"/>
            <w:vAlign w:val="center"/>
          </w:tcPr>
          <w:p w14:paraId="6490702F">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可迁移元素的最大限量(锑</w:t>
            </w:r>
            <w:r>
              <w:rPr>
                <w:rFonts w:hint="eastAsia" w:ascii="宋体" w:hAnsi="宋体" w:eastAsia="宋体" w:cs="宋体"/>
                <w:color w:val="auto"/>
                <w:sz w:val="21"/>
                <w:szCs w:val="21"/>
                <w:lang w:val="en-US" w:eastAsia="zh-CN"/>
              </w:rPr>
              <w:t>Sb</w:t>
            </w:r>
            <w:r>
              <w:rPr>
                <w:rFonts w:hint="eastAsia" w:ascii="宋体" w:hAnsi="宋体" w:eastAsia="宋体" w:cs="宋体"/>
                <w:color w:val="auto"/>
                <w:sz w:val="21"/>
                <w:szCs w:val="21"/>
              </w:rPr>
              <w:t>、砷</w:t>
            </w:r>
            <w:r>
              <w:rPr>
                <w:rFonts w:hint="eastAsia" w:ascii="宋体" w:hAnsi="宋体" w:eastAsia="宋体" w:cs="宋体"/>
                <w:color w:val="auto"/>
                <w:sz w:val="21"/>
                <w:szCs w:val="21"/>
                <w:lang w:val="en-US" w:eastAsia="zh-CN"/>
              </w:rPr>
              <w:t>As</w:t>
            </w:r>
            <w:r>
              <w:rPr>
                <w:rFonts w:hint="eastAsia" w:ascii="宋体" w:hAnsi="宋体" w:eastAsia="宋体" w:cs="宋体"/>
                <w:color w:val="auto"/>
                <w:sz w:val="21"/>
                <w:szCs w:val="21"/>
              </w:rPr>
              <w:t>、钡</w:t>
            </w:r>
            <w:r>
              <w:rPr>
                <w:rFonts w:hint="eastAsia" w:ascii="宋体" w:hAnsi="宋体" w:eastAsia="宋体" w:cs="宋体"/>
                <w:color w:val="auto"/>
                <w:sz w:val="21"/>
                <w:szCs w:val="21"/>
                <w:lang w:val="en-US" w:eastAsia="zh-CN"/>
              </w:rPr>
              <w:t>Ba</w:t>
            </w:r>
            <w:r>
              <w:rPr>
                <w:rFonts w:hint="eastAsia" w:ascii="宋体" w:hAnsi="宋体" w:eastAsia="宋体" w:cs="宋体"/>
                <w:color w:val="auto"/>
                <w:sz w:val="21"/>
                <w:szCs w:val="21"/>
              </w:rPr>
              <w:t>、镉</w:t>
            </w:r>
            <w:r>
              <w:rPr>
                <w:rFonts w:hint="eastAsia" w:ascii="宋体" w:hAnsi="宋体" w:eastAsia="宋体" w:cs="宋体"/>
                <w:color w:val="auto"/>
                <w:sz w:val="21"/>
                <w:szCs w:val="21"/>
                <w:lang w:val="en-US" w:eastAsia="zh-CN"/>
              </w:rPr>
              <w:t>Cd</w:t>
            </w:r>
            <w:r>
              <w:rPr>
                <w:rFonts w:hint="eastAsia" w:ascii="宋体" w:hAnsi="宋体" w:eastAsia="宋体" w:cs="宋体"/>
                <w:color w:val="auto"/>
                <w:sz w:val="21"/>
                <w:szCs w:val="21"/>
              </w:rPr>
              <w:t>、铅</w:t>
            </w:r>
            <w:r>
              <w:rPr>
                <w:rFonts w:hint="eastAsia" w:ascii="宋体" w:hAnsi="宋体" w:eastAsia="宋体" w:cs="宋体"/>
                <w:color w:val="auto"/>
                <w:sz w:val="21"/>
                <w:szCs w:val="21"/>
                <w:lang w:val="en-US" w:eastAsia="zh-CN"/>
              </w:rPr>
              <w:t>Pb</w:t>
            </w:r>
            <w:r>
              <w:rPr>
                <w:rFonts w:hint="eastAsia" w:ascii="宋体" w:hAnsi="宋体" w:eastAsia="宋体" w:cs="宋体"/>
                <w:color w:val="auto"/>
                <w:sz w:val="21"/>
                <w:szCs w:val="21"/>
              </w:rPr>
              <w:t>、铬</w:t>
            </w:r>
            <w:r>
              <w:rPr>
                <w:rFonts w:hint="eastAsia" w:ascii="宋体" w:hAnsi="宋体" w:eastAsia="宋体" w:cs="宋体"/>
                <w:color w:val="auto"/>
                <w:sz w:val="21"/>
                <w:szCs w:val="21"/>
                <w:lang w:val="en-US" w:eastAsia="zh-CN"/>
              </w:rPr>
              <w:t>Cr</w:t>
            </w:r>
            <w:r>
              <w:rPr>
                <w:rFonts w:hint="eastAsia" w:ascii="宋体" w:hAnsi="宋体" w:eastAsia="宋体" w:cs="宋体"/>
                <w:color w:val="auto"/>
                <w:sz w:val="21"/>
                <w:szCs w:val="21"/>
              </w:rPr>
              <w:t>、汞</w:t>
            </w:r>
            <w:r>
              <w:rPr>
                <w:rFonts w:hint="eastAsia" w:ascii="宋体" w:hAnsi="宋体" w:eastAsia="宋体" w:cs="宋体"/>
                <w:color w:val="auto"/>
                <w:sz w:val="21"/>
                <w:szCs w:val="21"/>
                <w:lang w:val="en-US" w:eastAsia="zh-CN"/>
              </w:rPr>
              <w:t>Hg</w:t>
            </w:r>
            <w:r>
              <w:rPr>
                <w:rFonts w:hint="eastAsia" w:ascii="宋体" w:hAnsi="宋体" w:eastAsia="宋体" w:cs="宋体"/>
                <w:color w:val="auto"/>
                <w:sz w:val="21"/>
                <w:szCs w:val="21"/>
              </w:rPr>
              <w:t>、硒</w:t>
            </w:r>
            <w:r>
              <w:rPr>
                <w:rFonts w:hint="eastAsia" w:ascii="宋体" w:hAnsi="宋体" w:eastAsia="宋体" w:cs="宋体"/>
                <w:color w:val="auto"/>
                <w:sz w:val="21"/>
                <w:szCs w:val="21"/>
                <w:lang w:val="en-US" w:eastAsia="zh-CN"/>
              </w:rPr>
              <w:t>Se</w:t>
            </w:r>
            <w:r>
              <w:rPr>
                <w:rFonts w:hint="eastAsia" w:ascii="宋体" w:hAnsi="宋体" w:eastAsia="宋体" w:cs="宋体"/>
                <w:color w:val="auto"/>
                <w:sz w:val="21"/>
                <w:szCs w:val="21"/>
              </w:rPr>
              <w:t>）</w:t>
            </w:r>
          </w:p>
        </w:tc>
        <w:tc>
          <w:tcPr>
            <w:tcW w:w="3419" w:type="dxa"/>
            <w:shd w:val="clear" w:color="auto" w:fill="auto"/>
            <w:noWrap w:val="0"/>
            <w:vAlign w:val="center"/>
          </w:tcPr>
          <w:p w14:paraId="16C6F688">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 6675.4-2014</w:t>
            </w:r>
          </w:p>
        </w:tc>
      </w:tr>
    </w:tbl>
    <w:p w14:paraId="6B9638E9">
      <w:pPr>
        <w:snapToGrid w:val="0"/>
        <w:spacing w:line="44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表2 </w:t>
      </w:r>
      <w:r>
        <w:rPr>
          <w:rFonts w:hint="eastAsia" w:ascii="宋体" w:hAnsi="宋体" w:eastAsia="宋体" w:cs="宋体"/>
          <w:i w:val="0"/>
          <w:iCs w:val="0"/>
          <w:color w:val="auto"/>
          <w:kern w:val="0"/>
          <w:sz w:val="21"/>
          <w:szCs w:val="21"/>
          <w:u w:val="none"/>
          <w:lang w:val="en-US" w:eastAsia="zh-CN" w:bidi="ar"/>
        </w:rPr>
        <w:t>修正液</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3499"/>
        <w:gridCol w:w="3419"/>
      </w:tblGrid>
      <w:tr w14:paraId="16A1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1" w:type="dxa"/>
            <w:noWrap w:val="0"/>
            <w:vAlign w:val="center"/>
          </w:tcPr>
          <w:p w14:paraId="5A769210">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499" w:type="dxa"/>
            <w:noWrap w:val="0"/>
            <w:vAlign w:val="center"/>
          </w:tcPr>
          <w:p w14:paraId="7F16902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检验项目</w:t>
            </w:r>
          </w:p>
        </w:tc>
        <w:tc>
          <w:tcPr>
            <w:tcW w:w="3419" w:type="dxa"/>
            <w:noWrap w:val="0"/>
            <w:vAlign w:val="center"/>
          </w:tcPr>
          <w:p w14:paraId="13C9BE2B">
            <w:pPr>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检验方法</w:t>
            </w:r>
          </w:p>
        </w:tc>
      </w:tr>
      <w:tr w14:paraId="30D4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7A54B687">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3499" w:type="dxa"/>
            <w:shd w:val="clear" w:color="auto" w:fill="auto"/>
            <w:noWrap w:val="0"/>
            <w:vAlign w:val="center"/>
          </w:tcPr>
          <w:p w14:paraId="517AB0F0">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涂后的干燥程度</w:t>
            </w:r>
          </w:p>
        </w:tc>
        <w:tc>
          <w:tcPr>
            <w:tcW w:w="3419" w:type="dxa"/>
            <w:shd w:val="clear" w:color="auto" w:fill="auto"/>
            <w:noWrap w:val="0"/>
            <w:vAlign w:val="center"/>
          </w:tcPr>
          <w:p w14:paraId="0F5FCA9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r w14:paraId="385F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49CA73C9">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3499" w:type="dxa"/>
            <w:shd w:val="clear" w:color="auto" w:fill="auto"/>
            <w:noWrap w:val="0"/>
            <w:vAlign w:val="center"/>
          </w:tcPr>
          <w:p w14:paraId="0708DAB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涂膜强度</w:t>
            </w:r>
          </w:p>
        </w:tc>
        <w:tc>
          <w:tcPr>
            <w:tcW w:w="3419" w:type="dxa"/>
            <w:shd w:val="clear" w:color="auto" w:fill="auto"/>
            <w:noWrap w:val="0"/>
            <w:vAlign w:val="center"/>
          </w:tcPr>
          <w:p w14:paraId="650922E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r w14:paraId="63AE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404141CD">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3499" w:type="dxa"/>
            <w:shd w:val="clear" w:color="auto" w:fill="auto"/>
            <w:noWrap w:val="0"/>
            <w:vAlign w:val="center"/>
          </w:tcPr>
          <w:p w14:paraId="59AC78A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再次书写的可能性</w:t>
            </w:r>
          </w:p>
        </w:tc>
        <w:tc>
          <w:tcPr>
            <w:tcW w:w="3419" w:type="dxa"/>
            <w:shd w:val="clear" w:color="auto" w:fill="auto"/>
            <w:noWrap w:val="0"/>
            <w:vAlign w:val="center"/>
          </w:tcPr>
          <w:p w14:paraId="54725FBA">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r w14:paraId="05C41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1C5A0E91">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3499" w:type="dxa"/>
            <w:shd w:val="clear" w:color="auto" w:fill="auto"/>
            <w:noWrap w:val="0"/>
            <w:vAlign w:val="center"/>
          </w:tcPr>
          <w:p w14:paraId="7E9FC7C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覆盖能力</w:t>
            </w:r>
          </w:p>
        </w:tc>
        <w:tc>
          <w:tcPr>
            <w:tcW w:w="3419" w:type="dxa"/>
            <w:shd w:val="clear" w:color="auto" w:fill="auto"/>
            <w:noWrap w:val="0"/>
            <w:vAlign w:val="center"/>
          </w:tcPr>
          <w:p w14:paraId="5655F92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r w14:paraId="6F88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241" w:type="dxa"/>
            <w:noWrap w:val="0"/>
            <w:vAlign w:val="center"/>
          </w:tcPr>
          <w:p w14:paraId="7E311E13">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3499" w:type="dxa"/>
            <w:shd w:val="clear" w:color="auto" w:fill="auto"/>
            <w:noWrap w:val="0"/>
            <w:vAlign w:val="center"/>
          </w:tcPr>
          <w:p w14:paraId="70880CD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附着力</w:t>
            </w:r>
          </w:p>
        </w:tc>
        <w:tc>
          <w:tcPr>
            <w:tcW w:w="3419" w:type="dxa"/>
            <w:shd w:val="clear" w:color="auto" w:fill="auto"/>
            <w:noWrap w:val="0"/>
            <w:vAlign w:val="center"/>
          </w:tcPr>
          <w:p w14:paraId="53FE8AF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r w14:paraId="69DB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0943A62A">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3499" w:type="dxa"/>
            <w:shd w:val="clear" w:color="auto" w:fill="auto"/>
            <w:noWrap w:val="0"/>
            <w:vAlign w:val="center"/>
          </w:tcPr>
          <w:p w14:paraId="169423E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耐温性</w:t>
            </w:r>
          </w:p>
        </w:tc>
        <w:tc>
          <w:tcPr>
            <w:tcW w:w="3419" w:type="dxa"/>
            <w:shd w:val="clear" w:color="auto" w:fill="auto"/>
            <w:noWrap w:val="0"/>
            <w:vAlign w:val="center"/>
          </w:tcPr>
          <w:p w14:paraId="7B9C83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r w14:paraId="27C5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2F8A1C8D">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3499" w:type="dxa"/>
            <w:shd w:val="clear" w:color="auto" w:fill="auto"/>
            <w:noWrap w:val="0"/>
            <w:vAlign w:val="center"/>
          </w:tcPr>
          <w:p w14:paraId="075E2D1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外观</w:t>
            </w:r>
          </w:p>
        </w:tc>
        <w:tc>
          <w:tcPr>
            <w:tcW w:w="3419" w:type="dxa"/>
            <w:shd w:val="clear" w:color="auto" w:fill="auto"/>
            <w:noWrap w:val="0"/>
            <w:vAlign w:val="center"/>
          </w:tcPr>
          <w:p w14:paraId="6CA54A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r w14:paraId="41A9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35E44136">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3499" w:type="dxa"/>
            <w:shd w:val="clear" w:color="auto" w:fill="auto"/>
            <w:noWrap w:val="0"/>
            <w:vAlign w:val="center"/>
          </w:tcPr>
          <w:p w14:paraId="3525BAF7">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可迁移元素的最大限量(锑</w:t>
            </w:r>
            <w:r>
              <w:rPr>
                <w:rFonts w:hint="eastAsia" w:ascii="宋体" w:hAnsi="宋体" w:eastAsia="宋体" w:cs="宋体"/>
                <w:color w:val="auto"/>
                <w:sz w:val="21"/>
                <w:szCs w:val="21"/>
                <w:lang w:val="en-US" w:eastAsia="zh-CN"/>
              </w:rPr>
              <w:t>Sb</w:t>
            </w:r>
            <w:r>
              <w:rPr>
                <w:rFonts w:hint="eastAsia" w:ascii="宋体" w:hAnsi="宋体" w:eastAsia="宋体" w:cs="宋体"/>
                <w:color w:val="auto"/>
                <w:sz w:val="21"/>
                <w:szCs w:val="21"/>
              </w:rPr>
              <w:t>、砷</w:t>
            </w:r>
            <w:r>
              <w:rPr>
                <w:rFonts w:hint="eastAsia" w:ascii="宋体" w:hAnsi="宋体" w:eastAsia="宋体" w:cs="宋体"/>
                <w:color w:val="auto"/>
                <w:sz w:val="21"/>
                <w:szCs w:val="21"/>
                <w:lang w:val="en-US" w:eastAsia="zh-CN"/>
              </w:rPr>
              <w:t>As</w:t>
            </w:r>
            <w:r>
              <w:rPr>
                <w:rFonts w:hint="eastAsia" w:ascii="宋体" w:hAnsi="宋体" w:eastAsia="宋体" w:cs="宋体"/>
                <w:color w:val="auto"/>
                <w:sz w:val="21"/>
                <w:szCs w:val="21"/>
              </w:rPr>
              <w:t>、钡</w:t>
            </w:r>
            <w:r>
              <w:rPr>
                <w:rFonts w:hint="eastAsia" w:ascii="宋体" w:hAnsi="宋体" w:eastAsia="宋体" w:cs="宋体"/>
                <w:color w:val="auto"/>
                <w:sz w:val="21"/>
                <w:szCs w:val="21"/>
                <w:lang w:val="en-US" w:eastAsia="zh-CN"/>
              </w:rPr>
              <w:t>Ba</w:t>
            </w:r>
            <w:r>
              <w:rPr>
                <w:rFonts w:hint="eastAsia" w:ascii="宋体" w:hAnsi="宋体" w:eastAsia="宋体" w:cs="宋体"/>
                <w:color w:val="auto"/>
                <w:sz w:val="21"/>
                <w:szCs w:val="21"/>
              </w:rPr>
              <w:t>、镉</w:t>
            </w:r>
            <w:r>
              <w:rPr>
                <w:rFonts w:hint="eastAsia" w:ascii="宋体" w:hAnsi="宋体" w:eastAsia="宋体" w:cs="宋体"/>
                <w:color w:val="auto"/>
                <w:sz w:val="21"/>
                <w:szCs w:val="21"/>
                <w:lang w:val="en-US" w:eastAsia="zh-CN"/>
              </w:rPr>
              <w:t>Cd</w:t>
            </w:r>
            <w:r>
              <w:rPr>
                <w:rFonts w:hint="eastAsia" w:ascii="宋体" w:hAnsi="宋体" w:eastAsia="宋体" w:cs="宋体"/>
                <w:color w:val="auto"/>
                <w:sz w:val="21"/>
                <w:szCs w:val="21"/>
              </w:rPr>
              <w:t>、铅</w:t>
            </w:r>
            <w:r>
              <w:rPr>
                <w:rFonts w:hint="eastAsia" w:ascii="宋体" w:hAnsi="宋体" w:eastAsia="宋体" w:cs="宋体"/>
                <w:color w:val="auto"/>
                <w:sz w:val="21"/>
                <w:szCs w:val="21"/>
                <w:lang w:val="en-US" w:eastAsia="zh-CN"/>
              </w:rPr>
              <w:t>Pb</w:t>
            </w:r>
            <w:r>
              <w:rPr>
                <w:rFonts w:hint="eastAsia" w:ascii="宋体" w:hAnsi="宋体" w:eastAsia="宋体" w:cs="宋体"/>
                <w:color w:val="auto"/>
                <w:sz w:val="21"/>
                <w:szCs w:val="21"/>
              </w:rPr>
              <w:t>、铬</w:t>
            </w:r>
            <w:r>
              <w:rPr>
                <w:rFonts w:hint="eastAsia" w:ascii="宋体" w:hAnsi="宋体" w:eastAsia="宋体" w:cs="宋体"/>
                <w:color w:val="auto"/>
                <w:sz w:val="21"/>
                <w:szCs w:val="21"/>
                <w:lang w:val="en-US" w:eastAsia="zh-CN"/>
              </w:rPr>
              <w:t>Cr</w:t>
            </w:r>
            <w:r>
              <w:rPr>
                <w:rFonts w:hint="eastAsia" w:ascii="宋体" w:hAnsi="宋体" w:eastAsia="宋体" w:cs="宋体"/>
                <w:color w:val="auto"/>
                <w:sz w:val="21"/>
                <w:szCs w:val="21"/>
              </w:rPr>
              <w:t>、汞</w:t>
            </w:r>
            <w:r>
              <w:rPr>
                <w:rFonts w:hint="eastAsia" w:ascii="宋体" w:hAnsi="宋体" w:eastAsia="宋体" w:cs="宋体"/>
                <w:color w:val="auto"/>
                <w:sz w:val="21"/>
                <w:szCs w:val="21"/>
                <w:lang w:val="en-US" w:eastAsia="zh-CN"/>
              </w:rPr>
              <w:t>Hg</w:t>
            </w:r>
            <w:r>
              <w:rPr>
                <w:rFonts w:hint="eastAsia" w:ascii="宋体" w:hAnsi="宋体" w:eastAsia="宋体" w:cs="宋体"/>
                <w:color w:val="auto"/>
                <w:sz w:val="21"/>
                <w:szCs w:val="21"/>
              </w:rPr>
              <w:t>、硒</w:t>
            </w:r>
            <w:r>
              <w:rPr>
                <w:rFonts w:hint="eastAsia" w:ascii="宋体" w:hAnsi="宋体" w:eastAsia="宋体" w:cs="宋体"/>
                <w:color w:val="auto"/>
                <w:sz w:val="21"/>
                <w:szCs w:val="21"/>
                <w:lang w:val="en-US" w:eastAsia="zh-CN"/>
              </w:rPr>
              <w:t>Se</w:t>
            </w:r>
            <w:r>
              <w:rPr>
                <w:rFonts w:hint="eastAsia" w:ascii="宋体" w:hAnsi="宋体" w:eastAsia="宋体" w:cs="宋体"/>
                <w:color w:val="auto"/>
                <w:sz w:val="21"/>
                <w:szCs w:val="21"/>
              </w:rPr>
              <w:t>）</w:t>
            </w:r>
          </w:p>
        </w:tc>
        <w:tc>
          <w:tcPr>
            <w:tcW w:w="3419" w:type="dxa"/>
            <w:shd w:val="clear" w:color="auto" w:fill="auto"/>
            <w:noWrap w:val="0"/>
            <w:vAlign w:val="center"/>
          </w:tcPr>
          <w:p w14:paraId="3101831E">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 6675.4-2014</w:t>
            </w:r>
          </w:p>
        </w:tc>
      </w:tr>
      <w:tr w14:paraId="74F8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2A248CED">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3499" w:type="dxa"/>
            <w:shd w:val="clear" w:color="auto" w:fill="auto"/>
            <w:noWrap w:val="0"/>
            <w:vAlign w:val="center"/>
          </w:tcPr>
          <w:p w14:paraId="355FE665">
            <w:pPr>
              <w:jc w:val="center"/>
              <w:rPr>
                <w:rFonts w:hint="eastAsia" w:ascii="宋体" w:hAnsi="宋体" w:eastAsia="宋体" w:cstheme="minorBidi"/>
                <w:color w:val="auto"/>
                <w:kern w:val="2"/>
                <w:sz w:val="18"/>
                <w:szCs w:val="21"/>
                <w:lang w:val="en-US" w:eastAsia="zh-CN" w:bidi="ar-SA"/>
              </w:rPr>
            </w:pPr>
            <w:r>
              <w:rPr>
                <w:rFonts w:hint="eastAsia" w:ascii="宋体" w:hAnsi="宋体" w:eastAsia="宋体" w:cs="宋体"/>
                <w:color w:val="auto"/>
                <w:kern w:val="1"/>
                <w:sz w:val="21"/>
                <w:szCs w:val="21"/>
              </w:rPr>
              <w:t>标志</w:t>
            </w:r>
          </w:p>
        </w:tc>
        <w:tc>
          <w:tcPr>
            <w:tcW w:w="3419" w:type="dxa"/>
            <w:shd w:val="clear" w:color="auto" w:fill="auto"/>
            <w:noWrap w:val="0"/>
            <w:vAlign w:val="center"/>
          </w:tcPr>
          <w:p w14:paraId="2AA921E5">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QB/T 2655-2020</w:t>
            </w:r>
          </w:p>
        </w:tc>
      </w:tr>
    </w:tbl>
    <w:p w14:paraId="5A1301C6">
      <w:pPr>
        <w:snapToGrid w:val="0"/>
        <w:spacing w:line="440" w:lineRule="exact"/>
        <w:ind w:firstLine="420" w:firstLineChars="200"/>
        <w:jc w:val="center"/>
        <w:rPr>
          <w:rFonts w:hint="eastAsia" w:ascii="宋体" w:hAnsi="宋体" w:eastAsia="宋体" w:cs="宋体"/>
          <w:color w:val="auto"/>
          <w:sz w:val="21"/>
          <w:szCs w:val="21"/>
          <w:lang w:val="en-US" w:eastAsia="zh-CN"/>
        </w:rPr>
      </w:pPr>
    </w:p>
    <w:p w14:paraId="2C2C5DA6">
      <w:pPr>
        <w:snapToGrid w:val="0"/>
        <w:spacing w:line="440" w:lineRule="exact"/>
        <w:ind w:firstLine="420" w:firstLineChars="20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表3 </w:t>
      </w:r>
      <w:r>
        <w:rPr>
          <w:rFonts w:hint="eastAsia" w:ascii="宋体" w:hAnsi="宋体" w:eastAsia="宋体" w:cs="宋体"/>
          <w:i w:val="0"/>
          <w:iCs w:val="0"/>
          <w:color w:val="auto"/>
          <w:kern w:val="0"/>
          <w:sz w:val="21"/>
          <w:szCs w:val="21"/>
          <w:u w:val="none"/>
          <w:lang w:val="en-US" w:eastAsia="zh-CN" w:bidi="ar"/>
        </w:rPr>
        <w:t>修正带</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79AC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62D7EF71">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Merge w:val="restart"/>
            <w:vAlign w:val="center"/>
          </w:tcPr>
          <w:p w14:paraId="06DE6352">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Merge w:val="restart"/>
            <w:vAlign w:val="center"/>
          </w:tcPr>
          <w:p w14:paraId="2C92FADD">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1B85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1F32C780">
            <w:pPr>
              <w:bidi w:val="0"/>
              <w:jc w:val="center"/>
              <w:rPr>
                <w:rFonts w:hint="eastAsia" w:ascii="宋体" w:hAnsi="宋体" w:eastAsia="宋体" w:cs="宋体"/>
                <w:b/>
                <w:bCs/>
                <w:sz w:val="24"/>
                <w:szCs w:val="32"/>
              </w:rPr>
            </w:pPr>
          </w:p>
        </w:tc>
        <w:tc>
          <w:tcPr>
            <w:tcW w:w="3526" w:type="dxa"/>
            <w:vMerge w:val="continue"/>
            <w:vAlign w:val="center"/>
          </w:tcPr>
          <w:p w14:paraId="2DADBC85">
            <w:pPr>
              <w:bidi w:val="0"/>
              <w:jc w:val="center"/>
              <w:rPr>
                <w:rFonts w:hint="eastAsia" w:ascii="宋体" w:hAnsi="宋体" w:eastAsia="宋体" w:cs="宋体"/>
                <w:b/>
                <w:bCs/>
                <w:sz w:val="24"/>
                <w:szCs w:val="32"/>
              </w:rPr>
            </w:pPr>
          </w:p>
        </w:tc>
        <w:tc>
          <w:tcPr>
            <w:tcW w:w="4051" w:type="dxa"/>
            <w:vMerge w:val="continue"/>
            <w:vAlign w:val="center"/>
          </w:tcPr>
          <w:p w14:paraId="055F5608">
            <w:pPr>
              <w:bidi w:val="0"/>
              <w:jc w:val="center"/>
              <w:rPr>
                <w:rFonts w:hint="eastAsia" w:ascii="宋体" w:hAnsi="宋体" w:eastAsia="宋体" w:cs="宋体"/>
                <w:b/>
                <w:bCs/>
                <w:sz w:val="24"/>
                <w:szCs w:val="32"/>
              </w:rPr>
            </w:pPr>
          </w:p>
        </w:tc>
      </w:tr>
      <w:tr w14:paraId="6B2F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ACDD2F4">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1</w:t>
            </w:r>
          </w:p>
        </w:tc>
        <w:tc>
          <w:tcPr>
            <w:tcW w:w="3526" w:type="dxa"/>
            <w:vAlign w:val="center"/>
          </w:tcPr>
          <w:p w14:paraId="0BB56233">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外观</w:t>
            </w:r>
          </w:p>
        </w:tc>
        <w:tc>
          <w:tcPr>
            <w:tcW w:w="4051" w:type="dxa"/>
            <w:vAlign w:val="center"/>
          </w:tcPr>
          <w:p w14:paraId="305344A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4154-2010</w:t>
            </w:r>
          </w:p>
        </w:tc>
      </w:tr>
      <w:tr w14:paraId="6AB5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5FAD89D">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2</w:t>
            </w:r>
          </w:p>
        </w:tc>
        <w:tc>
          <w:tcPr>
            <w:tcW w:w="3526" w:type="dxa"/>
            <w:vAlign w:val="center"/>
          </w:tcPr>
          <w:p w14:paraId="1BADAEB6">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尺寸（长度）</w:t>
            </w:r>
          </w:p>
        </w:tc>
        <w:tc>
          <w:tcPr>
            <w:tcW w:w="4051" w:type="dxa"/>
            <w:vAlign w:val="center"/>
          </w:tcPr>
          <w:p w14:paraId="4386868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4154-2010</w:t>
            </w:r>
          </w:p>
        </w:tc>
      </w:tr>
      <w:tr w14:paraId="1D70D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A8F34E8">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3</w:t>
            </w:r>
          </w:p>
        </w:tc>
        <w:tc>
          <w:tcPr>
            <w:tcW w:w="3526" w:type="dxa"/>
            <w:vAlign w:val="center"/>
          </w:tcPr>
          <w:p w14:paraId="1BA4AA57">
            <w:pPr>
              <w:bidi w:val="0"/>
              <w:jc w:val="center"/>
              <w:rPr>
                <w:rFonts w:hint="eastAsia" w:ascii="宋体" w:hAnsi="宋体" w:eastAsia="宋体" w:cs="宋体"/>
                <w:color w:val="auto"/>
                <w:sz w:val="21"/>
                <w:szCs w:val="21"/>
                <w:shd w:val="clear" w:color="auto" w:fill="FFFFFF"/>
                <w:vertAlign w:val="baseline"/>
                <w:lang w:val="zh-CN" w:eastAsia="zh-CN"/>
              </w:rPr>
            </w:pPr>
            <w:r>
              <w:rPr>
                <w:rFonts w:hint="eastAsia" w:ascii="宋体" w:hAnsi="宋体" w:eastAsia="宋体" w:cs="宋体"/>
                <w:color w:val="auto"/>
                <w:sz w:val="21"/>
                <w:szCs w:val="21"/>
                <w:shd w:val="clear" w:color="auto" w:fill="FFFFFF"/>
                <w:vertAlign w:val="baseline"/>
                <w:lang w:val="en-US" w:eastAsia="zh-CN"/>
              </w:rPr>
              <w:t>遮盖性</w:t>
            </w:r>
          </w:p>
        </w:tc>
        <w:tc>
          <w:tcPr>
            <w:tcW w:w="4051" w:type="dxa"/>
            <w:vAlign w:val="center"/>
          </w:tcPr>
          <w:p w14:paraId="7B9F6B4C">
            <w:pPr>
              <w:bidi w:val="0"/>
              <w:jc w:val="center"/>
              <w:rPr>
                <w:rFonts w:hint="eastAsia" w:ascii="宋体" w:hAnsi="宋体" w:eastAsia="宋体" w:cs="宋体"/>
                <w:color w:val="auto"/>
                <w:sz w:val="21"/>
                <w:szCs w:val="21"/>
                <w:shd w:val="clear" w:color="auto" w:fill="FFFFFF"/>
                <w:vertAlign w:val="baseline"/>
                <w:lang w:val="zh-CN" w:eastAsia="zh-CN"/>
              </w:rPr>
            </w:pPr>
            <w:r>
              <w:rPr>
                <w:rFonts w:hint="eastAsia" w:ascii="宋体" w:hAnsi="宋体" w:eastAsia="宋体" w:cs="宋体"/>
                <w:color w:val="auto"/>
                <w:sz w:val="21"/>
                <w:szCs w:val="21"/>
                <w:shd w:val="clear" w:color="auto" w:fill="FFFFFF"/>
                <w:vertAlign w:val="baseline"/>
                <w:lang w:val="zh-CN" w:eastAsia="zh-CN"/>
              </w:rPr>
              <w:t>QB/T 4154-2010</w:t>
            </w:r>
          </w:p>
        </w:tc>
      </w:tr>
      <w:tr w14:paraId="1B20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015819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4</w:t>
            </w:r>
          </w:p>
        </w:tc>
        <w:tc>
          <w:tcPr>
            <w:tcW w:w="3526" w:type="dxa"/>
            <w:vAlign w:val="center"/>
          </w:tcPr>
          <w:p w14:paraId="3A86C0E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再书写性</w:t>
            </w:r>
          </w:p>
        </w:tc>
        <w:tc>
          <w:tcPr>
            <w:tcW w:w="4051" w:type="dxa"/>
            <w:vAlign w:val="center"/>
          </w:tcPr>
          <w:p w14:paraId="6B427B16">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4154-2010</w:t>
            </w:r>
          </w:p>
        </w:tc>
      </w:tr>
      <w:tr w14:paraId="1821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88A89BF">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5</w:t>
            </w:r>
          </w:p>
        </w:tc>
        <w:tc>
          <w:tcPr>
            <w:tcW w:w="3526" w:type="dxa"/>
            <w:vAlign w:val="center"/>
          </w:tcPr>
          <w:p w14:paraId="4174DF34">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涂布性</w:t>
            </w:r>
          </w:p>
        </w:tc>
        <w:tc>
          <w:tcPr>
            <w:tcW w:w="4051" w:type="dxa"/>
            <w:vAlign w:val="center"/>
          </w:tcPr>
          <w:p w14:paraId="090C146F">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4154-2010</w:t>
            </w:r>
          </w:p>
        </w:tc>
      </w:tr>
      <w:tr w14:paraId="3852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CDE0838">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6</w:t>
            </w:r>
          </w:p>
        </w:tc>
        <w:tc>
          <w:tcPr>
            <w:tcW w:w="3526" w:type="dxa"/>
            <w:vAlign w:val="center"/>
          </w:tcPr>
          <w:p w14:paraId="07A27DEE">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标志</w:t>
            </w:r>
          </w:p>
        </w:tc>
        <w:tc>
          <w:tcPr>
            <w:tcW w:w="4051" w:type="dxa"/>
            <w:vAlign w:val="center"/>
          </w:tcPr>
          <w:p w14:paraId="3254A3AA">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4154-2010</w:t>
            </w:r>
          </w:p>
          <w:p w14:paraId="73EE77E6">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21027-2020</w:t>
            </w:r>
          </w:p>
          <w:p w14:paraId="7CA29D8F">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5296.5-2006</w:t>
            </w:r>
          </w:p>
        </w:tc>
      </w:tr>
    </w:tbl>
    <w:p w14:paraId="65315168">
      <w:pPr>
        <w:snapToGrid w:val="0"/>
        <w:spacing w:line="440" w:lineRule="exact"/>
        <w:ind w:firstLine="420" w:firstLineChars="200"/>
        <w:jc w:val="center"/>
        <w:rPr>
          <w:rFonts w:hint="eastAsia" w:ascii="宋体" w:hAnsi="宋体" w:eastAsia="宋体" w:cs="宋体"/>
          <w:color w:val="auto"/>
          <w:sz w:val="21"/>
          <w:szCs w:val="21"/>
          <w:lang w:val="en-US" w:eastAsia="zh-CN"/>
        </w:rPr>
      </w:pPr>
    </w:p>
    <w:p w14:paraId="58C1B23E">
      <w:pPr>
        <w:snapToGrid w:val="0"/>
        <w:spacing w:line="44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表6 其他学生用品</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3499"/>
        <w:gridCol w:w="3419"/>
      </w:tblGrid>
      <w:tr w14:paraId="44BA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241" w:type="dxa"/>
            <w:noWrap w:val="0"/>
            <w:vAlign w:val="center"/>
          </w:tcPr>
          <w:p w14:paraId="218BD638">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499" w:type="dxa"/>
            <w:noWrap w:val="0"/>
            <w:vAlign w:val="center"/>
          </w:tcPr>
          <w:p w14:paraId="4D6F44A7">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检验项目</w:t>
            </w:r>
          </w:p>
        </w:tc>
        <w:tc>
          <w:tcPr>
            <w:tcW w:w="3419" w:type="dxa"/>
            <w:noWrap w:val="0"/>
            <w:vAlign w:val="center"/>
          </w:tcPr>
          <w:p w14:paraId="20CAD7A3">
            <w:pPr>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判定依据</w:t>
            </w:r>
          </w:p>
        </w:tc>
      </w:tr>
      <w:tr w14:paraId="3A9C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4C197A27">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3499" w:type="dxa"/>
            <w:shd w:val="clear" w:color="auto" w:fill="auto"/>
            <w:noWrap w:val="0"/>
            <w:vAlign w:val="center"/>
          </w:tcPr>
          <w:p w14:paraId="38E7D9F6">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可迁移元素的最大限量(锑</w:t>
            </w:r>
            <w:r>
              <w:rPr>
                <w:rFonts w:hint="eastAsia" w:ascii="宋体" w:hAnsi="宋体" w:eastAsia="宋体" w:cs="宋体"/>
                <w:color w:val="auto"/>
                <w:sz w:val="21"/>
                <w:szCs w:val="21"/>
                <w:lang w:val="en-US" w:eastAsia="zh-CN"/>
              </w:rPr>
              <w:t>Sb</w:t>
            </w:r>
            <w:r>
              <w:rPr>
                <w:rFonts w:hint="eastAsia" w:ascii="宋体" w:hAnsi="宋体" w:eastAsia="宋体" w:cs="宋体"/>
                <w:color w:val="auto"/>
                <w:sz w:val="21"/>
                <w:szCs w:val="21"/>
              </w:rPr>
              <w:t>、砷</w:t>
            </w:r>
            <w:r>
              <w:rPr>
                <w:rFonts w:hint="eastAsia" w:ascii="宋体" w:hAnsi="宋体" w:eastAsia="宋体" w:cs="宋体"/>
                <w:color w:val="auto"/>
                <w:sz w:val="21"/>
                <w:szCs w:val="21"/>
                <w:lang w:val="en-US" w:eastAsia="zh-CN"/>
              </w:rPr>
              <w:t>As</w:t>
            </w:r>
            <w:r>
              <w:rPr>
                <w:rFonts w:hint="eastAsia" w:ascii="宋体" w:hAnsi="宋体" w:eastAsia="宋体" w:cs="宋体"/>
                <w:color w:val="auto"/>
                <w:sz w:val="21"/>
                <w:szCs w:val="21"/>
              </w:rPr>
              <w:t>、钡</w:t>
            </w:r>
            <w:r>
              <w:rPr>
                <w:rFonts w:hint="eastAsia" w:ascii="宋体" w:hAnsi="宋体" w:eastAsia="宋体" w:cs="宋体"/>
                <w:color w:val="auto"/>
                <w:sz w:val="21"/>
                <w:szCs w:val="21"/>
                <w:lang w:val="en-US" w:eastAsia="zh-CN"/>
              </w:rPr>
              <w:t>Ba</w:t>
            </w:r>
            <w:r>
              <w:rPr>
                <w:rFonts w:hint="eastAsia" w:ascii="宋体" w:hAnsi="宋体" w:eastAsia="宋体" w:cs="宋体"/>
                <w:color w:val="auto"/>
                <w:sz w:val="21"/>
                <w:szCs w:val="21"/>
              </w:rPr>
              <w:t>、镉</w:t>
            </w:r>
            <w:r>
              <w:rPr>
                <w:rFonts w:hint="eastAsia" w:ascii="宋体" w:hAnsi="宋体" w:eastAsia="宋体" w:cs="宋体"/>
                <w:color w:val="auto"/>
                <w:sz w:val="21"/>
                <w:szCs w:val="21"/>
                <w:lang w:val="en-US" w:eastAsia="zh-CN"/>
              </w:rPr>
              <w:t>Cd</w:t>
            </w:r>
            <w:r>
              <w:rPr>
                <w:rFonts w:hint="eastAsia" w:ascii="宋体" w:hAnsi="宋体" w:eastAsia="宋体" w:cs="宋体"/>
                <w:color w:val="auto"/>
                <w:sz w:val="21"/>
                <w:szCs w:val="21"/>
              </w:rPr>
              <w:t>、铅</w:t>
            </w:r>
            <w:r>
              <w:rPr>
                <w:rFonts w:hint="eastAsia" w:ascii="宋体" w:hAnsi="宋体" w:eastAsia="宋体" w:cs="宋体"/>
                <w:color w:val="auto"/>
                <w:sz w:val="21"/>
                <w:szCs w:val="21"/>
                <w:lang w:val="en-US" w:eastAsia="zh-CN"/>
              </w:rPr>
              <w:t>Pb</w:t>
            </w:r>
            <w:r>
              <w:rPr>
                <w:rFonts w:hint="eastAsia" w:ascii="宋体" w:hAnsi="宋体" w:eastAsia="宋体" w:cs="宋体"/>
                <w:color w:val="auto"/>
                <w:sz w:val="21"/>
                <w:szCs w:val="21"/>
              </w:rPr>
              <w:t>、铬</w:t>
            </w:r>
            <w:r>
              <w:rPr>
                <w:rFonts w:hint="eastAsia" w:ascii="宋体" w:hAnsi="宋体" w:eastAsia="宋体" w:cs="宋体"/>
                <w:color w:val="auto"/>
                <w:sz w:val="21"/>
                <w:szCs w:val="21"/>
                <w:lang w:val="en-US" w:eastAsia="zh-CN"/>
              </w:rPr>
              <w:t>Cr</w:t>
            </w:r>
            <w:r>
              <w:rPr>
                <w:rFonts w:hint="eastAsia" w:ascii="宋体" w:hAnsi="宋体" w:eastAsia="宋体" w:cs="宋体"/>
                <w:color w:val="auto"/>
                <w:sz w:val="21"/>
                <w:szCs w:val="21"/>
              </w:rPr>
              <w:t>、汞</w:t>
            </w:r>
            <w:r>
              <w:rPr>
                <w:rFonts w:hint="eastAsia" w:ascii="宋体" w:hAnsi="宋体" w:eastAsia="宋体" w:cs="宋体"/>
                <w:color w:val="auto"/>
                <w:sz w:val="21"/>
                <w:szCs w:val="21"/>
                <w:lang w:val="en-US" w:eastAsia="zh-CN"/>
              </w:rPr>
              <w:t>Hg</w:t>
            </w:r>
            <w:r>
              <w:rPr>
                <w:rFonts w:hint="eastAsia" w:ascii="宋体" w:hAnsi="宋体" w:eastAsia="宋体" w:cs="宋体"/>
                <w:color w:val="auto"/>
                <w:sz w:val="21"/>
                <w:szCs w:val="21"/>
              </w:rPr>
              <w:t>、硒</w:t>
            </w:r>
            <w:r>
              <w:rPr>
                <w:rFonts w:hint="eastAsia" w:ascii="宋体" w:hAnsi="宋体" w:eastAsia="宋体" w:cs="宋体"/>
                <w:color w:val="auto"/>
                <w:sz w:val="21"/>
                <w:szCs w:val="21"/>
                <w:lang w:val="en-US" w:eastAsia="zh-CN"/>
              </w:rPr>
              <w:t>Se</w:t>
            </w:r>
            <w:r>
              <w:rPr>
                <w:rFonts w:hint="eastAsia" w:ascii="宋体" w:hAnsi="宋体" w:eastAsia="宋体" w:cs="宋体"/>
                <w:color w:val="auto"/>
                <w:sz w:val="21"/>
                <w:szCs w:val="21"/>
              </w:rPr>
              <w:t>）</w:t>
            </w:r>
          </w:p>
        </w:tc>
        <w:tc>
          <w:tcPr>
            <w:tcW w:w="3419" w:type="dxa"/>
            <w:shd w:val="clear" w:color="auto" w:fill="auto"/>
            <w:noWrap w:val="0"/>
            <w:vAlign w:val="center"/>
          </w:tcPr>
          <w:p w14:paraId="4F8D8981">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 6675.4-2014</w:t>
            </w:r>
          </w:p>
        </w:tc>
      </w:tr>
    </w:tbl>
    <w:p w14:paraId="68646DCA">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执行企业标准、团体标准、地方标准的产品，检验项目参照上述内容执行。</w:t>
      </w:r>
    </w:p>
    <w:p w14:paraId="7711D8BE">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2854F383">
      <w:pPr>
        <w:spacing w:line="440" w:lineRule="exac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3 判定规则</w:t>
      </w:r>
    </w:p>
    <w:p w14:paraId="0E33E359">
      <w:pPr>
        <w:spacing w:line="44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 依据标准</w:t>
      </w:r>
    </w:p>
    <w:p w14:paraId="204F22F7">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21027-2020学习用品的安全通用要求</w:t>
      </w:r>
    </w:p>
    <w:p w14:paraId="271C88B7">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QB/T 2424-1998双面胶粘带   </w:t>
      </w:r>
    </w:p>
    <w:p w14:paraId="554D7610">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QB/T 2309-2020橡皮擦</w:t>
      </w:r>
    </w:p>
    <w:p w14:paraId="1467FFF5">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QB/T 4154-2010 修正带</w:t>
      </w:r>
    </w:p>
    <w:p w14:paraId="52B9E2D5">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QB/T 2655-2020修正液</w:t>
      </w:r>
    </w:p>
    <w:p w14:paraId="39580B03">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经国家标准信息公共服务平台备案现行有效的企业标准及产品明示质量要求；</w:t>
      </w:r>
    </w:p>
    <w:p w14:paraId="215ED136">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产品明示质量指标及国家法律、法规、规章的有关规定。</w:t>
      </w:r>
    </w:p>
    <w:p w14:paraId="4B3778AE">
      <w:pPr>
        <w:spacing w:line="44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 判定原则</w:t>
      </w:r>
    </w:p>
    <w:p w14:paraId="24F35E1D">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1FE6E019">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若被检产品明示的质量要求高于本细则中检验项目依据的标准要求时，应按被检产品明示的质量要求判定。</w:t>
      </w:r>
    </w:p>
    <w:p w14:paraId="4E66AF5A">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若被检产品明示的质量要求低于本细则中检验项目依据的强制性标准要求时，应按照强制性标准要求判定。</w:t>
      </w:r>
    </w:p>
    <w:p w14:paraId="4E5F5A45">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0EC10A30">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若被检产品明示的质量要求缺少本细则中检验项目依据的强制性标准要求时，应按照强制性标准要求判定。</w:t>
      </w:r>
    </w:p>
    <w:p w14:paraId="172ED0A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若被检产品明示的质量要求缺少本细则中检验项目依据的推荐性标准要求时，该项目不参与判定。</w:t>
      </w:r>
    </w:p>
    <w:p w14:paraId="7C22C5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693E41"/>
    <w:rsid w:val="3FA2731D"/>
    <w:rsid w:val="4AD04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967</Words>
  <Characters>1286</Characters>
  <Lines>0</Lines>
  <Paragraphs>0</Paragraphs>
  <TotalTime>0</TotalTime>
  <ScaleCrop>false</ScaleCrop>
  <LinksUpToDate>false</LinksUpToDate>
  <CharactersWithSpaces>1323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2026-03-16T03:23:00Z</dcterms:created>
  <dc:creator>Administrator</dc:creator>
  <cp:lastModifiedBy>国家煤化工质检中心</cp:lastModifiedBy>
  <dcterms:modified xsi:type="dcterms:W3CDTF">2026-03-19T07:39:09Z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EFA8E0784CA24C1AB42E1355951241DD_12</vt:lpwstr>
  </property>
</Properties>
</file>