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BF9714">
      <w:pPr>
        <w:pStyle w:val="2"/>
        <w:rPr>
          <w:rFonts w:hint="eastAsia" w:ascii="宋体" w:hAnsi="宋体" w:eastAsia="宋体" w:cs="宋体"/>
          <w:color w:val="000000" w:themeColor="text1"/>
          <w:highlight w:val="none"/>
          <w:lang w:eastAsia="zh-CN"/>
          <w14:textFill>
            <w14:solidFill>
              <w14:schemeClr w14:val="tx1"/>
            </w14:solidFill>
          </w14:textFill>
        </w:rPr>
      </w:pPr>
      <w:bookmarkStart w:id="0" w:name="_Toc14198"/>
      <w:bookmarkStart w:id="1" w:name="_Toc27663"/>
      <w:r>
        <w:rPr>
          <w:rFonts w:hint="eastAsia" w:ascii="宋体" w:hAnsi="宋体" w:cs="宋体"/>
          <w:color w:val="000000" w:themeColor="text1"/>
          <w:highlight w:val="none"/>
          <w:lang w:eastAsia="zh-CN"/>
          <w14:textFill>
            <w14:solidFill>
              <w14:schemeClr w14:val="tx1"/>
            </w14:solidFill>
          </w14:textFill>
        </w:rPr>
        <w:t>淮南市电暖手（</w:t>
      </w:r>
      <w:r>
        <w:rPr>
          <w:rFonts w:hint="eastAsia" w:ascii="宋体" w:hAnsi="宋体" w:cs="宋体"/>
          <w:color w:val="000000" w:themeColor="text1"/>
          <w:highlight w:val="none"/>
          <w:lang w:val="en-US" w:eastAsia="zh-CN"/>
          <w14:textFill>
            <w14:solidFill>
              <w14:schemeClr w14:val="tx1"/>
            </w14:solidFill>
          </w14:textFill>
        </w:rPr>
        <w:t>脚</w:t>
      </w:r>
      <w:r>
        <w:rPr>
          <w:rFonts w:hint="eastAsia" w:ascii="宋体" w:hAnsi="宋体" w:cs="宋体"/>
          <w:color w:val="000000" w:themeColor="text1"/>
          <w:highlight w:val="none"/>
          <w:lang w:eastAsia="zh-CN"/>
          <w14:textFill>
            <w14:solidFill>
              <w14:schemeClr w14:val="tx1"/>
            </w14:solidFill>
          </w14:textFill>
        </w:rPr>
        <w:t>）器</w:t>
      </w:r>
      <w:r>
        <w:rPr>
          <w:rFonts w:hint="eastAsia" w:ascii="宋体" w:hAnsi="宋体" w:eastAsia="宋体" w:cs="宋体"/>
          <w:color w:val="000000" w:themeColor="text1"/>
          <w:highlight w:val="none"/>
          <w14:textFill>
            <w14:solidFill>
              <w14:schemeClr w14:val="tx1"/>
            </w14:solidFill>
          </w14:textFill>
        </w:rPr>
        <w:t>产品质量监督抽查</w:t>
      </w:r>
      <w:r>
        <w:rPr>
          <w:rFonts w:hint="eastAsia" w:ascii="宋体" w:hAnsi="宋体" w:eastAsia="宋体" w:cs="宋体"/>
          <w:color w:val="000000" w:themeColor="text1"/>
          <w:highlight w:val="none"/>
          <w:lang w:eastAsia="zh-CN"/>
          <w14:textFill>
            <w14:solidFill>
              <w14:schemeClr w14:val="tx1"/>
            </w14:solidFill>
          </w14:textFill>
        </w:rPr>
        <w:t>实施细则</w:t>
      </w:r>
      <w:bookmarkEnd w:id="0"/>
      <w:bookmarkEnd w:id="1"/>
    </w:p>
    <w:p w14:paraId="5F9AFB0A">
      <w:pPr>
        <w:pStyle w:val="2"/>
        <w:rPr>
          <w:rFonts w:hint="eastAsia" w:ascii="宋体" w:hAnsi="宋体" w:eastAsia="宋体" w:cs="宋体"/>
          <w:color w:val="000000" w:themeColor="text1"/>
          <w:highlight w:val="none"/>
          <w:lang w:eastAsia="zh-CN"/>
          <w14:textFill>
            <w14:solidFill>
              <w14:schemeClr w14:val="tx1"/>
            </w14:solidFill>
          </w14:textFill>
        </w:rPr>
      </w:pPr>
      <w:bookmarkStart w:id="2" w:name="_GoBack"/>
      <w:bookmarkEnd w:id="2"/>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2026年版）</w:t>
      </w:r>
    </w:p>
    <w:p w14:paraId="2BD95AFA">
      <w:pPr>
        <w:spacing w:line="440" w:lineRule="exact"/>
        <w:rPr>
          <w:rFonts w:hint="eastAsia" w:ascii="宋体" w:hAnsi="宋体" w:eastAsia="宋体" w:cs="宋体"/>
          <w:bCs/>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highlight w:val="none"/>
          <w14:textFill>
            <w14:solidFill>
              <w14:schemeClr w14:val="tx1"/>
            </w14:solidFill>
          </w14:textFill>
        </w:rPr>
        <w:t>1、抽样方法</w:t>
      </w:r>
    </w:p>
    <w:p w14:paraId="45EE81FA">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以随机抽样的方式在被抽样生产者、销售者的待销产品中抽取。</w:t>
      </w:r>
    </w:p>
    <w:p w14:paraId="348E0871">
      <w:pPr>
        <w:snapToGrid w:val="0"/>
        <w:spacing w:line="440" w:lineRule="exact"/>
        <w:ind w:firstLine="420" w:firstLineChars="200"/>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随机数一般可使用随机数表等方法产生。</w:t>
      </w:r>
    </w:p>
    <w:p w14:paraId="20B7644D">
      <w:pPr>
        <w:snapToGrid w:val="0"/>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每批次产品抽取样品</w:t>
      </w:r>
      <w:r>
        <w:rPr>
          <w:rFonts w:hint="eastAsia" w:ascii="宋体" w:hAnsi="宋体" w:eastAsia="宋体" w:cs="宋体"/>
          <w:color w:val="000000" w:themeColor="text1"/>
          <w:szCs w:val="21"/>
          <w:highlight w:val="none"/>
          <w:lang w:val="en-US" w:eastAsia="zh-CN"/>
          <w14:textFill>
            <w14:solidFill>
              <w14:schemeClr w14:val="tx1"/>
            </w14:solidFill>
          </w14:textFill>
        </w:rPr>
        <w:t>2台/套</w:t>
      </w:r>
      <w:r>
        <w:rPr>
          <w:rFonts w:hint="eastAsia" w:ascii="宋体" w:hAnsi="宋体" w:eastAsia="宋体" w:cs="宋体"/>
          <w:color w:val="000000" w:themeColor="text1"/>
          <w:szCs w:val="21"/>
          <w:highlight w:val="none"/>
          <w14:textFill>
            <w14:solidFill>
              <w14:schemeClr w14:val="tx1"/>
            </w14:solidFill>
          </w14:textFill>
        </w:rPr>
        <w:t>，其中</w:t>
      </w:r>
      <w:r>
        <w:rPr>
          <w:rFonts w:hint="eastAsia" w:ascii="宋体" w:hAnsi="宋体" w:eastAsia="宋体" w:cs="宋体"/>
          <w:color w:val="000000" w:themeColor="text1"/>
          <w:szCs w:val="21"/>
          <w:highlight w:val="none"/>
          <w:lang w:val="en-US" w:eastAsia="zh-CN"/>
          <w14:textFill>
            <w14:solidFill>
              <w14:schemeClr w14:val="tx1"/>
            </w14:solidFill>
          </w14:textFill>
        </w:rPr>
        <w:t>1台/套</w:t>
      </w:r>
      <w:r>
        <w:rPr>
          <w:rFonts w:hint="eastAsia" w:ascii="宋体" w:hAnsi="宋体" w:eastAsia="宋体" w:cs="宋体"/>
          <w:color w:val="000000" w:themeColor="text1"/>
          <w:szCs w:val="21"/>
          <w:highlight w:val="none"/>
          <w14:textFill>
            <w14:solidFill>
              <w14:schemeClr w14:val="tx1"/>
            </w14:solidFill>
          </w14:textFill>
        </w:rPr>
        <w:t>作为检验样品，1</w:t>
      </w:r>
      <w:r>
        <w:rPr>
          <w:rFonts w:hint="eastAsia" w:ascii="宋体" w:hAnsi="宋体" w:eastAsia="宋体" w:cs="宋体"/>
          <w:color w:val="000000" w:themeColor="text1"/>
          <w:szCs w:val="21"/>
          <w:highlight w:val="none"/>
          <w:lang w:val="en-US" w:eastAsia="zh-CN"/>
          <w14:textFill>
            <w14:solidFill>
              <w14:schemeClr w14:val="tx1"/>
            </w14:solidFill>
          </w14:textFill>
        </w:rPr>
        <w:t>台/套</w:t>
      </w:r>
      <w:r>
        <w:rPr>
          <w:rFonts w:hint="eastAsia" w:ascii="宋体" w:hAnsi="宋体" w:eastAsia="宋体" w:cs="宋体"/>
          <w:color w:val="000000" w:themeColor="text1"/>
          <w:szCs w:val="21"/>
          <w:highlight w:val="none"/>
          <w14:textFill>
            <w14:solidFill>
              <w14:schemeClr w14:val="tx1"/>
            </w14:solidFill>
          </w14:textFill>
        </w:rPr>
        <w:t>作为备用样品。</w:t>
      </w:r>
    </w:p>
    <w:p w14:paraId="1E5A9853">
      <w:pPr>
        <w:spacing w:line="440" w:lineRule="exact"/>
        <w:rPr>
          <w:rFonts w:hint="eastAsia" w:ascii="宋体" w:hAnsi="宋体" w:eastAsia="宋体" w:cs="宋体"/>
          <w:b/>
          <w:color w:val="000000" w:themeColor="text1"/>
          <w:szCs w:val="21"/>
          <w:highlight w:val="none"/>
          <w14:textFill>
            <w14:solidFill>
              <w14:schemeClr w14:val="tx1"/>
            </w14:solidFill>
          </w14:textFill>
        </w:rPr>
      </w:pPr>
    </w:p>
    <w:p w14:paraId="400066F7">
      <w:pPr>
        <w:spacing w:line="440" w:lineRule="exact"/>
        <w:rPr>
          <w:rFonts w:hint="eastAsia" w:ascii="宋体" w:hAnsi="宋体" w:eastAsia="宋体" w:cs="宋体"/>
          <w:bCs/>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2、检验依据</w:t>
      </w:r>
    </w:p>
    <w:p w14:paraId="302DA140">
      <w:pPr>
        <w:snapToGrid w:val="0"/>
        <w:spacing w:line="440" w:lineRule="exact"/>
        <w:ind w:firstLine="420" w:firstLineChars="200"/>
        <w:jc w:val="center"/>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表1</w:t>
      </w:r>
      <w:r>
        <w:rPr>
          <w:rFonts w:hint="eastAsia" w:ascii="宋体" w:hAnsi="宋体" w:eastAsia="宋体" w:cs="宋体"/>
          <w:color w:val="000000"/>
          <w:sz w:val="21"/>
          <w:szCs w:val="21"/>
        </w:rPr>
        <w:t xml:space="preserve"> 电暖手器</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36"/>
        <w:gridCol w:w="3318"/>
      </w:tblGrid>
      <w:tr w14:paraId="017D5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265" w:type="dxa"/>
            <w:noWrap w:val="0"/>
            <w:vAlign w:val="center"/>
          </w:tcPr>
          <w:p w14:paraId="78213681">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序号</w:t>
            </w:r>
          </w:p>
        </w:tc>
        <w:tc>
          <w:tcPr>
            <w:tcW w:w="3536" w:type="dxa"/>
            <w:noWrap w:val="0"/>
            <w:vAlign w:val="center"/>
          </w:tcPr>
          <w:p w14:paraId="59D4BA6A">
            <w:pPr>
              <w:jc w:val="center"/>
              <w:rPr>
                <w:rFonts w:hint="eastAsia" w:ascii="宋体" w:hAnsi="宋体" w:eastAsia="宋体" w:cs="宋体"/>
                <w:color w:val="000000"/>
                <w:sz w:val="21"/>
                <w:szCs w:val="21"/>
              </w:rPr>
            </w:pPr>
            <w:r>
              <w:rPr>
                <w:rFonts w:hint="eastAsia" w:ascii="宋体" w:hAnsi="宋体" w:eastAsia="宋体" w:cs="宋体"/>
                <w:color w:val="000000"/>
                <w:sz w:val="21"/>
                <w:szCs w:val="21"/>
              </w:rPr>
              <w:t>检验项目</w:t>
            </w:r>
          </w:p>
        </w:tc>
        <w:tc>
          <w:tcPr>
            <w:tcW w:w="3318" w:type="dxa"/>
            <w:noWrap w:val="0"/>
            <w:vAlign w:val="center"/>
          </w:tcPr>
          <w:p w14:paraId="7F8F9966">
            <w:pPr>
              <w:snapToGrid w:val="0"/>
              <w:jc w:val="center"/>
              <w:rPr>
                <w:rFonts w:hint="eastAsia" w:ascii="宋体" w:hAnsi="宋体" w:eastAsia="宋体" w:cs="宋体"/>
                <w:sz w:val="21"/>
                <w:szCs w:val="21"/>
              </w:rPr>
            </w:pPr>
            <w:r>
              <w:rPr>
                <w:rFonts w:hint="eastAsia" w:ascii="宋体" w:hAnsi="宋体" w:eastAsia="宋体" w:cs="宋体"/>
                <w:sz w:val="21"/>
                <w:szCs w:val="21"/>
                <w:lang w:eastAsia="zh-CN"/>
              </w:rPr>
              <w:t>检验</w:t>
            </w:r>
            <w:r>
              <w:rPr>
                <w:rFonts w:hint="eastAsia" w:ascii="宋体" w:hAnsi="宋体" w:eastAsia="宋体" w:cs="宋体"/>
                <w:sz w:val="21"/>
                <w:szCs w:val="21"/>
              </w:rPr>
              <w:t>依据</w:t>
            </w:r>
          </w:p>
        </w:tc>
      </w:tr>
      <w:tr w14:paraId="64FB8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265" w:type="dxa"/>
            <w:noWrap w:val="0"/>
            <w:vAlign w:val="center"/>
          </w:tcPr>
          <w:p w14:paraId="0BEF34BE">
            <w:pPr>
              <w:snapToGrid w:val="0"/>
              <w:spacing w:line="32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1</w:t>
            </w:r>
          </w:p>
        </w:tc>
        <w:tc>
          <w:tcPr>
            <w:tcW w:w="3536" w:type="dxa"/>
            <w:noWrap w:val="0"/>
            <w:vAlign w:val="center"/>
          </w:tcPr>
          <w:p w14:paraId="0F36F239">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sz w:val="21"/>
                <w:szCs w:val="21"/>
                <w:shd w:val="clear" w:color="auto" w:fill="FFFFFF"/>
                <w:vertAlign w:val="baseline"/>
                <w:lang w:val="en-US" w:eastAsia="zh-CN"/>
              </w:rPr>
              <w:t>对触及带电部件的防护</w:t>
            </w:r>
          </w:p>
        </w:tc>
        <w:tc>
          <w:tcPr>
            <w:tcW w:w="3318" w:type="dxa"/>
            <w:noWrap w:val="0"/>
            <w:vAlign w:val="center"/>
          </w:tcPr>
          <w:p w14:paraId="7032695E">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000000"/>
                <w:sz w:val="21"/>
                <w:szCs w:val="21"/>
                <w:shd w:val="clear" w:color="auto" w:fill="FFFFFF"/>
                <w:vertAlign w:val="baseline"/>
                <w:lang w:val="en-US" w:eastAsia="zh-CN"/>
              </w:rPr>
              <w:t>GB 4706.1-2005</w:t>
            </w:r>
          </w:p>
        </w:tc>
      </w:tr>
      <w:tr w14:paraId="1ECBA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265" w:type="dxa"/>
            <w:noWrap w:val="0"/>
            <w:vAlign w:val="center"/>
          </w:tcPr>
          <w:p w14:paraId="2BD98620">
            <w:pPr>
              <w:snapToGrid w:val="0"/>
              <w:spacing w:line="32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2</w:t>
            </w:r>
          </w:p>
        </w:tc>
        <w:tc>
          <w:tcPr>
            <w:tcW w:w="3536" w:type="dxa"/>
            <w:noWrap w:val="0"/>
            <w:vAlign w:val="center"/>
          </w:tcPr>
          <w:p w14:paraId="1FC51336">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sz w:val="21"/>
                <w:szCs w:val="21"/>
                <w:shd w:val="clear" w:color="auto" w:fill="FFFFFF"/>
                <w:vertAlign w:val="baseline"/>
                <w:lang w:val="en-US" w:eastAsia="zh-CN"/>
              </w:rPr>
              <w:t>输入功率和电流</w:t>
            </w:r>
          </w:p>
        </w:tc>
        <w:tc>
          <w:tcPr>
            <w:tcW w:w="3318" w:type="dxa"/>
            <w:noWrap w:val="0"/>
            <w:vAlign w:val="center"/>
          </w:tcPr>
          <w:p w14:paraId="7D26581A">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000000"/>
                <w:sz w:val="21"/>
                <w:szCs w:val="21"/>
                <w:shd w:val="clear" w:color="auto" w:fill="FFFFFF"/>
                <w:vertAlign w:val="baseline"/>
                <w:lang w:val="en-US" w:eastAsia="zh-CN"/>
              </w:rPr>
              <w:t>GB 4706.1-2005</w:t>
            </w:r>
          </w:p>
        </w:tc>
      </w:tr>
      <w:tr w14:paraId="74D3B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jc w:val="center"/>
        </w:trPr>
        <w:tc>
          <w:tcPr>
            <w:tcW w:w="1265" w:type="dxa"/>
            <w:noWrap w:val="0"/>
            <w:vAlign w:val="center"/>
          </w:tcPr>
          <w:p w14:paraId="146BD83F">
            <w:pPr>
              <w:snapToGrid w:val="0"/>
              <w:spacing w:line="32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3</w:t>
            </w:r>
          </w:p>
        </w:tc>
        <w:tc>
          <w:tcPr>
            <w:tcW w:w="3536" w:type="dxa"/>
            <w:noWrap w:val="0"/>
            <w:vAlign w:val="center"/>
          </w:tcPr>
          <w:p w14:paraId="045768A1">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sz w:val="21"/>
                <w:szCs w:val="21"/>
                <w:shd w:val="clear" w:color="auto" w:fill="FFFFFF"/>
                <w:vertAlign w:val="baseline"/>
                <w:lang w:val="en-US" w:eastAsia="zh-CN"/>
              </w:rPr>
              <w:t>发热</w:t>
            </w:r>
          </w:p>
        </w:tc>
        <w:tc>
          <w:tcPr>
            <w:tcW w:w="3318" w:type="dxa"/>
            <w:noWrap w:val="0"/>
            <w:vAlign w:val="center"/>
          </w:tcPr>
          <w:p w14:paraId="5EA7A7ED">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000000"/>
                <w:sz w:val="21"/>
                <w:szCs w:val="21"/>
                <w:shd w:val="clear" w:color="auto" w:fill="FFFFFF"/>
                <w:vertAlign w:val="baseline"/>
                <w:lang w:val="en-US" w:eastAsia="zh-CN"/>
              </w:rPr>
              <w:t>GB 4706.1-2005</w:t>
            </w:r>
          </w:p>
        </w:tc>
      </w:tr>
      <w:tr w14:paraId="2A446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1265" w:type="dxa"/>
            <w:noWrap w:val="0"/>
            <w:vAlign w:val="center"/>
          </w:tcPr>
          <w:p w14:paraId="2BF4AEBA">
            <w:pPr>
              <w:snapToGrid w:val="0"/>
              <w:spacing w:line="32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4</w:t>
            </w:r>
          </w:p>
        </w:tc>
        <w:tc>
          <w:tcPr>
            <w:tcW w:w="3536" w:type="dxa"/>
            <w:noWrap w:val="0"/>
            <w:vAlign w:val="center"/>
          </w:tcPr>
          <w:p w14:paraId="760548DF">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sz w:val="21"/>
                <w:szCs w:val="21"/>
                <w:shd w:val="clear" w:color="auto" w:fill="FFFFFF"/>
                <w:vertAlign w:val="baseline"/>
                <w:lang w:val="en-US" w:eastAsia="zh-CN"/>
              </w:rPr>
              <w:t>工作温度下的泄漏电流和电气强度</w:t>
            </w:r>
          </w:p>
        </w:tc>
        <w:tc>
          <w:tcPr>
            <w:tcW w:w="3318" w:type="dxa"/>
            <w:noWrap w:val="0"/>
            <w:vAlign w:val="center"/>
          </w:tcPr>
          <w:p w14:paraId="26AD7C80">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000000"/>
                <w:sz w:val="21"/>
                <w:szCs w:val="21"/>
                <w:shd w:val="clear" w:color="auto" w:fill="FFFFFF"/>
                <w:vertAlign w:val="baseline"/>
                <w:lang w:val="en-US" w:eastAsia="zh-CN"/>
              </w:rPr>
              <w:t>GB 4706.1-2005</w:t>
            </w:r>
          </w:p>
        </w:tc>
      </w:tr>
      <w:tr w14:paraId="07F5B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2" w:hRule="atLeast"/>
          <w:jc w:val="center"/>
        </w:trPr>
        <w:tc>
          <w:tcPr>
            <w:tcW w:w="1265" w:type="dxa"/>
            <w:noWrap w:val="0"/>
            <w:vAlign w:val="center"/>
          </w:tcPr>
          <w:p w14:paraId="567310B3">
            <w:pPr>
              <w:snapToGrid w:val="0"/>
              <w:spacing w:line="32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5</w:t>
            </w:r>
          </w:p>
        </w:tc>
        <w:tc>
          <w:tcPr>
            <w:tcW w:w="3536" w:type="dxa"/>
            <w:noWrap w:val="0"/>
            <w:vAlign w:val="center"/>
          </w:tcPr>
          <w:p w14:paraId="65740F23">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sz w:val="21"/>
                <w:szCs w:val="21"/>
                <w:shd w:val="clear" w:color="auto" w:fill="FFFFFF"/>
                <w:vertAlign w:val="baseline"/>
                <w:lang w:val="en-US" w:eastAsia="zh-CN"/>
              </w:rPr>
              <w:t>电源连接和外部软线</w:t>
            </w:r>
          </w:p>
        </w:tc>
        <w:tc>
          <w:tcPr>
            <w:tcW w:w="3318" w:type="dxa"/>
            <w:noWrap w:val="0"/>
            <w:vAlign w:val="center"/>
          </w:tcPr>
          <w:p w14:paraId="6C19F7F1">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000000"/>
                <w:sz w:val="21"/>
                <w:szCs w:val="21"/>
                <w:shd w:val="clear" w:color="auto" w:fill="FFFFFF"/>
                <w:vertAlign w:val="baseline"/>
                <w:lang w:val="en-US" w:eastAsia="zh-CN"/>
              </w:rPr>
              <w:t>GB 4706.1-2005</w:t>
            </w:r>
          </w:p>
        </w:tc>
      </w:tr>
      <w:tr w14:paraId="276B0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1265" w:type="dxa"/>
            <w:noWrap w:val="0"/>
            <w:vAlign w:val="center"/>
          </w:tcPr>
          <w:p w14:paraId="7C825FC7">
            <w:pPr>
              <w:snapToGrid w:val="0"/>
              <w:spacing w:line="320" w:lineRule="exact"/>
              <w:jc w:val="center"/>
              <w:rPr>
                <w:rFonts w:hint="eastAsia" w:ascii="宋体" w:hAnsi="宋体" w:eastAsia="宋体" w:cs="宋体"/>
                <w:sz w:val="21"/>
                <w:szCs w:val="21"/>
              </w:rPr>
            </w:pPr>
            <w:r>
              <w:rPr>
                <w:rFonts w:hint="eastAsia" w:ascii="宋体" w:hAnsi="宋体" w:eastAsia="宋体" w:cs="宋体"/>
                <w:sz w:val="21"/>
                <w:szCs w:val="21"/>
                <w:lang w:val="en-US" w:eastAsia="zh-CN"/>
              </w:rPr>
              <w:t>6</w:t>
            </w:r>
          </w:p>
        </w:tc>
        <w:tc>
          <w:tcPr>
            <w:tcW w:w="3536" w:type="dxa"/>
            <w:noWrap w:val="0"/>
            <w:vAlign w:val="center"/>
          </w:tcPr>
          <w:p w14:paraId="7B6BBBA6">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sz w:val="21"/>
                <w:szCs w:val="21"/>
                <w:shd w:val="clear" w:color="auto" w:fill="FFFFFF"/>
                <w:vertAlign w:val="baseline"/>
                <w:lang w:val="en-US" w:eastAsia="zh-CN"/>
              </w:rPr>
              <w:t>内部布线</w:t>
            </w:r>
          </w:p>
        </w:tc>
        <w:tc>
          <w:tcPr>
            <w:tcW w:w="3318" w:type="dxa"/>
            <w:noWrap w:val="0"/>
            <w:vAlign w:val="center"/>
          </w:tcPr>
          <w:p w14:paraId="5BD7EDF1">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000000"/>
                <w:sz w:val="21"/>
                <w:szCs w:val="21"/>
                <w:shd w:val="clear" w:color="auto" w:fill="FFFFFF"/>
                <w:vertAlign w:val="baseline"/>
                <w:lang w:val="en-US" w:eastAsia="zh-CN"/>
              </w:rPr>
              <w:t>GB 4706.1-2005</w:t>
            </w:r>
          </w:p>
        </w:tc>
      </w:tr>
      <w:tr w14:paraId="61E77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0" w:type="auto"/>
          </w:tcPr>
          <w:p w14:paraId="660DB7D3">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0" w:type="auto"/>
            <w:vAlign w:val="center"/>
          </w:tcPr>
          <w:p w14:paraId="76F11119">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sz w:val="21"/>
                <w:szCs w:val="21"/>
                <w:shd w:val="clear" w:color="auto" w:fill="FFFFFF"/>
                <w:vertAlign w:val="baseline"/>
                <w:lang w:val="en-US" w:eastAsia="zh-CN"/>
              </w:rPr>
              <w:t>螺钉和连接</w:t>
            </w:r>
          </w:p>
        </w:tc>
        <w:tc>
          <w:tcPr>
            <w:tcW w:w="0" w:type="auto"/>
            <w:vAlign w:val="center"/>
          </w:tcPr>
          <w:p w14:paraId="4D1F903C">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000000"/>
                <w:sz w:val="21"/>
                <w:szCs w:val="21"/>
                <w:shd w:val="clear" w:color="auto" w:fill="FFFFFF"/>
                <w:vertAlign w:val="baseline"/>
                <w:lang w:val="en-US" w:eastAsia="zh-CN"/>
              </w:rPr>
              <w:t>GB 4706.1-2005</w:t>
            </w:r>
          </w:p>
        </w:tc>
      </w:tr>
      <w:tr w14:paraId="02D32E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0" w:type="auto"/>
          </w:tcPr>
          <w:p w14:paraId="0C87071E">
            <w:pPr>
              <w:snapToGrid w:val="0"/>
              <w:spacing w:line="320" w:lineRule="exact"/>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0" w:type="auto"/>
            <w:vAlign w:val="center"/>
          </w:tcPr>
          <w:p w14:paraId="1E1E0073">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kern w:val="2"/>
                <w:sz w:val="21"/>
                <w:szCs w:val="21"/>
                <w:shd w:val="clear" w:color="auto" w:fill="FFFFFF"/>
                <w:vertAlign w:val="baseline"/>
                <w:lang w:val="en-US" w:eastAsia="zh-CN" w:bidi="ar-SA"/>
              </w:rPr>
            </w:pPr>
            <w:r>
              <w:rPr>
                <w:rFonts w:hint="eastAsia" w:ascii="宋体" w:hAnsi="宋体" w:eastAsia="宋体" w:cs="宋体"/>
                <w:color w:val="000000"/>
                <w:sz w:val="21"/>
                <w:szCs w:val="21"/>
                <w:shd w:val="clear" w:color="auto" w:fill="FFFFFF"/>
                <w:vertAlign w:val="baseline"/>
                <w:lang w:val="en-US" w:eastAsia="zh-CN"/>
              </w:rPr>
              <w:t>电气间隙、爬电距离和固体绝缘</w:t>
            </w:r>
          </w:p>
        </w:tc>
        <w:tc>
          <w:tcPr>
            <w:tcW w:w="0" w:type="auto"/>
            <w:vAlign w:val="center"/>
          </w:tcPr>
          <w:p w14:paraId="6FB3C4F1">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sz w:val="21"/>
                <w:szCs w:val="21"/>
                <w:lang w:val="en-US" w:eastAsia="zh-CN"/>
              </w:rPr>
            </w:pPr>
            <w:r>
              <w:rPr>
                <w:rFonts w:hint="eastAsia" w:ascii="宋体" w:hAnsi="宋体" w:eastAsia="宋体" w:cs="宋体"/>
                <w:color w:val="000000"/>
                <w:sz w:val="21"/>
                <w:szCs w:val="21"/>
                <w:shd w:val="clear" w:color="auto" w:fill="FFFFFF"/>
                <w:vertAlign w:val="baseline"/>
                <w:lang w:val="en-US" w:eastAsia="zh-CN"/>
              </w:rPr>
              <w:t>GB 4706.1-2005</w:t>
            </w:r>
          </w:p>
        </w:tc>
      </w:tr>
      <w:tr w14:paraId="46972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0" w:type="auto"/>
          </w:tcPr>
          <w:p w14:paraId="093F274F">
            <w:pPr>
              <w:snapToGrid w:val="0"/>
              <w:spacing w:line="320" w:lineRule="exact"/>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9</w:t>
            </w:r>
          </w:p>
        </w:tc>
        <w:tc>
          <w:tcPr>
            <w:tcW w:w="0" w:type="auto"/>
            <w:vAlign w:val="center"/>
          </w:tcPr>
          <w:p w14:paraId="5F64C543">
            <w:pPr>
              <w:keepNext w:val="0"/>
              <w:keepLines w:val="0"/>
              <w:pageBreakBefore w:val="0"/>
              <w:widowControl w:val="0"/>
              <w:kinsoku/>
              <w:wordWrap/>
              <w:overflowPunct/>
              <w:topLinePunct w:val="0"/>
              <w:autoSpaceDE/>
              <w:autoSpaceDN/>
              <w:bidi w:val="0"/>
              <w:adjustRightInd/>
              <w:snapToGrid w:val="0"/>
              <w:spacing w:beforeAutospacing="0" w:afterAutospacing="0" w:line="240" w:lineRule="atLeast"/>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结构</w:t>
            </w:r>
          </w:p>
        </w:tc>
        <w:tc>
          <w:tcPr>
            <w:tcW w:w="0" w:type="auto"/>
            <w:vAlign w:val="center"/>
          </w:tcPr>
          <w:p w14:paraId="30EEF527">
            <w:pPr>
              <w:keepNext w:val="0"/>
              <w:keepLines w:val="0"/>
              <w:pageBreakBefore w:val="0"/>
              <w:widowControl w:val="0"/>
              <w:kinsoku/>
              <w:wordWrap/>
              <w:overflowPunct/>
              <w:topLinePunct w:val="0"/>
              <w:autoSpaceDE/>
              <w:autoSpaceDN/>
              <w:bidi w:val="0"/>
              <w:adjustRightInd/>
              <w:snapToGrid w:val="0"/>
              <w:spacing w:line="240" w:lineRule="auto"/>
              <w:jc w:val="center"/>
              <w:rPr>
                <w:rFonts w:hint="eastAsia" w:ascii="宋体" w:hAnsi="宋体" w:eastAsia="宋体" w:cs="宋体"/>
                <w:color w:val="000000"/>
                <w:sz w:val="21"/>
                <w:szCs w:val="21"/>
                <w:shd w:val="clear" w:color="auto" w:fill="FFFFFF"/>
                <w:vertAlign w:val="baseline"/>
                <w:lang w:val="en-US" w:eastAsia="zh-CN"/>
              </w:rPr>
            </w:pPr>
            <w:r>
              <w:rPr>
                <w:rFonts w:hint="eastAsia" w:ascii="宋体" w:hAnsi="宋体" w:eastAsia="宋体" w:cs="宋体"/>
                <w:color w:val="000000"/>
                <w:sz w:val="21"/>
                <w:szCs w:val="21"/>
                <w:shd w:val="clear" w:color="auto" w:fill="FFFFFF"/>
                <w:vertAlign w:val="baseline"/>
                <w:lang w:val="en-US" w:eastAsia="zh-CN"/>
              </w:rPr>
              <w:t>GB 4706.1-2005</w:t>
            </w:r>
          </w:p>
        </w:tc>
      </w:tr>
    </w:tbl>
    <w:p w14:paraId="4141E9BF">
      <w:pPr>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执行企业标准、团体标准、地方标准的产品，检验项目参照上述内容执行。</w:t>
      </w:r>
    </w:p>
    <w:p w14:paraId="3000C825">
      <w:pPr>
        <w:spacing w:line="440" w:lineRule="exact"/>
        <w:ind w:firstLine="420" w:firstLineChars="200"/>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凡是注日期的文件，其随后所有的修改单（不包括勘误的内容）或修订版不适用于本细则。凡是不注日期的文件，其最新版本适用于本细则。</w:t>
      </w:r>
    </w:p>
    <w:p w14:paraId="1D329FC6">
      <w:pPr>
        <w:spacing w:line="440" w:lineRule="exact"/>
        <w:rPr>
          <w:rFonts w:hint="eastAsia" w:ascii="宋体" w:hAnsi="宋体" w:eastAsia="宋体" w:cs="宋体"/>
          <w:b/>
          <w:bCs/>
          <w:color w:val="000000" w:themeColor="text1"/>
          <w:szCs w:val="21"/>
          <w:highlight w:val="none"/>
          <w14:textFill>
            <w14:solidFill>
              <w14:schemeClr w14:val="tx1"/>
            </w14:solidFill>
          </w14:textFill>
        </w:rPr>
      </w:pPr>
    </w:p>
    <w:p w14:paraId="35EB5B58">
      <w:pPr>
        <w:spacing w:line="440" w:lineRule="exact"/>
        <w:rPr>
          <w:rFonts w:hint="eastAsia" w:ascii="宋体" w:hAnsi="宋体" w:eastAsia="宋体" w:cs="宋体"/>
          <w:b/>
          <w:bCs/>
          <w:color w:val="000000" w:themeColor="text1"/>
          <w:szCs w:val="21"/>
          <w:highlight w:val="none"/>
          <w14:textFill>
            <w14:solidFill>
              <w14:schemeClr w14:val="tx1"/>
            </w14:solidFill>
          </w14:textFill>
        </w:rPr>
      </w:pPr>
      <w:r>
        <w:rPr>
          <w:rFonts w:hint="eastAsia" w:ascii="宋体" w:hAnsi="宋体" w:eastAsia="宋体" w:cs="宋体"/>
          <w:b/>
          <w:bCs/>
          <w:color w:val="000000" w:themeColor="text1"/>
          <w:szCs w:val="21"/>
          <w:highlight w:val="none"/>
          <w14:textFill>
            <w14:solidFill>
              <w14:schemeClr w14:val="tx1"/>
            </w14:solidFill>
          </w14:textFill>
        </w:rPr>
        <w:t>3 判定规则</w:t>
      </w:r>
    </w:p>
    <w:p w14:paraId="0594B736">
      <w:pPr>
        <w:spacing w:line="440" w:lineRule="exac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3.1 依据标准</w:t>
      </w:r>
    </w:p>
    <w:p w14:paraId="7193057A">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 4706.1-2005《家用和类似用途电器的安全 第1部分：通用要求》</w:t>
      </w:r>
    </w:p>
    <w:p w14:paraId="72715F66">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GB 4706.99-2009《家用和类似用途电器的安全储热式电热暖手器的特殊要求》</w:t>
      </w:r>
    </w:p>
    <w:p w14:paraId="1E3665F6">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经国家标准信息公共服务平台备案现行有效的企业标准及产品明示质量要求；</w:t>
      </w:r>
    </w:p>
    <w:p w14:paraId="151C6D82">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产品明示质量指标及国家法律、法规、规章的有关规定。</w:t>
      </w:r>
    </w:p>
    <w:p w14:paraId="4279EF11">
      <w:pPr>
        <w:spacing w:line="440" w:lineRule="exac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3.2 判定原则</w:t>
      </w:r>
    </w:p>
    <w:p w14:paraId="456497F9">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经检验，检验项目全部合格，判定为被抽查产品所检项目未发现不合格；检验项目中任一项或一项以上不合格，判定为被抽查产品不合格。</w:t>
      </w:r>
    </w:p>
    <w:p w14:paraId="5FD83DA2">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若被检产品明示的质量要求高于本细则中检验项目依据的标准要求时，应按被检产品明示的质量要求判定。</w:t>
      </w:r>
    </w:p>
    <w:p w14:paraId="2EFFF4B3">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若被检产品明示的质量要求低于本细则中检验项目依据的强制性标准要求时，应按照强制性标准要求判定。</w:t>
      </w:r>
    </w:p>
    <w:p w14:paraId="5308BE3F">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若被检产品明示的质量要求低于或包含本细则中检验项目依据的推荐性标准要求时，应以被检产品明示的质量要求判定。</w:t>
      </w:r>
    </w:p>
    <w:p w14:paraId="7F47986C">
      <w:pPr>
        <w:spacing w:line="440" w:lineRule="exact"/>
        <w:ind w:firstLine="573"/>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若被检产品明示的质量要求缺少本细则中检验项目依据的强制性标准要求时，应按照强制性标准要求判定。</w:t>
      </w:r>
    </w:p>
    <w:p w14:paraId="61FA5C61">
      <w:pPr>
        <w:spacing w:line="440" w:lineRule="exact"/>
        <w:ind w:firstLine="573"/>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若被检产品明示的质量要求缺少本细则中检验项目依据的推荐性标准要求时，该项目不参与判定。</w:t>
      </w:r>
    </w:p>
    <w:p w14:paraId="263498D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69543F4"/>
    <w:rsid w:val="478B6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宋体" w:asciiTheme="majorHAnsi" w:hAnsiTheme="majorHAnsi" w:cstheme="majorBidi"/>
      <w:b/>
      <w:bCs/>
      <w:sz w:val="32"/>
      <w:szCs w:val="32"/>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752</Words>
  <Characters>878</Characters>
  <Lines>0</Lines>
  <Paragraphs>0</Paragraphs>
  <TotalTime>0</TotalTime>
  <ScaleCrop>false</ScaleCrop>
  <LinksUpToDate>false</LinksUpToDate>
  <CharactersWithSpaces>894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2026-03-16T03:26:00Z</dcterms:created>
  <dc:creator>Administrator</dc:creator>
  <cp:lastModifiedBy>国家煤化工质检中心</cp:lastModifiedBy>
  <dcterms:modified xsi:type="dcterms:W3CDTF">2026-03-19T07:40:12Z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eyJoZGlkIjoiYzUyNjhhNzAxNGQzZTVjZGI4OWNkMzdmNjE1MWFmMTEiLCJ1c2VySWQiOiI1NzEzMjEzNzgifQ==</vt:lpwstr>
  </property>
  <property fmtid="{D5CDD505-2E9C-101B-9397-08002B2CF9AE}" pid="4" name="ICV">
    <vt:lpwstr>7C9EF410FDB94C958DFAAE5663931446_12</vt:lpwstr>
  </property>
</Properties>
</file>