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C9891F">
      <w:pPr>
        <w:pStyle w:val="2"/>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淮南市</w:t>
      </w:r>
      <w:r>
        <w:rPr>
          <w:rFonts w:hint="eastAsia" w:ascii="宋体" w:hAnsi="宋体" w:cs="宋体"/>
          <w:color w:val="000000" w:themeColor="text1"/>
          <w:highlight w:val="none"/>
          <w:lang w:val="en-US" w:eastAsia="zh-CN"/>
          <w14:textFill>
            <w14:solidFill>
              <w14:schemeClr w14:val="tx1"/>
            </w14:solidFill>
          </w14:textFill>
        </w:rPr>
        <w:t>小家电</w:t>
      </w:r>
      <w:r>
        <w:rPr>
          <w:rFonts w:hint="eastAsia" w:ascii="宋体" w:hAnsi="宋体" w:eastAsia="宋体" w:cs="宋体"/>
          <w:color w:val="000000" w:themeColor="text1"/>
          <w:highlight w:val="none"/>
          <w14:textFill>
            <w14:solidFill>
              <w14:schemeClr w14:val="tx1"/>
            </w14:solidFill>
          </w14:textFill>
        </w:rPr>
        <w:t>产品质量监督抽查</w:t>
      </w:r>
      <w:r>
        <w:rPr>
          <w:rFonts w:hint="eastAsia" w:ascii="宋体" w:hAnsi="宋体" w:eastAsia="宋体" w:cs="宋体"/>
          <w:color w:val="000000" w:themeColor="text1"/>
          <w:highlight w:val="none"/>
          <w:lang w:eastAsia="zh-CN"/>
          <w14:textFill>
            <w14:solidFill>
              <w14:schemeClr w14:val="tx1"/>
            </w14:solidFill>
          </w14:textFill>
        </w:rPr>
        <w:t>实施细则</w:t>
      </w:r>
    </w:p>
    <w:p w14:paraId="4A793715">
      <w:pPr>
        <w:pStyle w:val="2"/>
        <w:rPr>
          <w:rFonts w:hint="eastAsia" w:ascii="宋体" w:hAnsi="宋体" w:eastAsia="宋体" w:cs="宋体"/>
          <w:color w:val="000000" w:themeColor="text1"/>
          <w:highlight w:val="none"/>
          <w:lang w:eastAsia="zh-CN"/>
          <w14:textFill>
            <w14:solidFill>
              <w14:schemeClr w14:val="tx1"/>
            </w14:solidFill>
          </w14:textFill>
        </w:rPr>
      </w:pPr>
      <w:bookmarkStart w:id="0" w:name="_GoBack"/>
      <w:bookmarkEnd w:id="0"/>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2026年版）</w:t>
      </w:r>
    </w:p>
    <w:p w14:paraId="61F7FCAF">
      <w:pPr>
        <w:spacing w:line="440" w:lineRule="exac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1、抽样方法</w:t>
      </w:r>
    </w:p>
    <w:p w14:paraId="451A43FB">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以随机抽样的方式在被抽样生产者、销售者的待销产品中抽取。</w:t>
      </w:r>
    </w:p>
    <w:p w14:paraId="31269696">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随机数一般可使用随机数表等方法产生。</w:t>
      </w:r>
    </w:p>
    <w:p w14:paraId="2CBA7650">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每</w:t>
      </w:r>
      <w:r>
        <w:rPr>
          <w:rFonts w:hint="eastAsia" w:ascii="宋体" w:hAnsi="宋体" w:eastAsia="宋体" w:cs="宋体"/>
          <w:color w:val="000000" w:themeColor="text1"/>
          <w:szCs w:val="21"/>
          <w:highlight w:val="none"/>
          <w14:textFill>
            <w14:solidFill>
              <w14:schemeClr w14:val="tx1"/>
            </w14:solidFill>
          </w14:textFill>
        </w:rPr>
        <w:t>批次产品抽取样品</w:t>
      </w:r>
      <w:r>
        <w:rPr>
          <w:rFonts w:hint="eastAsia" w:ascii="宋体" w:hAnsi="宋体" w:eastAsia="宋体" w:cs="宋体"/>
          <w:color w:val="000000" w:themeColor="text1"/>
          <w:szCs w:val="21"/>
          <w:highlight w:val="none"/>
          <w:lang w:val="en-US" w:eastAsia="zh-CN"/>
          <w14:textFill>
            <w14:solidFill>
              <w14:schemeClr w14:val="tx1"/>
            </w14:solidFill>
          </w14:textFill>
        </w:rPr>
        <w:t>2台/套</w:t>
      </w:r>
      <w:r>
        <w:rPr>
          <w:rFonts w:hint="eastAsia" w:ascii="宋体" w:hAnsi="宋体" w:eastAsia="宋体" w:cs="宋体"/>
          <w:color w:val="000000" w:themeColor="text1"/>
          <w:szCs w:val="21"/>
          <w:highlight w:val="none"/>
          <w14:textFill>
            <w14:solidFill>
              <w14:schemeClr w14:val="tx1"/>
            </w14:solidFill>
          </w14:textFill>
        </w:rPr>
        <w:t>，其中</w:t>
      </w:r>
      <w:r>
        <w:rPr>
          <w:rFonts w:hint="eastAsia" w:ascii="宋体" w:hAnsi="宋体" w:eastAsia="宋体" w:cs="宋体"/>
          <w:color w:val="000000" w:themeColor="text1"/>
          <w:szCs w:val="21"/>
          <w:highlight w:val="none"/>
          <w:lang w:val="en-US" w:eastAsia="zh-CN"/>
          <w14:textFill>
            <w14:solidFill>
              <w14:schemeClr w14:val="tx1"/>
            </w14:solidFill>
          </w14:textFill>
        </w:rPr>
        <w:t>1台/套</w:t>
      </w:r>
      <w:r>
        <w:rPr>
          <w:rFonts w:hint="eastAsia" w:ascii="宋体" w:hAnsi="宋体" w:eastAsia="宋体" w:cs="宋体"/>
          <w:color w:val="000000" w:themeColor="text1"/>
          <w:szCs w:val="21"/>
          <w:highlight w:val="none"/>
          <w14:textFill>
            <w14:solidFill>
              <w14:schemeClr w14:val="tx1"/>
            </w14:solidFill>
          </w14:textFill>
        </w:rPr>
        <w:t>作为检验样品，1</w:t>
      </w:r>
      <w:r>
        <w:rPr>
          <w:rFonts w:hint="eastAsia" w:ascii="宋体" w:hAnsi="宋体" w:eastAsia="宋体" w:cs="宋体"/>
          <w:color w:val="000000" w:themeColor="text1"/>
          <w:szCs w:val="21"/>
          <w:highlight w:val="none"/>
          <w:lang w:val="en-US" w:eastAsia="zh-CN"/>
          <w14:textFill>
            <w14:solidFill>
              <w14:schemeClr w14:val="tx1"/>
            </w14:solidFill>
          </w14:textFill>
        </w:rPr>
        <w:t>台/套</w:t>
      </w:r>
      <w:r>
        <w:rPr>
          <w:rFonts w:hint="eastAsia" w:ascii="宋体" w:hAnsi="宋体" w:eastAsia="宋体" w:cs="宋体"/>
          <w:color w:val="000000" w:themeColor="text1"/>
          <w:szCs w:val="21"/>
          <w:highlight w:val="none"/>
          <w14:textFill>
            <w14:solidFill>
              <w14:schemeClr w14:val="tx1"/>
            </w14:solidFill>
          </w14:textFill>
        </w:rPr>
        <w:t>作为备用样品</w:t>
      </w:r>
      <w:r>
        <w:rPr>
          <w:rFonts w:hint="eastAsia" w:ascii="宋体" w:hAnsi="宋体" w:eastAsia="宋体" w:cs="宋体"/>
          <w:color w:val="000000" w:themeColor="text1"/>
          <w:sz w:val="21"/>
          <w:szCs w:val="21"/>
          <w:highlight w:val="none"/>
          <w14:textFill>
            <w14:solidFill>
              <w14:schemeClr w14:val="tx1"/>
            </w14:solidFill>
          </w14:textFill>
        </w:rPr>
        <w:t>。</w:t>
      </w:r>
    </w:p>
    <w:p w14:paraId="5536FDC8">
      <w:pPr>
        <w:spacing w:line="440" w:lineRule="exac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2、检验依据</w:t>
      </w:r>
    </w:p>
    <w:p w14:paraId="0256AE72">
      <w:pPr>
        <w:snapToGrid w:val="0"/>
        <w:spacing w:line="440" w:lineRule="exact"/>
        <w:ind w:firstLine="420" w:firstLineChars="200"/>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表1</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eastAsia="zh-CN"/>
        </w:rPr>
        <w:t>小家电</w:t>
      </w:r>
    </w:p>
    <w:tbl>
      <w:tblPr>
        <w:tblStyle w:val="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3710"/>
        <w:gridCol w:w="3483"/>
      </w:tblGrid>
      <w:tr w14:paraId="2D73B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778" w:type="pct"/>
            <w:noWrap w:val="0"/>
            <w:vAlign w:val="center"/>
          </w:tcPr>
          <w:p w14:paraId="4500ADB8">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2177" w:type="pct"/>
            <w:noWrap w:val="0"/>
            <w:vAlign w:val="center"/>
          </w:tcPr>
          <w:p w14:paraId="695CAD27">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检验项目</w:t>
            </w:r>
          </w:p>
        </w:tc>
        <w:tc>
          <w:tcPr>
            <w:tcW w:w="2043" w:type="pct"/>
            <w:noWrap w:val="0"/>
            <w:vAlign w:val="center"/>
          </w:tcPr>
          <w:p w14:paraId="6397E27B">
            <w:pPr>
              <w:snapToGrid w:val="0"/>
              <w:jc w:val="center"/>
              <w:rPr>
                <w:rFonts w:hint="eastAsia" w:ascii="宋体" w:hAnsi="宋体" w:eastAsia="宋体" w:cs="宋体"/>
                <w:sz w:val="21"/>
                <w:szCs w:val="21"/>
              </w:rPr>
            </w:pPr>
            <w:r>
              <w:rPr>
                <w:rFonts w:hint="eastAsia" w:ascii="宋体" w:hAnsi="宋体" w:eastAsia="宋体" w:cs="宋体"/>
                <w:sz w:val="21"/>
                <w:szCs w:val="21"/>
                <w:lang w:eastAsia="zh-CN"/>
              </w:rPr>
              <w:t>检验</w:t>
            </w:r>
            <w:r>
              <w:rPr>
                <w:rFonts w:hint="eastAsia" w:ascii="宋体" w:hAnsi="宋体" w:eastAsia="宋体" w:cs="宋体"/>
                <w:sz w:val="21"/>
                <w:szCs w:val="21"/>
              </w:rPr>
              <w:t>依据</w:t>
            </w:r>
          </w:p>
        </w:tc>
      </w:tr>
      <w:tr w14:paraId="2841B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778" w:type="pct"/>
            <w:noWrap w:val="0"/>
            <w:vAlign w:val="center"/>
          </w:tcPr>
          <w:p w14:paraId="47F90D71">
            <w:pPr>
              <w:snapToGrid w:val="0"/>
              <w:spacing w:line="32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1</w:t>
            </w:r>
          </w:p>
        </w:tc>
        <w:tc>
          <w:tcPr>
            <w:tcW w:w="2177" w:type="pct"/>
            <w:noWrap w:val="0"/>
            <w:vAlign w:val="center"/>
          </w:tcPr>
          <w:p w14:paraId="11424007">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kern w:val="2"/>
                <w:sz w:val="21"/>
                <w:szCs w:val="21"/>
                <w:shd w:val="clear" w:color="auto" w:fill="FFFFFF"/>
                <w:vertAlign w:val="baseline"/>
                <w:lang w:val="en-US" w:eastAsia="zh-CN" w:bidi="ar-SA"/>
              </w:rPr>
            </w:pPr>
            <w:r>
              <w:rPr>
                <w:rFonts w:hint="eastAsia" w:ascii="宋体" w:hAnsi="宋体" w:eastAsia="宋体" w:cs="宋体"/>
                <w:color w:val="000000"/>
                <w:sz w:val="21"/>
                <w:szCs w:val="21"/>
                <w:shd w:val="clear" w:color="auto" w:fill="FFFFFF"/>
                <w:vertAlign w:val="baseline"/>
                <w:lang w:val="en-US" w:eastAsia="zh-CN"/>
              </w:rPr>
              <w:t>对触及带电部件的防护</w:t>
            </w:r>
          </w:p>
        </w:tc>
        <w:tc>
          <w:tcPr>
            <w:tcW w:w="2043" w:type="pct"/>
            <w:noWrap w:val="0"/>
            <w:vAlign w:val="center"/>
          </w:tcPr>
          <w:p w14:paraId="615CBA35">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color w:val="000000"/>
                <w:sz w:val="21"/>
                <w:szCs w:val="21"/>
                <w:shd w:val="clear" w:color="auto" w:fill="FFFFFF"/>
                <w:vertAlign w:val="baseline"/>
                <w:lang w:val="en-US" w:eastAsia="zh-CN"/>
              </w:rPr>
              <w:t>GB 4706.1-2005</w:t>
            </w:r>
          </w:p>
        </w:tc>
      </w:tr>
      <w:tr w14:paraId="5D2F8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778" w:type="pct"/>
            <w:noWrap w:val="0"/>
            <w:vAlign w:val="center"/>
          </w:tcPr>
          <w:p w14:paraId="43358BAA">
            <w:pPr>
              <w:snapToGrid w:val="0"/>
              <w:spacing w:line="32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2</w:t>
            </w:r>
          </w:p>
        </w:tc>
        <w:tc>
          <w:tcPr>
            <w:tcW w:w="2177" w:type="pct"/>
            <w:noWrap w:val="0"/>
            <w:vAlign w:val="center"/>
          </w:tcPr>
          <w:p w14:paraId="04E2634A">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kern w:val="2"/>
                <w:sz w:val="21"/>
                <w:szCs w:val="21"/>
                <w:shd w:val="clear" w:color="auto" w:fill="FFFFFF"/>
                <w:vertAlign w:val="baseline"/>
                <w:lang w:val="en-US" w:eastAsia="zh-CN" w:bidi="ar-SA"/>
              </w:rPr>
            </w:pPr>
            <w:r>
              <w:rPr>
                <w:rFonts w:hint="eastAsia" w:ascii="宋体" w:hAnsi="宋体" w:eastAsia="宋体" w:cs="宋体"/>
                <w:color w:val="000000"/>
                <w:sz w:val="21"/>
                <w:szCs w:val="21"/>
                <w:shd w:val="clear" w:color="auto" w:fill="FFFFFF"/>
                <w:vertAlign w:val="baseline"/>
                <w:lang w:val="en-US" w:eastAsia="zh-CN"/>
              </w:rPr>
              <w:t>输入功率和电流</w:t>
            </w:r>
          </w:p>
        </w:tc>
        <w:tc>
          <w:tcPr>
            <w:tcW w:w="2043" w:type="pct"/>
            <w:noWrap w:val="0"/>
            <w:vAlign w:val="center"/>
          </w:tcPr>
          <w:p w14:paraId="6E0A84AF">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color w:val="000000"/>
                <w:sz w:val="21"/>
                <w:szCs w:val="21"/>
                <w:shd w:val="clear" w:color="auto" w:fill="FFFFFF"/>
                <w:vertAlign w:val="baseline"/>
                <w:lang w:val="en-US" w:eastAsia="zh-CN"/>
              </w:rPr>
              <w:t>GB 4706.1-2005</w:t>
            </w:r>
          </w:p>
        </w:tc>
      </w:tr>
      <w:tr w14:paraId="02688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778" w:type="pct"/>
            <w:noWrap w:val="0"/>
            <w:vAlign w:val="center"/>
          </w:tcPr>
          <w:p w14:paraId="271ECF35">
            <w:pPr>
              <w:snapToGrid w:val="0"/>
              <w:spacing w:line="32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3</w:t>
            </w:r>
          </w:p>
        </w:tc>
        <w:tc>
          <w:tcPr>
            <w:tcW w:w="2177" w:type="pct"/>
            <w:noWrap w:val="0"/>
            <w:vAlign w:val="center"/>
          </w:tcPr>
          <w:p w14:paraId="32E37443">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kern w:val="2"/>
                <w:sz w:val="21"/>
                <w:szCs w:val="21"/>
                <w:shd w:val="clear" w:color="auto" w:fill="FFFFFF"/>
                <w:vertAlign w:val="baseline"/>
                <w:lang w:val="en-US" w:eastAsia="zh-CN" w:bidi="ar-SA"/>
              </w:rPr>
            </w:pPr>
            <w:r>
              <w:rPr>
                <w:rFonts w:hint="eastAsia" w:ascii="宋体" w:hAnsi="宋体" w:eastAsia="宋体" w:cs="宋体"/>
                <w:color w:val="000000"/>
                <w:sz w:val="21"/>
                <w:szCs w:val="21"/>
                <w:shd w:val="clear" w:color="auto" w:fill="FFFFFF"/>
                <w:vertAlign w:val="baseline"/>
                <w:lang w:val="en-US" w:eastAsia="zh-CN"/>
              </w:rPr>
              <w:t>发热</w:t>
            </w:r>
          </w:p>
        </w:tc>
        <w:tc>
          <w:tcPr>
            <w:tcW w:w="2043" w:type="pct"/>
            <w:noWrap w:val="0"/>
            <w:vAlign w:val="center"/>
          </w:tcPr>
          <w:p w14:paraId="23C89184">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color w:val="000000"/>
                <w:sz w:val="21"/>
                <w:szCs w:val="21"/>
                <w:shd w:val="clear" w:color="auto" w:fill="FFFFFF"/>
                <w:vertAlign w:val="baseline"/>
                <w:lang w:val="en-US" w:eastAsia="zh-CN"/>
              </w:rPr>
              <w:t>GB 4706.1-2005</w:t>
            </w:r>
          </w:p>
        </w:tc>
      </w:tr>
      <w:tr w14:paraId="15AED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778" w:type="pct"/>
            <w:noWrap w:val="0"/>
            <w:vAlign w:val="center"/>
          </w:tcPr>
          <w:p w14:paraId="461A787A">
            <w:pPr>
              <w:snapToGrid w:val="0"/>
              <w:spacing w:line="32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4</w:t>
            </w:r>
          </w:p>
        </w:tc>
        <w:tc>
          <w:tcPr>
            <w:tcW w:w="2177" w:type="pct"/>
            <w:noWrap w:val="0"/>
            <w:vAlign w:val="center"/>
          </w:tcPr>
          <w:p w14:paraId="440BFFE9">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kern w:val="2"/>
                <w:sz w:val="21"/>
                <w:szCs w:val="21"/>
                <w:shd w:val="clear" w:color="auto" w:fill="FFFFFF"/>
                <w:vertAlign w:val="baseline"/>
                <w:lang w:val="en-US" w:eastAsia="zh-CN" w:bidi="ar-SA"/>
              </w:rPr>
            </w:pPr>
            <w:r>
              <w:rPr>
                <w:rFonts w:hint="eastAsia" w:ascii="宋体" w:hAnsi="宋体" w:eastAsia="宋体" w:cs="宋体"/>
                <w:color w:val="000000"/>
                <w:sz w:val="21"/>
                <w:szCs w:val="21"/>
                <w:shd w:val="clear" w:color="auto" w:fill="FFFFFF"/>
                <w:vertAlign w:val="baseline"/>
                <w:lang w:val="en-US" w:eastAsia="zh-CN"/>
              </w:rPr>
              <w:t>工作温度下的泄漏电流和电气强度</w:t>
            </w:r>
          </w:p>
        </w:tc>
        <w:tc>
          <w:tcPr>
            <w:tcW w:w="2043" w:type="pct"/>
            <w:noWrap w:val="0"/>
            <w:vAlign w:val="center"/>
          </w:tcPr>
          <w:p w14:paraId="08906344">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color w:val="000000"/>
                <w:sz w:val="21"/>
                <w:szCs w:val="21"/>
                <w:shd w:val="clear" w:color="auto" w:fill="FFFFFF"/>
                <w:vertAlign w:val="baseline"/>
                <w:lang w:val="en-US" w:eastAsia="zh-CN"/>
              </w:rPr>
              <w:t>GB 4706.1-2005</w:t>
            </w:r>
          </w:p>
        </w:tc>
      </w:tr>
      <w:tr w14:paraId="39F90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778" w:type="pct"/>
            <w:noWrap w:val="0"/>
            <w:vAlign w:val="center"/>
          </w:tcPr>
          <w:p w14:paraId="04D781C4">
            <w:pPr>
              <w:snapToGrid w:val="0"/>
              <w:spacing w:line="32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5</w:t>
            </w:r>
          </w:p>
        </w:tc>
        <w:tc>
          <w:tcPr>
            <w:tcW w:w="2177" w:type="pct"/>
            <w:noWrap w:val="0"/>
            <w:vAlign w:val="center"/>
          </w:tcPr>
          <w:p w14:paraId="5DB4DA3D">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kern w:val="2"/>
                <w:sz w:val="21"/>
                <w:szCs w:val="21"/>
                <w:shd w:val="clear" w:color="auto" w:fill="FFFFFF"/>
                <w:vertAlign w:val="baseline"/>
                <w:lang w:val="en-US" w:eastAsia="zh-CN" w:bidi="ar-SA"/>
              </w:rPr>
            </w:pPr>
            <w:r>
              <w:rPr>
                <w:rFonts w:hint="eastAsia" w:ascii="宋体" w:hAnsi="宋体" w:eastAsia="宋体" w:cs="宋体"/>
                <w:color w:val="000000"/>
                <w:sz w:val="21"/>
                <w:szCs w:val="21"/>
                <w:shd w:val="clear" w:color="auto" w:fill="FFFFFF"/>
                <w:vertAlign w:val="baseline"/>
                <w:lang w:val="en-US" w:eastAsia="zh-CN"/>
              </w:rPr>
              <w:t>电源连接和外部软线</w:t>
            </w:r>
          </w:p>
        </w:tc>
        <w:tc>
          <w:tcPr>
            <w:tcW w:w="2043" w:type="pct"/>
            <w:noWrap w:val="0"/>
            <w:vAlign w:val="center"/>
          </w:tcPr>
          <w:p w14:paraId="2F252EB8">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color w:val="000000"/>
                <w:sz w:val="21"/>
                <w:szCs w:val="21"/>
                <w:shd w:val="clear" w:color="auto" w:fill="FFFFFF"/>
                <w:vertAlign w:val="baseline"/>
                <w:lang w:val="en-US" w:eastAsia="zh-CN"/>
              </w:rPr>
              <w:t>GB 4706.1-2005</w:t>
            </w:r>
          </w:p>
        </w:tc>
      </w:tr>
      <w:tr w14:paraId="5DA07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778" w:type="pct"/>
            <w:noWrap w:val="0"/>
            <w:vAlign w:val="center"/>
          </w:tcPr>
          <w:p w14:paraId="0CBFF3AD">
            <w:pPr>
              <w:snapToGrid w:val="0"/>
              <w:spacing w:line="32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6</w:t>
            </w:r>
          </w:p>
        </w:tc>
        <w:tc>
          <w:tcPr>
            <w:tcW w:w="2177" w:type="pct"/>
            <w:noWrap w:val="0"/>
            <w:vAlign w:val="center"/>
          </w:tcPr>
          <w:p w14:paraId="2C121FEA">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kern w:val="2"/>
                <w:sz w:val="21"/>
                <w:szCs w:val="21"/>
                <w:shd w:val="clear" w:color="auto" w:fill="FFFFFF"/>
                <w:vertAlign w:val="baseline"/>
                <w:lang w:val="en-US" w:eastAsia="zh-CN" w:bidi="ar-SA"/>
              </w:rPr>
            </w:pPr>
            <w:r>
              <w:rPr>
                <w:rFonts w:hint="eastAsia" w:ascii="宋体" w:hAnsi="宋体" w:eastAsia="宋体" w:cs="宋体"/>
                <w:color w:val="000000"/>
                <w:sz w:val="21"/>
                <w:szCs w:val="21"/>
                <w:shd w:val="clear" w:color="auto" w:fill="FFFFFF"/>
                <w:vertAlign w:val="baseline"/>
                <w:lang w:val="en-US" w:eastAsia="zh-CN"/>
              </w:rPr>
              <w:t>内部布线</w:t>
            </w:r>
          </w:p>
        </w:tc>
        <w:tc>
          <w:tcPr>
            <w:tcW w:w="2043" w:type="pct"/>
            <w:noWrap w:val="0"/>
            <w:vAlign w:val="center"/>
          </w:tcPr>
          <w:p w14:paraId="210CD9B3">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color w:val="000000"/>
                <w:sz w:val="21"/>
                <w:szCs w:val="21"/>
                <w:shd w:val="clear" w:color="auto" w:fill="FFFFFF"/>
                <w:vertAlign w:val="baseline"/>
                <w:lang w:val="en-US" w:eastAsia="zh-CN"/>
              </w:rPr>
              <w:t>GB 4706.1-2005</w:t>
            </w:r>
          </w:p>
        </w:tc>
      </w:tr>
      <w:tr w14:paraId="6B45F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778" w:type="pct"/>
            <w:vAlign w:val="center"/>
          </w:tcPr>
          <w:p w14:paraId="3AFED019">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w:t>
            </w:r>
          </w:p>
        </w:tc>
        <w:tc>
          <w:tcPr>
            <w:tcW w:w="2177" w:type="pct"/>
            <w:vAlign w:val="center"/>
          </w:tcPr>
          <w:p w14:paraId="7A22DCF9">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kern w:val="2"/>
                <w:sz w:val="21"/>
                <w:szCs w:val="21"/>
                <w:shd w:val="clear" w:color="auto" w:fill="FFFFFF"/>
                <w:vertAlign w:val="baseline"/>
                <w:lang w:val="en-US" w:eastAsia="zh-CN" w:bidi="ar-SA"/>
              </w:rPr>
            </w:pPr>
            <w:r>
              <w:rPr>
                <w:rFonts w:hint="eastAsia" w:ascii="宋体" w:hAnsi="宋体" w:eastAsia="宋体" w:cs="宋体"/>
                <w:color w:val="000000"/>
                <w:sz w:val="21"/>
                <w:szCs w:val="21"/>
                <w:shd w:val="clear" w:color="auto" w:fill="FFFFFF"/>
                <w:vertAlign w:val="baseline"/>
                <w:lang w:val="en-US" w:eastAsia="zh-CN"/>
              </w:rPr>
              <w:t>螺钉和连接</w:t>
            </w:r>
          </w:p>
        </w:tc>
        <w:tc>
          <w:tcPr>
            <w:tcW w:w="2043" w:type="pct"/>
            <w:vAlign w:val="center"/>
          </w:tcPr>
          <w:p w14:paraId="30E7DCCF">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color w:val="000000"/>
                <w:sz w:val="21"/>
                <w:szCs w:val="21"/>
                <w:shd w:val="clear" w:color="auto" w:fill="FFFFFF"/>
                <w:vertAlign w:val="baseline"/>
                <w:lang w:val="en-US" w:eastAsia="zh-CN"/>
              </w:rPr>
              <w:t>GB 4706.1-2005</w:t>
            </w:r>
          </w:p>
        </w:tc>
      </w:tr>
      <w:tr w14:paraId="7E3C6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778" w:type="pct"/>
            <w:vAlign w:val="center"/>
          </w:tcPr>
          <w:p w14:paraId="7980F891">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2177" w:type="pct"/>
            <w:vAlign w:val="center"/>
          </w:tcPr>
          <w:p w14:paraId="663EEEC0">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kern w:val="2"/>
                <w:sz w:val="21"/>
                <w:szCs w:val="21"/>
                <w:shd w:val="clear" w:color="auto" w:fill="FFFFFF"/>
                <w:vertAlign w:val="baseline"/>
                <w:lang w:val="en-US" w:eastAsia="zh-CN" w:bidi="ar-SA"/>
              </w:rPr>
            </w:pPr>
            <w:r>
              <w:rPr>
                <w:rFonts w:hint="eastAsia" w:ascii="宋体" w:hAnsi="宋体" w:eastAsia="宋体" w:cs="宋体"/>
                <w:color w:val="000000"/>
                <w:sz w:val="21"/>
                <w:szCs w:val="21"/>
                <w:shd w:val="clear" w:color="auto" w:fill="FFFFFF"/>
                <w:vertAlign w:val="baseline"/>
                <w:lang w:val="en-US" w:eastAsia="zh-CN"/>
              </w:rPr>
              <w:t>电气间隙、爬电距离和固体绝缘</w:t>
            </w:r>
          </w:p>
        </w:tc>
        <w:tc>
          <w:tcPr>
            <w:tcW w:w="2043" w:type="pct"/>
            <w:vAlign w:val="center"/>
          </w:tcPr>
          <w:p w14:paraId="387682B2">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color w:val="000000"/>
                <w:sz w:val="21"/>
                <w:szCs w:val="21"/>
                <w:shd w:val="clear" w:color="auto" w:fill="FFFFFF"/>
                <w:vertAlign w:val="baseline"/>
                <w:lang w:val="en-US" w:eastAsia="zh-CN"/>
              </w:rPr>
              <w:t>GB 4706.1-2005</w:t>
            </w:r>
          </w:p>
        </w:tc>
      </w:tr>
    </w:tbl>
    <w:p w14:paraId="63978F02">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执行企业标准、团体标准、地方标准的产品，检验项目参照上述内容执行。</w:t>
      </w:r>
    </w:p>
    <w:p w14:paraId="3EB54E49">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凡是注日期的文件，其随后所有的修改单（不包括勘误的内容）或修订版不适用于本细则。凡是不注日期的文件，其最新版本适用于本细则。</w:t>
      </w:r>
    </w:p>
    <w:p w14:paraId="1A3EE567">
      <w:pPr>
        <w:spacing w:line="440" w:lineRule="exact"/>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3 判定规则</w:t>
      </w:r>
    </w:p>
    <w:p w14:paraId="02658DC7">
      <w:pPr>
        <w:spacing w:line="4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3.1 依据标准</w:t>
      </w:r>
    </w:p>
    <w:p w14:paraId="2751C8E5">
      <w:pPr>
        <w:spacing w:line="440" w:lineRule="exact"/>
        <w:ind w:firstLine="573"/>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GB 4706.1-2005家用和类似用途电器的安全 第1部分：通用要求</w:t>
      </w:r>
    </w:p>
    <w:p w14:paraId="4E0EDB8F">
      <w:pPr>
        <w:spacing w:line="440" w:lineRule="exact"/>
        <w:ind w:firstLine="573"/>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GB 4706.8-2008家用和类似用途电器的安全 电热毯、电热垫及类似柔性发热器具的特殊要求</w:t>
      </w:r>
    </w:p>
    <w:p w14:paraId="3D50700C">
      <w:pPr>
        <w:spacing w:line="440" w:lineRule="exact"/>
        <w:ind w:firstLine="573"/>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GB 4706.9-2008家用和类似用途电器的安全 剃须刀、电推剪及类似器具的特殊要求</w:t>
      </w:r>
    </w:p>
    <w:p w14:paraId="3C100114">
      <w:pPr>
        <w:spacing w:line="440" w:lineRule="exact"/>
        <w:ind w:firstLine="573"/>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GB 4706.27—2008家用和类似用途电器的安全 风扇的特殊要求</w:t>
      </w:r>
    </w:p>
    <w:p w14:paraId="33671112">
      <w:pPr>
        <w:spacing w:line="440" w:lineRule="exact"/>
        <w:ind w:firstLine="573"/>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GB 4706.15-2008家用和类似用途电器的安全 皮肤及毛发护理器具的特殊要求</w:t>
      </w:r>
    </w:p>
    <w:p w14:paraId="70B40B65">
      <w:pPr>
        <w:spacing w:line="440" w:lineRule="exact"/>
        <w:ind w:firstLine="573"/>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GB 4706.19-2008家用和类似用途电器的安全 液体加热器的特殊要求</w:t>
      </w:r>
    </w:p>
    <w:p w14:paraId="1FBB0077">
      <w:pPr>
        <w:spacing w:line="440" w:lineRule="exact"/>
        <w:ind w:firstLine="573"/>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GB 4706.21-2008家用和类似用途电器的安全 微波炉的特殊要求</w:t>
      </w:r>
    </w:p>
    <w:p w14:paraId="2EB7E039">
      <w:pPr>
        <w:spacing w:line="440" w:lineRule="exact"/>
        <w:ind w:firstLine="573"/>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GB 4706.23-2007家用和类似用途电器的安全 室内加热器的特殊要求</w:t>
      </w:r>
    </w:p>
    <w:p w14:paraId="377194FC">
      <w:pPr>
        <w:spacing w:line="440" w:lineRule="exact"/>
        <w:ind w:firstLine="573"/>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GB 4706.29-2008家用和类似用途电器的安全 便携式电磁灶的特殊要求</w:t>
      </w:r>
    </w:p>
    <w:p w14:paraId="1E84456C">
      <w:pPr>
        <w:spacing w:line="440" w:lineRule="exact"/>
        <w:ind w:firstLine="573"/>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GB 4706.30-2008家用和类似用途电器的安全  厨房机械的特殊要求</w:t>
      </w:r>
    </w:p>
    <w:p w14:paraId="32E2110F">
      <w:pPr>
        <w:spacing w:line="440" w:lineRule="exact"/>
        <w:ind w:firstLine="573"/>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GB 4706.48-2009家用和类似用途电器的安全 加湿器的特殊要求</w:t>
      </w:r>
    </w:p>
    <w:p w14:paraId="37FFDE3D">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GB 4706.2-2007家用和类似用途电器的安全 电熨斗的特殊要求等</w:t>
      </w:r>
    </w:p>
    <w:p w14:paraId="0C6552C1">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经国家标准信息公共服务平台备案现行有效的企业标准及产品明示质量要求；</w:t>
      </w:r>
    </w:p>
    <w:p w14:paraId="787CC720">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产品明示质量指标及国家法律、法规、规章的有关规定。</w:t>
      </w:r>
    </w:p>
    <w:p w14:paraId="76B8CC8F">
      <w:pPr>
        <w:spacing w:line="4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 判定原则</w:t>
      </w:r>
    </w:p>
    <w:p w14:paraId="237D447E">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经检验，检验项目全部合格，判定为被抽查产品所检项目未发现不合格；检验项目中任一项或一项以上不合格，判定为被抽查产品不合格。</w:t>
      </w:r>
    </w:p>
    <w:p w14:paraId="46FBD3FC">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若被检产品明示的质量要求高于本细则中检验项目依据的标准要求时，应按被检产品明示的质量要求判定。</w:t>
      </w:r>
    </w:p>
    <w:p w14:paraId="2FB9209A">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若被检产品明示的质量要求低于本细则中检验项目依据的强制性标准要求时，应按照强制性标准要求判定。</w:t>
      </w:r>
    </w:p>
    <w:p w14:paraId="1AD08453">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若被检产品明示的质量要求低于或包含本细则中检验项目依据的推荐性标准要求时，应以被检产品明示的质量要求判定。</w:t>
      </w:r>
    </w:p>
    <w:p w14:paraId="57B0867F">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若被检产品明示的质量要求缺少本细则中检验项目依据的强制性标准要求时，应按照强制性标准要求判定。</w:t>
      </w:r>
    </w:p>
    <w:p w14:paraId="381F882B">
      <w:r>
        <w:rPr>
          <w:rFonts w:hint="eastAsia" w:ascii="宋体" w:hAnsi="宋体" w:eastAsia="宋体" w:cs="宋体"/>
          <w:color w:val="000000" w:themeColor="text1"/>
          <w:sz w:val="21"/>
          <w:szCs w:val="21"/>
          <w:highlight w:val="none"/>
          <w14:textFill>
            <w14:solidFill>
              <w14:schemeClr w14:val="tx1"/>
            </w14:solidFill>
          </w14:textFill>
        </w:rPr>
        <w:t>若被检产品明示的质量要求缺少本细则中检验项目依据的推荐性标准要求时，该项目不参与判定。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877A5D"/>
    <w:rsid w:val="4824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宋体" w:asciiTheme="majorHAnsi" w:hAnsiTheme="majorHAnsi" w:cstheme="majorBidi"/>
      <w:b/>
      <w:bCs/>
      <w:sz w:val="32"/>
      <w:szCs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989</Words>
  <Characters>1219</Characters>
  <Lines>0</Lines>
  <Paragraphs>0</Paragraphs>
  <TotalTime>0</TotalTime>
  <ScaleCrop>false</ScaleCrop>
  <LinksUpToDate>false</LinksUpToDate>
  <CharactersWithSpaces>1256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2026-03-16T03:27:00Z</dcterms:created>
  <dc:creator>Administrator</dc:creator>
  <cp:lastModifiedBy>国家煤化工质检中心</cp:lastModifiedBy>
  <dcterms:modified xsi:type="dcterms:W3CDTF">2026-03-19T07:41:10Z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eyJoZGlkIjoiYzUyNjhhNzAxNGQzZTVjZGI4OWNkMzdmNjE1MWFmMTEiLCJ1c2VySWQiOiI1NzEzMjEzNzgifQ==</vt:lpwstr>
  </property>
  <property fmtid="{D5CDD505-2E9C-101B-9397-08002B2CF9AE}" pid="4" name="ICV">
    <vt:lpwstr>7562FF98631748278032AEC580A521AF_12</vt:lpwstr>
  </property>
</Properties>
</file>