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8BC5D">
      <w:pPr>
        <w:pStyle w:val="2"/>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淮南</w:t>
      </w:r>
      <w:r>
        <w:rPr>
          <w:rFonts w:hint="eastAsia" w:ascii="宋体" w:hAnsi="宋体" w:cs="宋体"/>
          <w:color w:val="auto"/>
          <w:highlight w:val="none"/>
          <w:lang w:eastAsia="zh-CN"/>
        </w:rPr>
        <w:t>市移动电源</w:t>
      </w:r>
      <w:r>
        <w:rPr>
          <w:rFonts w:hint="eastAsia" w:ascii="宋体" w:hAnsi="宋体" w:eastAsia="宋体" w:cs="宋体"/>
          <w:color w:val="auto"/>
          <w:highlight w:val="none"/>
        </w:rPr>
        <w:t>产品质量监督抽查</w:t>
      </w:r>
      <w:r>
        <w:rPr>
          <w:rFonts w:hint="eastAsia" w:ascii="宋体" w:hAnsi="宋体" w:eastAsia="宋体" w:cs="宋体"/>
          <w:color w:val="auto"/>
          <w:highlight w:val="none"/>
          <w:lang w:eastAsia="zh-CN"/>
        </w:rPr>
        <w:t>实施细则</w:t>
      </w:r>
    </w:p>
    <w:p w14:paraId="7513EE28">
      <w:pPr>
        <w:pStyle w:val="2"/>
        <w:rPr>
          <w:rFonts w:hint="eastAsia" w:ascii="宋体" w:hAnsi="宋体" w:eastAsia="宋体" w:cs="宋体"/>
          <w:color w:val="auto"/>
          <w:highlight w:val="none"/>
          <w:lang w:eastAsia="zh-CN"/>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090977C7">
      <w:pPr>
        <w:spacing w:line="440" w:lineRule="exact"/>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1、抽样方法</w:t>
      </w:r>
    </w:p>
    <w:p w14:paraId="477429F8">
      <w:pP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以随机抽样的方式在被抽样生产者、销售者的待销产品中抽取。</w:t>
      </w:r>
    </w:p>
    <w:p w14:paraId="5DE7CFF5">
      <w:pP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随机数一般可使用随机数表等方法产生。</w:t>
      </w:r>
    </w:p>
    <w:p w14:paraId="71271FAD">
      <w:pPr>
        <w:snapToGrid w:val="0"/>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每批次移动电源</w:t>
      </w:r>
      <w:r>
        <w:rPr>
          <w:rFonts w:hint="eastAsia" w:ascii="宋体" w:hAnsi="宋体" w:eastAsia="宋体" w:cs="宋体"/>
          <w:color w:val="auto"/>
          <w:szCs w:val="21"/>
          <w:highlight w:val="none"/>
          <w:lang w:eastAsia="zh-CN"/>
        </w:rPr>
        <w:t>产品</w:t>
      </w:r>
      <w:r>
        <w:rPr>
          <w:rFonts w:hint="eastAsia" w:ascii="宋体" w:hAnsi="宋体" w:eastAsia="宋体" w:cs="宋体"/>
          <w:color w:val="auto"/>
          <w:szCs w:val="21"/>
          <w:highlight w:val="none"/>
        </w:rPr>
        <w:t>抽取样品</w:t>
      </w:r>
      <w:r>
        <w:rPr>
          <w:rFonts w:hint="eastAsia" w:ascii="宋体" w:hAnsi="宋体" w:eastAsia="宋体" w:cs="宋体"/>
          <w:color w:val="auto"/>
          <w:szCs w:val="21"/>
          <w:highlight w:val="none"/>
          <w:lang w:val="en-US" w:eastAsia="zh-CN"/>
        </w:rPr>
        <w:t>2个</w:t>
      </w:r>
      <w:r>
        <w:rPr>
          <w:rFonts w:hint="eastAsia" w:ascii="宋体" w:hAnsi="宋体" w:eastAsia="宋体" w:cs="宋体"/>
          <w:color w:val="auto"/>
          <w:szCs w:val="21"/>
          <w:highlight w:val="none"/>
        </w:rPr>
        <w:t>，其中</w:t>
      </w:r>
      <w:r>
        <w:rPr>
          <w:rFonts w:hint="eastAsia" w:ascii="宋体" w:hAnsi="宋体" w:eastAsia="宋体" w:cs="宋体"/>
          <w:color w:val="auto"/>
          <w:szCs w:val="21"/>
          <w:highlight w:val="none"/>
          <w:lang w:val="en-US" w:eastAsia="zh-CN"/>
        </w:rPr>
        <w:t>1个</w:t>
      </w:r>
      <w:r>
        <w:rPr>
          <w:rFonts w:hint="eastAsia" w:ascii="宋体" w:hAnsi="宋体" w:eastAsia="宋体" w:cs="宋体"/>
          <w:color w:val="auto"/>
          <w:szCs w:val="21"/>
          <w:highlight w:val="none"/>
        </w:rPr>
        <w:t>作为检验样品，</w:t>
      </w:r>
      <w:r>
        <w:rPr>
          <w:rFonts w:hint="eastAsia" w:ascii="宋体" w:hAnsi="宋体" w:eastAsia="宋体" w:cs="宋体"/>
          <w:color w:val="auto"/>
          <w:szCs w:val="21"/>
          <w:highlight w:val="none"/>
          <w:lang w:val="en-US" w:eastAsia="zh-CN"/>
        </w:rPr>
        <w:t>1个</w:t>
      </w:r>
      <w:r>
        <w:rPr>
          <w:rFonts w:hint="eastAsia" w:ascii="宋体" w:hAnsi="宋体" w:eastAsia="宋体" w:cs="宋体"/>
          <w:color w:val="auto"/>
          <w:szCs w:val="21"/>
          <w:highlight w:val="none"/>
        </w:rPr>
        <w:t>作为备用样品</w:t>
      </w:r>
      <w:r>
        <w:rPr>
          <w:rFonts w:hint="eastAsia" w:ascii="宋体" w:hAnsi="宋体" w:eastAsia="宋体" w:cs="宋体"/>
          <w:color w:val="auto"/>
          <w:szCs w:val="21"/>
          <w:highlight w:val="none"/>
          <w:lang w:eastAsia="zh-CN"/>
        </w:rPr>
        <w:t>。</w:t>
      </w:r>
    </w:p>
    <w:p w14:paraId="6940E453">
      <w:pPr>
        <w:spacing w:line="440" w:lineRule="exact"/>
        <w:rPr>
          <w:rFonts w:hint="eastAsia" w:ascii="宋体" w:hAnsi="宋体" w:eastAsia="宋体" w:cs="宋体"/>
          <w:b/>
          <w:color w:val="auto"/>
          <w:szCs w:val="21"/>
          <w:highlight w:val="none"/>
        </w:rPr>
      </w:pPr>
    </w:p>
    <w:p w14:paraId="33399357">
      <w:pPr>
        <w:spacing w:line="440" w:lineRule="exact"/>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2、检验依据</w:t>
      </w:r>
    </w:p>
    <w:p w14:paraId="1019CEFA">
      <w:pPr>
        <w:spacing w:line="360" w:lineRule="auto"/>
        <w:ind w:left="420" w:hanging="420" w:hangingChars="200"/>
        <w:contextualSpacing/>
        <w:jc w:val="center"/>
        <w:rPr>
          <w:rFonts w:hint="eastAsia" w:ascii="宋体" w:hAnsi="宋体" w:eastAsia="宋体" w:cs="宋体"/>
          <w:sz w:val="21"/>
          <w:szCs w:val="21"/>
          <w:lang w:eastAsia="zh-CN"/>
        </w:rPr>
      </w:pPr>
      <w:r>
        <w:rPr>
          <w:rFonts w:hint="eastAsia" w:ascii="宋体" w:hAnsi="宋体" w:eastAsia="宋体" w:cs="宋体"/>
          <w:sz w:val="21"/>
          <w:szCs w:val="21"/>
        </w:rPr>
        <w:t>表</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r>
        <w:rPr>
          <w:rFonts w:hint="eastAsia" w:ascii="宋体" w:hAnsi="宋体" w:eastAsia="宋体" w:cs="宋体"/>
          <w:sz w:val="21"/>
          <w:szCs w:val="21"/>
          <w:lang w:eastAsia="zh-CN"/>
        </w:rPr>
        <w:t>移动电源（充电宝）</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06DE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1B92DE8B">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Merge w:val="restart"/>
            <w:vAlign w:val="center"/>
          </w:tcPr>
          <w:p w14:paraId="7948651A">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Merge w:val="restart"/>
            <w:vAlign w:val="center"/>
          </w:tcPr>
          <w:p w14:paraId="613A1366">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4245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0B816358">
            <w:pPr>
              <w:bidi w:val="0"/>
              <w:jc w:val="center"/>
              <w:rPr>
                <w:rFonts w:hint="eastAsia" w:ascii="宋体" w:hAnsi="宋体" w:eastAsia="宋体" w:cs="宋体"/>
                <w:b/>
                <w:bCs/>
                <w:sz w:val="24"/>
                <w:szCs w:val="32"/>
              </w:rPr>
            </w:pPr>
          </w:p>
        </w:tc>
        <w:tc>
          <w:tcPr>
            <w:tcW w:w="3526" w:type="dxa"/>
            <w:vMerge w:val="continue"/>
            <w:vAlign w:val="center"/>
          </w:tcPr>
          <w:p w14:paraId="45B380A5">
            <w:pPr>
              <w:bidi w:val="0"/>
              <w:jc w:val="center"/>
              <w:rPr>
                <w:rFonts w:hint="eastAsia" w:ascii="宋体" w:hAnsi="宋体" w:eastAsia="宋体" w:cs="宋体"/>
                <w:b/>
                <w:bCs/>
                <w:sz w:val="24"/>
                <w:szCs w:val="32"/>
              </w:rPr>
            </w:pPr>
          </w:p>
        </w:tc>
        <w:tc>
          <w:tcPr>
            <w:tcW w:w="4051" w:type="dxa"/>
            <w:vMerge w:val="continue"/>
            <w:vAlign w:val="center"/>
          </w:tcPr>
          <w:p w14:paraId="22B9AF2E">
            <w:pPr>
              <w:bidi w:val="0"/>
              <w:jc w:val="center"/>
              <w:rPr>
                <w:rFonts w:hint="eastAsia" w:ascii="宋体" w:hAnsi="宋体" w:eastAsia="宋体" w:cs="宋体"/>
                <w:b/>
                <w:bCs/>
                <w:sz w:val="24"/>
                <w:szCs w:val="32"/>
              </w:rPr>
            </w:pPr>
          </w:p>
        </w:tc>
      </w:tr>
      <w:tr w14:paraId="5C7F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440FF79">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1</w:t>
            </w:r>
          </w:p>
        </w:tc>
        <w:tc>
          <w:tcPr>
            <w:tcW w:w="3526" w:type="dxa"/>
            <w:vAlign w:val="center"/>
          </w:tcPr>
          <w:p w14:paraId="475CAC14">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标记和说明</w:t>
            </w:r>
          </w:p>
        </w:tc>
        <w:tc>
          <w:tcPr>
            <w:tcW w:w="4051" w:type="dxa"/>
            <w:vAlign w:val="center"/>
          </w:tcPr>
          <w:p w14:paraId="0B6B89D9">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4943.1-2022</w:t>
            </w:r>
          </w:p>
        </w:tc>
      </w:tr>
      <w:tr w14:paraId="2C69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3773F08">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2</w:t>
            </w:r>
          </w:p>
        </w:tc>
        <w:tc>
          <w:tcPr>
            <w:tcW w:w="3526" w:type="dxa"/>
            <w:vAlign w:val="center"/>
          </w:tcPr>
          <w:p w14:paraId="45D4E72E">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材料</w:t>
            </w:r>
          </w:p>
        </w:tc>
        <w:tc>
          <w:tcPr>
            <w:tcW w:w="4051" w:type="dxa"/>
            <w:vAlign w:val="center"/>
          </w:tcPr>
          <w:p w14:paraId="3D427987">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4943.1-2022</w:t>
            </w:r>
          </w:p>
        </w:tc>
      </w:tr>
      <w:tr w14:paraId="3C33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3CF069B">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3</w:t>
            </w:r>
          </w:p>
        </w:tc>
        <w:tc>
          <w:tcPr>
            <w:tcW w:w="3526" w:type="dxa"/>
            <w:vAlign w:val="center"/>
          </w:tcPr>
          <w:p w14:paraId="291EE72D">
            <w:pPr>
              <w:bidi w:val="0"/>
              <w:jc w:val="center"/>
              <w:rPr>
                <w:rFonts w:hint="eastAsia" w:ascii="宋体" w:hAnsi="宋体" w:eastAsia="宋体" w:cs="宋体"/>
                <w:color w:val="auto"/>
                <w:sz w:val="21"/>
                <w:szCs w:val="21"/>
                <w:shd w:val="clear" w:color="auto" w:fill="FFFFFF"/>
                <w:vertAlign w:val="baseline"/>
                <w:lang w:val="zh-CN" w:eastAsia="zh-CN"/>
              </w:rPr>
            </w:pPr>
            <w:r>
              <w:rPr>
                <w:rFonts w:hint="eastAsia" w:ascii="宋体" w:hAnsi="宋体" w:eastAsia="宋体" w:cs="宋体"/>
                <w:color w:val="auto"/>
                <w:sz w:val="21"/>
                <w:szCs w:val="21"/>
                <w:shd w:val="clear" w:color="auto" w:fill="FFFFFF"/>
                <w:vertAlign w:val="baseline"/>
                <w:lang w:val="en-US" w:eastAsia="zh-CN"/>
              </w:rPr>
              <w:t>元器件和系统的最高温度</w:t>
            </w:r>
          </w:p>
        </w:tc>
        <w:tc>
          <w:tcPr>
            <w:tcW w:w="4051" w:type="dxa"/>
            <w:vAlign w:val="center"/>
          </w:tcPr>
          <w:p w14:paraId="30829F8D">
            <w:pPr>
              <w:bidi w:val="0"/>
              <w:jc w:val="center"/>
              <w:rPr>
                <w:rFonts w:hint="eastAsia" w:ascii="宋体" w:hAnsi="宋体" w:eastAsia="宋体" w:cs="宋体"/>
                <w:color w:val="auto"/>
                <w:sz w:val="21"/>
                <w:szCs w:val="21"/>
                <w:shd w:val="clear" w:color="auto" w:fill="FFFFFF"/>
                <w:vertAlign w:val="baseline"/>
                <w:lang w:val="zh-CN" w:eastAsia="zh-CN"/>
              </w:rPr>
            </w:pPr>
            <w:r>
              <w:rPr>
                <w:rFonts w:hint="eastAsia" w:ascii="宋体" w:hAnsi="宋体" w:eastAsia="宋体" w:cs="宋体"/>
                <w:color w:val="auto"/>
                <w:sz w:val="21"/>
                <w:szCs w:val="21"/>
                <w:shd w:val="clear" w:color="auto" w:fill="FFFFFF"/>
                <w:vertAlign w:val="baseline"/>
                <w:lang w:val="en-US" w:eastAsia="zh-CN"/>
              </w:rPr>
              <w:t>GB 4943.1-2022</w:t>
            </w:r>
          </w:p>
        </w:tc>
      </w:tr>
      <w:tr w14:paraId="5AB9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384E5D8">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4</w:t>
            </w:r>
          </w:p>
        </w:tc>
        <w:tc>
          <w:tcPr>
            <w:tcW w:w="3526" w:type="dxa"/>
            <w:vAlign w:val="center"/>
          </w:tcPr>
          <w:p w14:paraId="4F2974C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电气间隔</w:t>
            </w:r>
          </w:p>
        </w:tc>
        <w:tc>
          <w:tcPr>
            <w:tcW w:w="4051" w:type="dxa"/>
            <w:vAlign w:val="center"/>
          </w:tcPr>
          <w:p w14:paraId="406FAEF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4943.1-2022</w:t>
            </w:r>
          </w:p>
        </w:tc>
      </w:tr>
      <w:tr w14:paraId="57CC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7A0552FD">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5</w:t>
            </w:r>
          </w:p>
        </w:tc>
        <w:tc>
          <w:tcPr>
            <w:tcW w:w="3526" w:type="dxa"/>
            <w:vAlign w:val="center"/>
          </w:tcPr>
          <w:p w14:paraId="2E337411">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爬电距离</w:t>
            </w:r>
          </w:p>
        </w:tc>
        <w:tc>
          <w:tcPr>
            <w:tcW w:w="4051" w:type="dxa"/>
            <w:vAlign w:val="center"/>
          </w:tcPr>
          <w:p w14:paraId="05E83680">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4943.1-2022</w:t>
            </w:r>
          </w:p>
        </w:tc>
      </w:tr>
      <w:tr w14:paraId="763F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2A56D22E">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6</w:t>
            </w:r>
          </w:p>
        </w:tc>
        <w:tc>
          <w:tcPr>
            <w:tcW w:w="3526" w:type="dxa"/>
            <w:vAlign w:val="center"/>
          </w:tcPr>
          <w:p w14:paraId="47622310">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最小绝缘穿透距离</w:t>
            </w:r>
          </w:p>
        </w:tc>
        <w:tc>
          <w:tcPr>
            <w:tcW w:w="4051" w:type="dxa"/>
            <w:vAlign w:val="center"/>
          </w:tcPr>
          <w:p w14:paraId="79B06557">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4943.1-2022</w:t>
            </w:r>
          </w:p>
        </w:tc>
      </w:tr>
      <w:tr w14:paraId="30C2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5EA5EAA7">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7</w:t>
            </w:r>
          </w:p>
        </w:tc>
        <w:tc>
          <w:tcPr>
            <w:tcW w:w="3526" w:type="dxa"/>
            <w:vAlign w:val="center"/>
          </w:tcPr>
          <w:p w14:paraId="19306135">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抗电强度试验</w:t>
            </w:r>
          </w:p>
        </w:tc>
        <w:tc>
          <w:tcPr>
            <w:tcW w:w="4051" w:type="dxa"/>
            <w:vAlign w:val="center"/>
          </w:tcPr>
          <w:p w14:paraId="588199D9">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4943.1-2022</w:t>
            </w:r>
          </w:p>
        </w:tc>
      </w:tr>
    </w:tbl>
    <w:p w14:paraId="77F0718A">
      <w:pPr>
        <w:spacing w:line="440" w:lineRule="exact"/>
        <w:ind w:firstLine="420" w:firstLineChars="200"/>
        <w:rPr>
          <w:rFonts w:hint="eastAsia" w:ascii="宋体" w:hAnsi="宋体" w:eastAsia="宋体" w:cs="宋体"/>
          <w:color w:val="auto"/>
          <w:szCs w:val="21"/>
          <w:highlight w:val="none"/>
        </w:rPr>
      </w:pPr>
    </w:p>
    <w:p w14:paraId="092EA0C5">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执行企业标准、团体标准、地方标准的产品，检验项目参照上述内容执行。</w:t>
      </w:r>
    </w:p>
    <w:p w14:paraId="0471CA4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凡是注日期的文件，其随后所有的修改单（不包括勘误的内容）或修订版不适用于本细则。凡是不注日期的文件，其最新版本适用于本细则。</w:t>
      </w:r>
    </w:p>
    <w:p w14:paraId="7A05FAE5">
      <w:pPr>
        <w:spacing w:line="44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 判定规则</w:t>
      </w:r>
    </w:p>
    <w:p w14:paraId="5705FB7C">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依据标准</w:t>
      </w:r>
    </w:p>
    <w:p w14:paraId="424FA155">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 xml:space="preserve">GB 4943.1-2022 </w:t>
      </w:r>
      <w:r>
        <w:rPr>
          <w:rFonts w:hint="eastAsia" w:ascii="宋体" w:hAnsi="宋体" w:eastAsia="宋体" w:cs="宋体"/>
          <w:color w:val="auto"/>
          <w:sz w:val="21"/>
          <w:szCs w:val="21"/>
          <w:shd w:val="clear" w:color="auto" w:fill="FFFFFF"/>
          <w:vertAlign w:val="baseline"/>
          <w:lang w:val="en-US" w:eastAsia="zh-CN"/>
        </w:rPr>
        <w:fldChar w:fldCharType="begin"/>
      </w:r>
      <w:r>
        <w:rPr>
          <w:rFonts w:hint="eastAsia" w:ascii="宋体" w:hAnsi="宋体" w:eastAsia="宋体" w:cs="宋体"/>
          <w:color w:val="auto"/>
          <w:sz w:val="21"/>
          <w:szCs w:val="21"/>
          <w:shd w:val="clear" w:color="auto" w:fill="FFFFFF"/>
          <w:vertAlign w:val="baseline"/>
          <w:lang w:val="en-US" w:eastAsia="zh-CN"/>
        </w:rPr>
        <w:instrText xml:space="preserve"> HYPERLINK "https://std.samr.gov.cn/gb/search/gbDetailed?id=E4A2A4C875736A5DE05397BE0A0A61E8" \t "https://std.samr.gov.cn/search/_blank" </w:instrText>
      </w:r>
      <w:r>
        <w:rPr>
          <w:rFonts w:hint="eastAsia" w:ascii="宋体" w:hAnsi="宋体" w:eastAsia="宋体" w:cs="宋体"/>
          <w:color w:val="auto"/>
          <w:sz w:val="21"/>
          <w:szCs w:val="21"/>
          <w:shd w:val="clear" w:color="auto" w:fill="FFFFFF"/>
          <w:vertAlign w:val="baseline"/>
          <w:lang w:val="en-US" w:eastAsia="zh-CN"/>
        </w:rPr>
        <w:fldChar w:fldCharType="separate"/>
      </w:r>
      <w:r>
        <w:rPr>
          <w:rFonts w:hint="eastAsia" w:ascii="宋体" w:hAnsi="宋体" w:eastAsia="宋体" w:cs="宋体"/>
          <w:color w:val="auto"/>
          <w:sz w:val="21"/>
          <w:szCs w:val="21"/>
          <w:shd w:val="clear" w:color="auto" w:fill="FFFFFF"/>
          <w:vertAlign w:val="baseline"/>
          <w:lang w:val="en-US" w:eastAsia="zh-CN"/>
        </w:rPr>
        <w:t>音视频、信息技术和通信技术设备 第1部分：安全要求</w:t>
      </w:r>
      <w:r>
        <w:rPr>
          <w:rFonts w:hint="eastAsia" w:ascii="宋体" w:hAnsi="宋体" w:eastAsia="宋体" w:cs="宋体"/>
          <w:color w:val="auto"/>
          <w:sz w:val="21"/>
          <w:szCs w:val="21"/>
          <w:shd w:val="clear" w:color="auto" w:fill="FFFFFF"/>
          <w:vertAlign w:val="baseline"/>
          <w:lang w:val="en-US" w:eastAsia="zh-CN"/>
        </w:rPr>
        <w:fldChar w:fldCharType="end"/>
      </w:r>
      <w:r>
        <w:rPr>
          <w:rFonts w:hint="eastAsia" w:ascii="宋体" w:hAnsi="宋体" w:eastAsia="宋体" w:cs="宋体"/>
          <w:color w:val="auto"/>
          <w:sz w:val="21"/>
          <w:szCs w:val="21"/>
          <w:shd w:val="clear" w:color="auto" w:fill="FFFFFF"/>
          <w:vertAlign w:val="baseline"/>
          <w:lang w:val="en-US" w:eastAsia="zh-CN"/>
        </w:rPr>
        <w:t>；</w:t>
      </w:r>
    </w:p>
    <w:p w14:paraId="63DD5A95">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经国家标准信息公共服务平台备案现行有效的企业标准及产品明示质量要求；</w:t>
      </w:r>
    </w:p>
    <w:p w14:paraId="4F03155A">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产品明示质量指标及国家法律、法规、规章的有关规定。</w:t>
      </w:r>
    </w:p>
    <w:p w14:paraId="28C51ECC">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判定原则</w:t>
      </w:r>
    </w:p>
    <w:p w14:paraId="1CD87046">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经检验，检验项目全部合格，判定为被抽查产品所检项目未发现不合格；检验项目中任一项或一项以上不合格，判定为被抽查产品不合格。</w:t>
      </w:r>
    </w:p>
    <w:p w14:paraId="76EABA98">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若被检产品明示的质量要求高于本细则中检验项目依据的标准要求时，应按被检产品明示的质量要求判定。</w:t>
      </w:r>
    </w:p>
    <w:p w14:paraId="6EE27335">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若被检产品明示的质量要求低于本细则中检验项目依据的强制性标准要求时，应按照强制性标准要求判定。</w:t>
      </w:r>
    </w:p>
    <w:p w14:paraId="7594A3EB">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若被检产品明示的质量要求低于或包含本细则中检验项目依据的推荐性标准要求时，应以被检产品明示的质量要求判定。</w:t>
      </w:r>
    </w:p>
    <w:p w14:paraId="6DCE11E1">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若被检产品明示的质量要求缺少本细则中检验项目依据的强制性标准要求时，应按照强制性标准要求判定。</w:t>
      </w:r>
    </w:p>
    <w:p w14:paraId="34BE6388">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若被检产品明示的质量要求缺少本细则中检验项目依据的推荐性标准要求时，该项目不参与判定。</w:t>
      </w:r>
    </w:p>
    <w:p w14:paraId="18C6C6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542C9"/>
    <w:rsid w:val="6E345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689</Words>
  <Characters>781</Characters>
  <Lines>0</Lines>
  <Paragraphs>0</Paragraphs>
  <TotalTime>0</TotalTime>
  <ScaleCrop>false</ScaleCrop>
  <LinksUpToDate>false</LinksUpToDate>
  <CharactersWithSpaces>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2026-03-16T03:29:00Z</dcterms:created>
  <dc:creator>Administrator</dc:creator>
  <cp:lastModifiedBy>国家煤化工质检中心</cp:lastModifiedBy>
  <dcterms:modified xsi:type="dcterms:W3CDTF">2026-03-19T07:41:46Z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AF73D719F3B546E7AB2C2455CA75C5A8_12</vt:lpwstr>
  </property>
</Properties>
</file>