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56726">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校服</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3FB132CF">
      <w:pPr>
        <w:pStyle w:val="2"/>
        <w:rPr>
          <w:rFonts w:hint="default" w:ascii="宋体" w:hAnsi="宋体" w:eastAsia="宋体" w:cs="宋体"/>
          <w:color w:val="000000" w:themeColor="text1"/>
          <w:highlight w:val="none"/>
          <w:lang w:val="en-US"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0ABB861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31C189AA">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6B8B9F30">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3F384556">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校服</w:t>
      </w:r>
      <w:r>
        <w:rPr>
          <w:rFonts w:hint="eastAsia" w:ascii="宋体" w:hAnsi="宋体" w:eastAsia="宋体" w:cs="宋体"/>
          <w:color w:val="000000" w:themeColor="text1"/>
          <w:sz w:val="21"/>
          <w:szCs w:val="21"/>
          <w:highlight w:val="none"/>
          <w14:textFill>
            <w14:solidFill>
              <w14:schemeClr w14:val="tx1"/>
            </w14:solidFill>
          </w14:textFill>
        </w:rPr>
        <w:t>产品</w:t>
      </w:r>
      <w:r>
        <w:rPr>
          <w:rFonts w:hint="eastAsia" w:ascii="宋体" w:hAnsi="宋体" w:eastAsia="宋体" w:cs="宋体"/>
          <w:color w:val="000000" w:themeColor="text1"/>
          <w:sz w:val="21"/>
          <w:szCs w:val="21"/>
          <w:highlight w:val="none"/>
          <w:lang w:eastAsia="zh-CN"/>
          <w14:textFill>
            <w14:solidFill>
              <w14:schemeClr w14:val="tx1"/>
            </w14:solidFill>
          </w14:textFill>
        </w:rPr>
        <w:t>每批次抽</w:t>
      </w:r>
      <w:r>
        <w:rPr>
          <w:rFonts w:hint="eastAsia" w:ascii="宋体" w:hAnsi="宋体" w:eastAsia="宋体" w:cs="宋体"/>
          <w:color w:val="000000" w:themeColor="text1"/>
          <w:sz w:val="21"/>
          <w:szCs w:val="21"/>
          <w:highlight w:val="none"/>
          <w14:textFill>
            <w14:solidFill>
              <w14:schemeClr w14:val="tx1"/>
            </w14:solidFill>
          </w14:textFill>
        </w:rPr>
        <w:t>取样品2件/套，其中1件/套作为检验样品，1件/套作为备用样品</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可适当增加抽样数量，不得超过检验、复检的合理需要</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689A01A">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232A4175">
      <w:pPr>
        <w:keepNext w:val="0"/>
        <w:keepLines w:val="0"/>
        <w:pageBreakBefore w:val="0"/>
        <w:kinsoku/>
        <w:wordWrap/>
        <w:overflowPunct/>
        <w:topLinePunct w:val="0"/>
        <w:autoSpaceDE/>
        <w:autoSpaceDN/>
        <w:bidi w:val="0"/>
        <w:adjustRightInd/>
        <w:snapToGrid w:val="0"/>
        <w:spacing w:line="240" w:lineRule="auto"/>
        <w:ind w:left="420" w:hanging="420" w:hangingChars="200"/>
        <w:contextualSpacing/>
        <w:jc w:val="center"/>
        <w:rPr>
          <w:rFonts w:hint="eastAsia" w:ascii="宋体" w:hAnsi="宋体" w:eastAsiaTheme="minorEastAsia"/>
          <w:szCs w:val="21"/>
          <w:lang w:eastAsia="zh-CN"/>
        </w:rPr>
      </w:pPr>
      <w:r>
        <w:rPr>
          <w:rFonts w:hint="eastAsia" w:ascii="宋体" w:hAnsi="宋体"/>
          <w:szCs w:val="21"/>
        </w:rPr>
        <w:t>表</w:t>
      </w:r>
      <w:r>
        <w:rPr>
          <w:rFonts w:hint="eastAsia" w:ascii="宋体" w:hAnsi="宋体"/>
          <w:szCs w:val="21"/>
          <w:lang w:val="en-US" w:eastAsia="zh-CN"/>
        </w:rPr>
        <w:t>1</w:t>
      </w:r>
      <w:r>
        <w:rPr>
          <w:rFonts w:hint="eastAsia" w:ascii="宋体" w:hAnsi="宋体"/>
          <w:szCs w:val="21"/>
        </w:rPr>
        <w:t xml:space="preserve"> </w:t>
      </w:r>
      <w:r>
        <w:rPr>
          <w:rFonts w:hint="eastAsia" w:ascii="宋体" w:hAnsi="宋体"/>
          <w:szCs w:val="21"/>
          <w:lang w:val="en-US" w:eastAsia="zh-CN"/>
        </w:rPr>
        <w:t>校服</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021"/>
        <w:gridCol w:w="4556"/>
      </w:tblGrid>
      <w:tr w14:paraId="7902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37F709A2">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021" w:type="dxa"/>
            <w:vMerge w:val="restart"/>
            <w:vAlign w:val="center"/>
          </w:tcPr>
          <w:p w14:paraId="15B1CA95">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556" w:type="dxa"/>
            <w:vMerge w:val="restart"/>
            <w:vAlign w:val="center"/>
          </w:tcPr>
          <w:p w14:paraId="5002E844">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71D76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470C5F26">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p>
        </w:tc>
        <w:tc>
          <w:tcPr>
            <w:tcW w:w="3021" w:type="dxa"/>
            <w:vMerge w:val="continue"/>
            <w:vAlign w:val="center"/>
          </w:tcPr>
          <w:p w14:paraId="7F4CED89">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p>
        </w:tc>
        <w:tc>
          <w:tcPr>
            <w:tcW w:w="4556" w:type="dxa"/>
            <w:vMerge w:val="continue"/>
            <w:vAlign w:val="center"/>
          </w:tcPr>
          <w:p w14:paraId="2D750406">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p>
        </w:tc>
      </w:tr>
      <w:tr w14:paraId="231CE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A0B6C70">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1</w:t>
            </w:r>
          </w:p>
        </w:tc>
        <w:tc>
          <w:tcPr>
            <w:tcW w:w="3021" w:type="dxa"/>
            <w:vAlign w:val="center"/>
          </w:tcPr>
          <w:p w14:paraId="62963B96">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甲醛含量</w:t>
            </w:r>
          </w:p>
        </w:tc>
        <w:tc>
          <w:tcPr>
            <w:tcW w:w="4556" w:type="dxa"/>
            <w:vAlign w:val="center"/>
          </w:tcPr>
          <w:p w14:paraId="59CFE984">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2912.1</w:t>
            </w:r>
            <w:r>
              <w:rPr>
                <w:rFonts w:hint="eastAsia" w:ascii="宋体" w:hAnsi="宋体" w:eastAsia="宋体" w:cs="宋体"/>
                <w:color w:val="auto"/>
                <w:sz w:val="21"/>
                <w:szCs w:val="21"/>
                <w:lang w:val="en-US" w:eastAsia="zh-CN"/>
              </w:rPr>
              <w:t>-2009</w:t>
            </w:r>
          </w:p>
        </w:tc>
      </w:tr>
      <w:tr w14:paraId="5474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A7CD3FF">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0000FF"/>
                <w:lang w:val="en-US" w:eastAsia="zh-CN"/>
              </w:rPr>
            </w:pPr>
            <w:r>
              <w:rPr>
                <w:rFonts w:hint="eastAsia" w:ascii="宋体" w:hAnsi="宋体" w:eastAsia="宋体" w:cs="宋体"/>
                <w:color w:val="0000FF"/>
                <w:lang w:val="en-US" w:eastAsia="zh-CN"/>
              </w:rPr>
              <w:t>2</w:t>
            </w:r>
          </w:p>
        </w:tc>
        <w:tc>
          <w:tcPr>
            <w:tcW w:w="3021" w:type="dxa"/>
            <w:vAlign w:val="center"/>
          </w:tcPr>
          <w:p w14:paraId="7D134048">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ph值</w:t>
            </w:r>
          </w:p>
        </w:tc>
        <w:tc>
          <w:tcPr>
            <w:tcW w:w="4556" w:type="dxa"/>
            <w:vAlign w:val="center"/>
          </w:tcPr>
          <w:p w14:paraId="57EC15EB">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7573</w:t>
            </w:r>
            <w:r>
              <w:rPr>
                <w:rFonts w:hint="eastAsia" w:ascii="宋体" w:hAnsi="宋体" w:eastAsia="宋体" w:cs="宋体"/>
                <w:color w:val="auto"/>
                <w:sz w:val="21"/>
                <w:szCs w:val="21"/>
                <w:lang w:val="en-US" w:eastAsia="zh-CN"/>
              </w:rPr>
              <w:t>-2009</w:t>
            </w:r>
          </w:p>
        </w:tc>
      </w:tr>
      <w:tr w14:paraId="745E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D470B47">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3</w:t>
            </w:r>
          </w:p>
        </w:tc>
        <w:tc>
          <w:tcPr>
            <w:tcW w:w="3021" w:type="dxa"/>
            <w:vAlign w:val="center"/>
          </w:tcPr>
          <w:p w14:paraId="3535DFF2">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en-US" w:eastAsia="zh-CN"/>
              </w:rPr>
              <w:t>异味</w:t>
            </w:r>
          </w:p>
        </w:tc>
        <w:tc>
          <w:tcPr>
            <w:tcW w:w="4556" w:type="dxa"/>
            <w:vAlign w:val="center"/>
          </w:tcPr>
          <w:p w14:paraId="6DAD59F7">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zh-CN" w:eastAsia="zh-CN"/>
              </w:rPr>
            </w:pPr>
            <w:r>
              <w:rPr>
                <w:rFonts w:hint="eastAsia" w:ascii="宋体" w:hAnsi="宋体" w:eastAsia="宋体" w:cs="宋体"/>
                <w:color w:val="auto"/>
                <w:kern w:val="0"/>
                <w:szCs w:val="21"/>
              </w:rPr>
              <w:t>GB</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18401</w:t>
            </w:r>
            <w:r>
              <w:rPr>
                <w:rFonts w:hint="eastAsia" w:ascii="宋体" w:hAnsi="宋体" w:eastAsia="宋体" w:cs="宋体"/>
                <w:color w:val="auto"/>
                <w:sz w:val="21"/>
                <w:szCs w:val="21"/>
                <w:lang w:val="en-US" w:eastAsia="zh-CN"/>
              </w:rPr>
              <w:t>-2010</w:t>
            </w:r>
          </w:p>
        </w:tc>
      </w:tr>
      <w:tr w14:paraId="68D5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68F2558">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4</w:t>
            </w:r>
          </w:p>
        </w:tc>
        <w:tc>
          <w:tcPr>
            <w:tcW w:w="3021" w:type="dxa"/>
            <w:vAlign w:val="center"/>
          </w:tcPr>
          <w:p w14:paraId="41F7481B">
            <w:pPr>
              <w:keepNext w:val="0"/>
              <w:keepLines w:val="0"/>
              <w:pageBreakBefore w:val="0"/>
              <w:kinsoku/>
              <w:wordWrap/>
              <w:overflowPunct/>
              <w:topLinePunct w:val="0"/>
              <w:autoSpaceDE/>
              <w:autoSpaceDN/>
              <w:bidi w:val="0"/>
              <w:adjustRightInd/>
              <w:snapToGrid w:val="0"/>
              <w:spacing w:line="24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耐光、汗复合色牢度</w:t>
            </w:r>
            <w:r>
              <w:rPr>
                <w:rFonts w:hint="eastAsia" w:ascii="宋体" w:hAnsi="宋体" w:eastAsia="宋体" w:cs="宋体"/>
                <w:color w:val="auto"/>
                <w:highlight w:val="none"/>
                <w:vertAlign w:val="superscript"/>
                <w:lang w:val="en-US" w:eastAsia="zh-CN"/>
              </w:rPr>
              <w:t>a</w:t>
            </w:r>
          </w:p>
        </w:tc>
        <w:tc>
          <w:tcPr>
            <w:tcW w:w="4556" w:type="dxa"/>
            <w:vAlign w:val="center"/>
          </w:tcPr>
          <w:p w14:paraId="215BBB1E">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color w:val="auto"/>
                <w:sz w:val="21"/>
                <w:szCs w:val="21"/>
                <w:highlight w:val="none"/>
              </w:rPr>
              <w:t>GB/T 14576-2009</w:t>
            </w:r>
          </w:p>
        </w:tc>
      </w:tr>
      <w:tr w14:paraId="4E5F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022FC8E">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5</w:t>
            </w:r>
          </w:p>
        </w:tc>
        <w:tc>
          <w:tcPr>
            <w:tcW w:w="3021" w:type="dxa"/>
            <w:vAlign w:val="center"/>
          </w:tcPr>
          <w:p w14:paraId="6BE219C1">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耐摩擦色牢度</w:t>
            </w:r>
          </w:p>
        </w:tc>
        <w:tc>
          <w:tcPr>
            <w:tcW w:w="4556" w:type="dxa"/>
            <w:vAlign w:val="center"/>
          </w:tcPr>
          <w:p w14:paraId="2F8C8F7C">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color w:val="auto"/>
                <w:sz w:val="21"/>
                <w:szCs w:val="21"/>
                <w:highlight w:val="none"/>
              </w:rPr>
              <w:t>GB/T</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3920</w:t>
            </w:r>
            <w:r>
              <w:rPr>
                <w:rFonts w:hint="eastAsia" w:ascii="宋体" w:hAnsi="宋体" w:eastAsia="宋体" w:cs="宋体"/>
                <w:color w:val="auto"/>
                <w:sz w:val="21"/>
                <w:szCs w:val="21"/>
                <w:highlight w:val="none"/>
                <w:lang w:val="en-US" w:eastAsia="zh-CN"/>
              </w:rPr>
              <w:t>-2008</w:t>
            </w:r>
          </w:p>
        </w:tc>
      </w:tr>
      <w:tr w14:paraId="44BE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753A361">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6</w:t>
            </w:r>
          </w:p>
        </w:tc>
        <w:tc>
          <w:tcPr>
            <w:tcW w:w="3021" w:type="dxa"/>
            <w:vAlign w:val="center"/>
          </w:tcPr>
          <w:p w14:paraId="2D920E82">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kern w:val="2"/>
                <w:sz w:val="21"/>
                <w:szCs w:val="22"/>
                <w:highlight w:val="none"/>
                <w:lang w:val="en-US" w:eastAsia="zh-CN" w:bidi="ar-SA"/>
              </w:rPr>
            </w:pPr>
            <w:r>
              <w:rPr>
                <w:rFonts w:hint="eastAsia" w:ascii="宋体" w:hAnsi="宋体" w:cs="宋体"/>
                <w:color w:val="auto"/>
                <w:sz w:val="22"/>
                <w:szCs w:val="22"/>
                <w:highlight w:val="none"/>
              </w:rPr>
              <w:t>可分解致癌芳香胺染料</w:t>
            </w:r>
          </w:p>
        </w:tc>
        <w:tc>
          <w:tcPr>
            <w:tcW w:w="4556" w:type="dxa"/>
            <w:vAlign w:val="center"/>
          </w:tcPr>
          <w:p w14:paraId="3E6503EF">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GB/T 17592-2011</w:t>
            </w:r>
          </w:p>
          <w:p w14:paraId="5113432F">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GB/T 23344-2009</w:t>
            </w:r>
          </w:p>
        </w:tc>
      </w:tr>
      <w:tr w14:paraId="7885B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12846C0C">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7</w:t>
            </w:r>
          </w:p>
        </w:tc>
        <w:tc>
          <w:tcPr>
            <w:tcW w:w="3021" w:type="dxa"/>
            <w:vAlign w:val="center"/>
          </w:tcPr>
          <w:p w14:paraId="6BFF8A7A">
            <w:pPr>
              <w:keepNext w:val="0"/>
              <w:keepLines w:val="0"/>
              <w:pageBreakBefore w:val="0"/>
              <w:kinsoku/>
              <w:wordWrap/>
              <w:overflowPunct/>
              <w:topLinePunct w:val="0"/>
              <w:autoSpaceDE/>
              <w:autoSpaceDN/>
              <w:bidi w:val="0"/>
              <w:adjustRightInd/>
              <w:snapToGrid w:val="0"/>
              <w:spacing w:line="240" w:lineRule="auto"/>
              <w:rPr>
                <w:rFonts w:hint="eastAsia" w:ascii="宋体" w:hAnsi="宋体" w:cs="宋体" w:eastAsiaTheme="minorEastAsia"/>
                <w:color w:val="auto"/>
                <w:kern w:val="2"/>
                <w:sz w:val="22"/>
                <w:szCs w:val="22"/>
                <w:highlight w:val="none"/>
                <w:lang w:val="en-US" w:eastAsia="zh-CN" w:bidi="ar-SA"/>
              </w:rPr>
            </w:pPr>
            <w:r>
              <w:rPr>
                <w:rFonts w:hint="eastAsia" w:ascii="宋体" w:hAnsi="宋体" w:eastAsia="宋体" w:cs="宋体"/>
                <w:color w:val="auto"/>
                <w:highlight w:val="none"/>
                <w:lang w:val="en-US" w:eastAsia="zh-CN"/>
              </w:rPr>
              <w:t>纤维成分及含量</w:t>
            </w:r>
          </w:p>
        </w:tc>
        <w:tc>
          <w:tcPr>
            <w:tcW w:w="4556" w:type="dxa"/>
            <w:vAlign w:val="center"/>
          </w:tcPr>
          <w:p w14:paraId="1BF57883">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FZ/T 01057-2007</w:t>
            </w:r>
          </w:p>
          <w:p w14:paraId="6B5E3C18">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2910-2009</w:t>
            </w:r>
          </w:p>
          <w:p w14:paraId="28E8663F">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FZ/T 01095-2002</w:t>
            </w:r>
          </w:p>
          <w:p w14:paraId="3FF42CAE">
            <w:pPr>
              <w:keepNext w:val="0"/>
              <w:keepLines w:val="0"/>
              <w:pageBreakBefore w:val="0"/>
              <w:kinsoku/>
              <w:wordWrap/>
              <w:overflowPunct/>
              <w:topLinePunct w:val="0"/>
              <w:autoSpaceDE/>
              <w:autoSpaceDN/>
              <w:bidi w:val="0"/>
              <w:adjustRightInd/>
              <w:snapToGrid w:val="0"/>
              <w:spacing w:line="240" w:lineRule="auto"/>
              <w:rPr>
                <w:rFonts w:hint="default" w:ascii="宋体" w:hAnsi="宋体" w:eastAsia="宋体" w:cs="宋体"/>
                <w:highlight w:val="none"/>
                <w:lang w:val="en-US" w:eastAsia="zh-CN"/>
              </w:rPr>
            </w:pPr>
            <w:r>
              <w:rPr>
                <w:rFonts w:hint="eastAsia" w:ascii="宋体" w:hAnsi="宋体" w:eastAsia="宋体" w:cs="宋体"/>
                <w:color w:val="auto"/>
                <w:sz w:val="21"/>
                <w:szCs w:val="21"/>
                <w:highlight w:val="none"/>
              </w:rPr>
              <w:t>FZ/T 01101-2008</w:t>
            </w:r>
          </w:p>
        </w:tc>
      </w:tr>
      <w:tr w14:paraId="1EEA8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BA0A3EA">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8</w:t>
            </w:r>
          </w:p>
        </w:tc>
        <w:tc>
          <w:tcPr>
            <w:tcW w:w="3021" w:type="dxa"/>
            <w:vAlign w:val="center"/>
          </w:tcPr>
          <w:p w14:paraId="6A9840CF">
            <w:pPr>
              <w:keepNext w:val="0"/>
              <w:keepLines w:val="0"/>
              <w:pageBreakBefore w:val="0"/>
              <w:kinsoku/>
              <w:wordWrap/>
              <w:overflowPunct/>
              <w:topLinePunct w:val="0"/>
              <w:autoSpaceDE/>
              <w:autoSpaceDN/>
              <w:bidi w:val="0"/>
              <w:adjustRightInd/>
              <w:snapToGrid w:val="0"/>
              <w:spacing w:line="240" w:lineRule="auto"/>
              <w:rPr>
                <w:rFonts w:hint="eastAsia" w:ascii="宋体" w:hAnsi="宋体" w:cs="宋体" w:eastAsiaTheme="minorEastAsia"/>
                <w:color w:val="auto"/>
                <w:kern w:val="2"/>
                <w:sz w:val="22"/>
                <w:szCs w:val="22"/>
                <w:highlight w:val="none"/>
                <w:lang w:val="en-US" w:eastAsia="zh-CN" w:bidi="ar-SA"/>
              </w:rPr>
            </w:pPr>
            <w:r>
              <w:rPr>
                <w:rFonts w:hint="eastAsia" w:ascii="宋体" w:hAnsi="宋体" w:cs="宋体"/>
                <w:sz w:val="22"/>
                <w:szCs w:val="22"/>
                <w:highlight w:val="none"/>
                <w:lang w:val="en-US" w:eastAsia="zh-CN"/>
              </w:rPr>
              <w:t>燃烧性能</w:t>
            </w:r>
          </w:p>
        </w:tc>
        <w:tc>
          <w:tcPr>
            <w:tcW w:w="4556" w:type="dxa"/>
            <w:vAlign w:val="center"/>
          </w:tcPr>
          <w:p w14:paraId="2F836062">
            <w:pPr>
              <w:keepNext w:val="0"/>
              <w:keepLines w:val="0"/>
              <w:pageBreakBefore w:val="0"/>
              <w:kinsoku/>
              <w:wordWrap/>
              <w:overflowPunct/>
              <w:topLinePunct w:val="0"/>
              <w:autoSpaceDE/>
              <w:autoSpaceDN/>
              <w:bidi w:val="0"/>
              <w:adjustRightInd/>
              <w:snapToGrid w:val="0"/>
              <w:spacing w:line="240" w:lineRule="auto"/>
              <w:rPr>
                <w:rFonts w:hint="default" w:ascii="宋体" w:hAnsi="宋体" w:eastAsia="宋体" w:cs="宋体"/>
                <w:highlight w:val="none"/>
                <w:lang w:val="en-US" w:eastAsia="zh-CN"/>
              </w:rPr>
            </w:pPr>
            <w:r>
              <w:rPr>
                <w:rFonts w:hint="eastAsia" w:ascii="宋体" w:hAnsi="宋体" w:eastAsia="宋体" w:cs="宋体"/>
                <w:color w:val="auto"/>
                <w:sz w:val="21"/>
                <w:szCs w:val="21"/>
                <w:highlight w:val="none"/>
              </w:rPr>
              <w:t>GB/T 14644-2014</w:t>
            </w:r>
          </w:p>
        </w:tc>
      </w:tr>
      <w:tr w14:paraId="44D8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D289778">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9</w:t>
            </w:r>
          </w:p>
        </w:tc>
        <w:tc>
          <w:tcPr>
            <w:tcW w:w="3021" w:type="dxa"/>
            <w:vAlign w:val="center"/>
          </w:tcPr>
          <w:p w14:paraId="72993289">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highlight w:val="none"/>
                <w:lang w:val="en-US" w:eastAsia="zh-CN"/>
              </w:rPr>
            </w:pPr>
            <w:r>
              <w:rPr>
                <w:rFonts w:hint="eastAsia" w:ascii="宋体" w:hAnsi="宋体" w:cs="宋体"/>
                <w:sz w:val="22"/>
                <w:szCs w:val="22"/>
              </w:rPr>
              <w:t>接缝强力</w:t>
            </w:r>
          </w:p>
        </w:tc>
        <w:tc>
          <w:tcPr>
            <w:tcW w:w="4556" w:type="dxa"/>
            <w:vAlign w:val="center"/>
          </w:tcPr>
          <w:p w14:paraId="6BDCD300">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color w:val="auto"/>
                <w:sz w:val="21"/>
                <w:szCs w:val="21"/>
              </w:rPr>
              <w:t>GB/T 13773.1-2008</w:t>
            </w:r>
          </w:p>
        </w:tc>
      </w:tr>
      <w:tr w14:paraId="0F2F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1553D9A7">
            <w:pPr>
              <w:keepNext w:val="0"/>
              <w:keepLines w:val="0"/>
              <w:pageBreakBefore w:val="0"/>
              <w:kinsoku/>
              <w:wordWrap/>
              <w:overflowPunct/>
              <w:topLinePunct w:val="0"/>
              <w:autoSpaceDE/>
              <w:autoSpaceDN/>
              <w:bidi w:val="0"/>
              <w:adjustRightInd/>
              <w:snapToGrid w:val="0"/>
              <w:spacing w:line="240" w:lineRule="auto"/>
              <w:rPr>
                <w:rFonts w:hint="default" w:ascii="宋体" w:hAnsi="宋体" w:eastAsia="宋体" w:cs="宋体"/>
                <w:lang w:val="en-US" w:eastAsia="zh-CN"/>
              </w:rPr>
            </w:pPr>
            <w:r>
              <w:rPr>
                <w:rFonts w:hint="eastAsia" w:ascii="宋体" w:hAnsi="宋体" w:eastAsia="宋体" w:cs="宋体"/>
                <w:lang w:val="en-US" w:eastAsia="zh-CN"/>
              </w:rPr>
              <w:t>10</w:t>
            </w:r>
          </w:p>
        </w:tc>
        <w:tc>
          <w:tcPr>
            <w:tcW w:w="3021" w:type="dxa"/>
            <w:vAlign w:val="center"/>
          </w:tcPr>
          <w:p w14:paraId="45752CCD">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0000FF"/>
                <w:highlight w:val="none"/>
                <w:lang w:val="en-US" w:eastAsia="zh-CN"/>
              </w:rPr>
            </w:pPr>
            <w:r>
              <w:rPr>
                <w:rFonts w:hint="eastAsia" w:ascii="宋体" w:hAnsi="宋体" w:cs="宋体"/>
                <w:sz w:val="22"/>
                <w:szCs w:val="22"/>
              </w:rPr>
              <w:t>起球性能</w:t>
            </w:r>
          </w:p>
        </w:tc>
        <w:tc>
          <w:tcPr>
            <w:tcW w:w="4556" w:type="dxa"/>
            <w:vAlign w:val="center"/>
          </w:tcPr>
          <w:p w14:paraId="5816FB6B">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GB/T4802.1-2008</w:t>
            </w:r>
          </w:p>
          <w:p w14:paraId="53CE3106">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rPr>
              <w:t>GB/T4802.3-2008</w:t>
            </w:r>
          </w:p>
        </w:tc>
      </w:tr>
      <w:tr w14:paraId="615A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3894B2F">
            <w:pPr>
              <w:keepNext w:val="0"/>
              <w:keepLines w:val="0"/>
              <w:pageBreakBefore w:val="0"/>
              <w:kinsoku/>
              <w:wordWrap/>
              <w:overflowPunct/>
              <w:topLinePunct w:val="0"/>
              <w:autoSpaceDE/>
              <w:autoSpaceDN/>
              <w:bidi w:val="0"/>
              <w:adjustRightInd/>
              <w:snapToGrid w:val="0"/>
              <w:spacing w:line="240" w:lineRule="auto"/>
              <w:rPr>
                <w:rFonts w:hint="default" w:ascii="宋体" w:hAnsi="宋体" w:eastAsia="宋体" w:cs="宋体"/>
                <w:lang w:val="en-US" w:eastAsia="zh-CN"/>
              </w:rPr>
            </w:pPr>
            <w:r>
              <w:rPr>
                <w:rFonts w:hint="eastAsia" w:ascii="宋体" w:hAnsi="宋体" w:eastAsia="宋体" w:cs="宋体"/>
                <w:lang w:val="en-US" w:eastAsia="zh-CN"/>
              </w:rPr>
              <w:t>11</w:t>
            </w:r>
          </w:p>
        </w:tc>
        <w:tc>
          <w:tcPr>
            <w:tcW w:w="3021" w:type="dxa"/>
            <w:vAlign w:val="center"/>
          </w:tcPr>
          <w:p w14:paraId="6AF93DFA">
            <w:pPr>
              <w:keepNext w:val="0"/>
              <w:keepLines w:val="0"/>
              <w:pageBreakBefore w:val="0"/>
              <w:kinsoku/>
              <w:wordWrap/>
              <w:overflowPunct/>
              <w:topLinePunct w:val="0"/>
              <w:autoSpaceDE/>
              <w:autoSpaceDN/>
              <w:bidi w:val="0"/>
              <w:adjustRightInd/>
              <w:snapToGrid w:val="0"/>
              <w:spacing w:line="240" w:lineRule="auto"/>
              <w:rPr>
                <w:rFonts w:hint="default" w:ascii="宋体" w:hAnsi="宋体" w:cs="宋体" w:eastAsiaTheme="minorEastAsia"/>
                <w:sz w:val="22"/>
                <w:szCs w:val="22"/>
                <w:lang w:val="en-US" w:eastAsia="zh-CN"/>
              </w:rPr>
            </w:pPr>
            <w:r>
              <w:rPr>
                <w:rFonts w:hint="eastAsia" w:ascii="宋体" w:hAnsi="宋体" w:cs="宋体"/>
                <w:sz w:val="22"/>
                <w:szCs w:val="22"/>
                <w:highlight w:val="none"/>
              </w:rPr>
              <w:t>胀破强力</w:t>
            </w:r>
            <w:r>
              <w:rPr>
                <w:rFonts w:hint="eastAsia" w:ascii="宋体" w:hAnsi="宋体" w:cs="宋体"/>
                <w:sz w:val="22"/>
                <w:szCs w:val="22"/>
                <w:highlight w:val="none"/>
                <w:vertAlign w:val="superscript"/>
                <w:lang w:val="en-US" w:eastAsia="zh-CN"/>
              </w:rPr>
              <w:t>b</w:t>
            </w:r>
          </w:p>
        </w:tc>
        <w:tc>
          <w:tcPr>
            <w:tcW w:w="4556" w:type="dxa"/>
            <w:vAlign w:val="center"/>
          </w:tcPr>
          <w:p w14:paraId="11E031F1">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val="en-US" w:eastAsia="zh-CN"/>
              </w:rPr>
              <w:t>7742.1</w:t>
            </w:r>
            <w:r>
              <w:rPr>
                <w:rFonts w:hint="eastAsia" w:ascii="宋体" w:hAnsi="宋体" w:eastAsia="宋体" w:cs="宋体"/>
                <w:color w:val="auto"/>
                <w:sz w:val="21"/>
                <w:szCs w:val="21"/>
                <w:highlight w:val="none"/>
              </w:rPr>
              <w:t>-2005</w:t>
            </w:r>
          </w:p>
        </w:tc>
      </w:tr>
      <w:tr w14:paraId="3F5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0EDBB155">
            <w:pPr>
              <w:keepNext w:val="0"/>
              <w:keepLines w:val="0"/>
              <w:pageBreakBefore w:val="0"/>
              <w:kinsoku/>
              <w:wordWrap/>
              <w:overflowPunct/>
              <w:topLinePunct w:val="0"/>
              <w:autoSpaceDE/>
              <w:autoSpaceDN/>
              <w:bidi w:val="0"/>
              <w:adjustRightInd/>
              <w:snapToGrid w:val="0"/>
              <w:spacing w:line="240" w:lineRule="auto"/>
              <w:rPr>
                <w:rFonts w:hint="default" w:ascii="宋体" w:hAnsi="宋体" w:eastAsia="宋体" w:cs="宋体"/>
                <w:lang w:val="en-US" w:eastAsia="zh-CN"/>
              </w:rPr>
            </w:pPr>
            <w:r>
              <w:rPr>
                <w:rFonts w:hint="eastAsia" w:ascii="宋体" w:hAnsi="宋体" w:eastAsia="宋体" w:cs="宋体"/>
                <w:lang w:val="en-US" w:eastAsia="zh-CN"/>
              </w:rPr>
              <w:t>12</w:t>
            </w:r>
          </w:p>
        </w:tc>
        <w:tc>
          <w:tcPr>
            <w:tcW w:w="3021" w:type="dxa"/>
            <w:vAlign w:val="center"/>
          </w:tcPr>
          <w:p w14:paraId="79D71803">
            <w:pPr>
              <w:keepNext w:val="0"/>
              <w:keepLines w:val="0"/>
              <w:pageBreakBefore w:val="0"/>
              <w:kinsoku/>
              <w:wordWrap/>
              <w:overflowPunct/>
              <w:topLinePunct w:val="0"/>
              <w:autoSpaceDE/>
              <w:autoSpaceDN/>
              <w:bidi w:val="0"/>
              <w:adjustRightInd/>
              <w:snapToGrid w:val="0"/>
              <w:spacing w:line="240" w:lineRule="auto"/>
              <w:rPr>
                <w:rFonts w:hint="eastAsia" w:ascii="宋体" w:hAnsi="宋体" w:cs="宋体"/>
                <w:sz w:val="22"/>
                <w:szCs w:val="22"/>
                <w:lang w:val="en-US" w:eastAsia="zh-CN"/>
              </w:rPr>
            </w:pPr>
            <w:r>
              <w:rPr>
                <w:rFonts w:hint="eastAsia" w:ascii="宋体" w:hAnsi="宋体" w:cs="宋体"/>
                <w:sz w:val="22"/>
                <w:szCs w:val="22"/>
                <w:lang w:eastAsia="zh-CN"/>
              </w:rPr>
              <w:t>使用说明</w:t>
            </w:r>
          </w:p>
        </w:tc>
        <w:tc>
          <w:tcPr>
            <w:tcW w:w="4556" w:type="dxa"/>
            <w:vAlign w:val="center"/>
          </w:tcPr>
          <w:p w14:paraId="0B033AEB">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8685-2008</w:t>
            </w:r>
          </w:p>
          <w:p w14:paraId="7C4A3C22">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5296.4-2012</w:t>
            </w:r>
          </w:p>
        </w:tc>
      </w:tr>
      <w:tr w14:paraId="199E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93" w:type="dxa"/>
            <w:gridSpan w:val="3"/>
            <w:vAlign w:val="center"/>
          </w:tcPr>
          <w:p w14:paraId="278B01EF">
            <w:pPr>
              <w:keepNext w:val="0"/>
              <w:keepLines w:val="0"/>
              <w:pageBreakBefore w:val="0"/>
              <w:kinsoku/>
              <w:wordWrap/>
              <w:overflowPunct/>
              <w:topLinePunct w:val="0"/>
              <w:autoSpaceDE/>
              <w:autoSpaceDN/>
              <w:bidi w:val="0"/>
              <w:adjustRightInd/>
              <w:snapToGrid w:val="0"/>
              <w:spacing w:line="240" w:lineRule="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w:t>
            </w:r>
            <w:r>
              <w:rPr>
                <w:rFonts w:hint="eastAsia" w:ascii="宋体" w:hAnsi="宋体" w:eastAsia="宋体" w:cs="宋体"/>
                <w:color w:val="auto"/>
                <w:sz w:val="21"/>
                <w:szCs w:val="21"/>
                <w:vertAlign w:val="superscript"/>
                <w:lang w:val="en-US" w:eastAsia="zh-CN"/>
              </w:rPr>
              <w:t>a</w:t>
            </w:r>
            <w:r>
              <w:rPr>
                <w:rFonts w:hint="eastAsia" w:ascii="宋体" w:hAnsi="宋体" w:eastAsia="宋体" w:cs="宋体"/>
                <w:color w:val="auto"/>
                <w:sz w:val="21"/>
                <w:szCs w:val="21"/>
                <w:lang w:val="en-US" w:eastAsia="zh-CN"/>
              </w:rPr>
              <w:t>仅考核夏装；</w:t>
            </w:r>
            <w:r>
              <w:rPr>
                <w:rFonts w:hint="eastAsia" w:ascii="宋体" w:hAnsi="宋体" w:eastAsia="宋体" w:cs="宋体"/>
                <w:color w:val="auto"/>
                <w:sz w:val="21"/>
                <w:szCs w:val="21"/>
                <w:vertAlign w:val="superscript"/>
                <w:lang w:val="en-US" w:eastAsia="zh-CN"/>
              </w:rPr>
              <w:t>b</w:t>
            </w:r>
            <w:r>
              <w:rPr>
                <w:rFonts w:hint="eastAsia" w:ascii="宋体" w:hAnsi="宋体" w:eastAsia="宋体" w:cs="宋体"/>
                <w:color w:val="auto"/>
                <w:sz w:val="21"/>
                <w:szCs w:val="21"/>
                <w:lang w:val="en-US" w:eastAsia="zh-CN"/>
              </w:rPr>
              <w:t>仅毛针织类产品考核。</w:t>
            </w:r>
          </w:p>
        </w:tc>
      </w:tr>
    </w:tbl>
    <w:p w14:paraId="2630DF97">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themeColor="text1"/>
          <w:sz w:val="21"/>
          <w:szCs w:val="21"/>
          <w:highlight w:val="none"/>
          <w14:textFill>
            <w14:solidFill>
              <w14:schemeClr w14:val="tx1"/>
            </w14:solidFill>
          </w14:textFill>
        </w:rPr>
      </w:pPr>
    </w:p>
    <w:p w14:paraId="1F317A1D">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1502A3D4">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0D5BBA77">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6F77BCAE">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470B9E1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18401-2010国家纺织产品基本安全技术规范</w:t>
      </w:r>
    </w:p>
    <w:p w14:paraId="2CEE64BF">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5296.4-2012消费品使用说明 第4部分：纺织品和服装</w:t>
      </w:r>
    </w:p>
    <w:p w14:paraId="1921ED40">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29862-2013纺织品 纤维含量的标识</w:t>
      </w:r>
    </w:p>
    <w:p w14:paraId="18875E25">
      <w:pPr>
        <w:spacing w:line="440" w:lineRule="exact"/>
        <w:ind w:firstLine="573"/>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GB/T 31888-2015 中小学生校服</w:t>
      </w:r>
    </w:p>
    <w:p w14:paraId="20F8B838">
      <w:pPr>
        <w:spacing w:line="440" w:lineRule="exact"/>
        <w:ind w:firstLine="573"/>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GB/T 22853-2019针织运动服</w:t>
      </w:r>
    </w:p>
    <w:p w14:paraId="796230AA">
      <w:pPr>
        <w:spacing w:line="440" w:lineRule="exact"/>
        <w:ind w:firstLine="573"/>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GB/T 22854-2009针织学生服</w:t>
      </w:r>
    </w:p>
    <w:p w14:paraId="00D9208D">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GB/T 23328-2009 机织学生服</w:t>
      </w:r>
    </w:p>
    <w:p w14:paraId="021555D9">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63901B13">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463780BF">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504F43E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7785BC49">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4355508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7760D7A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7A849DB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771334C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2B025C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5317DF"/>
    <w:rsid w:val="59886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826</Words>
  <Characters>1136</Characters>
  <Lines>0</Lines>
  <Paragraphs>0</Paragraphs>
  <TotalTime>0</TotalTime>
  <ScaleCrop>false</ScaleCrop>
  <LinksUpToDate>false</LinksUpToDate>
  <CharactersWithSpaces>1167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2026-03-16T03:11:00Z</dcterms:created>
  <dc:creator>Administrator</dc:creator>
  <cp:lastModifiedBy>国家煤化工质检中心</cp:lastModifiedBy>
  <dcterms:modified xsi:type="dcterms:W3CDTF">2026-03-19T07:34:19Z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CE9043F2AF3C44AD9C20138C2D8C03F7_12</vt:lpwstr>
  </property>
</Properties>
</file>