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0D0C0A">
      <w:pPr>
        <w:pStyle w:val="2"/>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淮南市</w:t>
      </w:r>
      <w:r>
        <w:rPr>
          <w:rFonts w:hint="eastAsia" w:ascii="宋体" w:hAnsi="宋体" w:cs="宋体"/>
          <w:color w:val="000000" w:themeColor="text1"/>
          <w:highlight w:val="none"/>
          <w:lang w:val="en-US" w:eastAsia="zh-CN"/>
          <w14:textFill>
            <w14:solidFill>
              <w14:schemeClr w14:val="tx1"/>
            </w14:solidFill>
          </w14:textFill>
        </w:rPr>
        <w:t>儿童婴幼儿服装</w:t>
      </w:r>
      <w:r>
        <w:rPr>
          <w:rFonts w:hint="eastAsia" w:ascii="宋体" w:hAnsi="宋体" w:eastAsia="宋体" w:cs="宋体"/>
          <w:color w:val="000000" w:themeColor="text1"/>
          <w:highlight w:val="none"/>
          <w14:textFill>
            <w14:solidFill>
              <w14:schemeClr w14:val="tx1"/>
            </w14:solidFill>
          </w14:textFill>
        </w:rPr>
        <w:t>产品质量监督抽查</w:t>
      </w:r>
      <w:r>
        <w:rPr>
          <w:rFonts w:hint="eastAsia" w:ascii="宋体" w:hAnsi="宋体" w:eastAsia="宋体" w:cs="宋体"/>
          <w:color w:val="000000" w:themeColor="text1"/>
          <w:highlight w:val="none"/>
          <w:lang w:eastAsia="zh-CN"/>
          <w14:textFill>
            <w14:solidFill>
              <w14:schemeClr w14:val="tx1"/>
            </w14:solidFill>
          </w14:textFill>
        </w:rPr>
        <w:t>实施细则</w:t>
      </w:r>
    </w:p>
    <w:p w14:paraId="64DDC7BC">
      <w:pPr>
        <w:pStyle w:val="2"/>
        <w:rPr>
          <w:rFonts w:hint="eastAsia" w:ascii="宋体" w:hAnsi="宋体" w:eastAsia="宋体" w:cs="宋体"/>
          <w:color w:val="000000" w:themeColor="text1"/>
          <w:highlight w:val="none"/>
          <w:lang w:eastAsia="zh-CN"/>
          <w14:textFill>
            <w14:solidFill>
              <w14:schemeClr w14:val="tx1"/>
            </w14:solidFill>
          </w14:textFill>
        </w:rPr>
      </w:pPr>
      <w:bookmarkStart w:id="0" w:name="_GoBack"/>
      <w:bookmarkEnd w:id="0"/>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2026年版）</w:t>
      </w:r>
    </w:p>
    <w:p w14:paraId="0ABB861C">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1、抽样方法</w:t>
      </w:r>
    </w:p>
    <w:p w14:paraId="31C189AA">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以随机抽样的方式在被抽样生产者、销售者的待销产品中抽取。</w:t>
      </w:r>
    </w:p>
    <w:p w14:paraId="6B8B9F30">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随机数一般可使用随机数表等方法产生。</w:t>
      </w:r>
    </w:p>
    <w:p w14:paraId="3F384556">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儿童及婴幼儿服装</w:t>
      </w:r>
      <w:r>
        <w:rPr>
          <w:rFonts w:hint="eastAsia" w:ascii="宋体" w:hAnsi="宋体" w:eastAsia="宋体" w:cs="宋体"/>
          <w:color w:val="000000" w:themeColor="text1"/>
          <w:sz w:val="21"/>
          <w:szCs w:val="21"/>
          <w:highlight w:val="none"/>
          <w14:textFill>
            <w14:solidFill>
              <w14:schemeClr w14:val="tx1"/>
            </w14:solidFill>
          </w14:textFill>
        </w:rPr>
        <w:t>产品</w:t>
      </w:r>
      <w:r>
        <w:rPr>
          <w:rFonts w:hint="eastAsia" w:ascii="宋体" w:hAnsi="宋体" w:eastAsia="宋体" w:cs="宋体"/>
          <w:color w:val="000000" w:themeColor="text1"/>
          <w:sz w:val="21"/>
          <w:szCs w:val="21"/>
          <w:highlight w:val="none"/>
          <w:lang w:eastAsia="zh-CN"/>
          <w14:textFill>
            <w14:solidFill>
              <w14:schemeClr w14:val="tx1"/>
            </w14:solidFill>
          </w14:textFill>
        </w:rPr>
        <w:t>每批次抽</w:t>
      </w:r>
      <w:r>
        <w:rPr>
          <w:rFonts w:hint="eastAsia" w:ascii="宋体" w:hAnsi="宋体" w:eastAsia="宋体" w:cs="宋体"/>
          <w:color w:val="000000" w:themeColor="text1"/>
          <w:sz w:val="21"/>
          <w:szCs w:val="21"/>
          <w:highlight w:val="none"/>
          <w14:textFill>
            <w14:solidFill>
              <w14:schemeClr w14:val="tx1"/>
            </w14:solidFill>
          </w14:textFill>
        </w:rPr>
        <w:t>取样品2件/套，其中1件/套作为检验样品，1件/套作为备用样品</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可适当增加抽样数量，不得超过检验、复检的合理需要</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0689A01A">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2、检验依据</w:t>
      </w:r>
    </w:p>
    <w:p w14:paraId="6F3E142A">
      <w:pPr>
        <w:keepNext w:val="0"/>
        <w:keepLines w:val="0"/>
        <w:pageBreakBefore w:val="0"/>
        <w:kinsoku/>
        <w:wordWrap/>
        <w:overflowPunct/>
        <w:topLinePunct w:val="0"/>
        <w:autoSpaceDE/>
        <w:autoSpaceDN/>
        <w:bidi w:val="0"/>
        <w:adjustRightInd/>
        <w:snapToGrid w:val="0"/>
        <w:spacing w:line="240" w:lineRule="auto"/>
        <w:ind w:left="420" w:hanging="420" w:hangingChars="200"/>
        <w:contextualSpacing/>
        <w:jc w:val="center"/>
        <w:rPr>
          <w:rFonts w:hint="eastAsia" w:ascii="宋体" w:hAnsi="宋体" w:eastAsiaTheme="minorEastAsia"/>
          <w:szCs w:val="21"/>
          <w:lang w:eastAsia="zh-CN"/>
        </w:rPr>
      </w:pPr>
      <w:r>
        <w:rPr>
          <w:rFonts w:hint="eastAsia" w:ascii="宋体" w:hAnsi="宋体"/>
          <w:szCs w:val="21"/>
        </w:rPr>
        <w:t>表</w:t>
      </w:r>
      <w:r>
        <w:rPr>
          <w:rFonts w:hint="eastAsia" w:ascii="宋体" w:hAnsi="宋体"/>
          <w:szCs w:val="21"/>
          <w:lang w:val="en-US" w:eastAsia="zh-CN"/>
        </w:rPr>
        <w:t>1</w:t>
      </w:r>
      <w:r>
        <w:rPr>
          <w:rFonts w:hint="eastAsia" w:ascii="宋体" w:hAnsi="宋体"/>
          <w:szCs w:val="21"/>
        </w:rPr>
        <w:t xml:space="preserve"> </w:t>
      </w:r>
      <w:r>
        <w:rPr>
          <w:rFonts w:hint="eastAsia" w:ascii="宋体" w:hAnsi="宋体"/>
          <w:szCs w:val="21"/>
          <w:lang w:val="en-US" w:eastAsia="zh-CN"/>
        </w:rPr>
        <w:t>儿童及婴幼儿服装</w:t>
      </w:r>
    </w:p>
    <w:tbl>
      <w:tblPr>
        <w:tblStyle w:val="3"/>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021"/>
        <w:gridCol w:w="4556"/>
      </w:tblGrid>
      <w:tr w14:paraId="0C755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vAlign w:val="center"/>
          </w:tcPr>
          <w:p w14:paraId="7B04CA1A">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b/>
                <w:bCs/>
                <w:sz w:val="24"/>
                <w:szCs w:val="32"/>
              </w:rPr>
            </w:pPr>
            <w:r>
              <w:rPr>
                <w:rFonts w:hint="eastAsia" w:ascii="宋体" w:hAnsi="宋体" w:eastAsia="宋体" w:cs="宋体"/>
                <w:b/>
                <w:bCs/>
                <w:sz w:val="24"/>
                <w:szCs w:val="32"/>
              </w:rPr>
              <w:t>序号</w:t>
            </w:r>
          </w:p>
        </w:tc>
        <w:tc>
          <w:tcPr>
            <w:tcW w:w="3021" w:type="dxa"/>
            <w:vMerge w:val="restart"/>
            <w:vAlign w:val="center"/>
          </w:tcPr>
          <w:p w14:paraId="366D3728">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b/>
                <w:bCs/>
                <w:sz w:val="24"/>
                <w:szCs w:val="32"/>
              </w:rPr>
            </w:pPr>
            <w:r>
              <w:rPr>
                <w:rFonts w:hint="eastAsia" w:ascii="宋体" w:hAnsi="宋体" w:eastAsia="宋体" w:cs="宋体"/>
                <w:b/>
                <w:bCs/>
                <w:sz w:val="24"/>
                <w:szCs w:val="32"/>
              </w:rPr>
              <w:t>检验项目</w:t>
            </w:r>
          </w:p>
        </w:tc>
        <w:tc>
          <w:tcPr>
            <w:tcW w:w="4556" w:type="dxa"/>
            <w:vMerge w:val="restart"/>
            <w:vAlign w:val="center"/>
          </w:tcPr>
          <w:p w14:paraId="45282CA8">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b/>
                <w:bCs/>
                <w:sz w:val="24"/>
                <w:szCs w:val="32"/>
                <w:lang w:eastAsia="zh-CN"/>
              </w:rPr>
            </w:pPr>
            <w:r>
              <w:rPr>
                <w:rFonts w:hint="eastAsia" w:ascii="宋体" w:hAnsi="宋体" w:eastAsia="宋体" w:cs="宋体"/>
                <w:b/>
                <w:bCs/>
                <w:sz w:val="24"/>
                <w:szCs w:val="32"/>
              </w:rPr>
              <w:t>检验方法</w:t>
            </w:r>
          </w:p>
        </w:tc>
      </w:tr>
      <w:tr w14:paraId="58FA7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vAlign w:val="center"/>
          </w:tcPr>
          <w:p w14:paraId="7093F89C">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b/>
                <w:bCs/>
                <w:sz w:val="24"/>
                <w:szCs w:val="32"/>
              </w:rPr>
            </w:pPr>
          </w:p>
        </w:tc>
        <w:tc>
          <w:tcPr>
            <w:tcW w:w="3021" w:type="dxa"/>
            <w:vMerge w:val="continue"/>
            <w:vAlign w:val="center"/>
          </w:tcPr>
          <w:p w14:paraId="36DBD22E">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b/>
                <w:bCs/>
                <w:sz w:val="24"/>
                <w:szCs w:val="32"/>
              </w:rPr>
            </w:pPr>
          </w:p>
        </w:tc>
        <w:tc>
          <w:tcPr>
            <w:tcW w:w="4556" w:type="dxa"/>
            <w:vMerge w:val="continue"/>
            <w:vAlign w:val="center"/>
          </w:tcPr>
          <w:p w14:paraId="5C1EBF83">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b/>
                <w:bCs/>
                <w:sz w:val="24"/>
                <w:szCs w:val="32"/>
              </w:rPr>
            </w:pPr>
          </w:p>
        </w:tc>
      </w:tr>
      <w:tr w14:paraId="540C0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63D192EB">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lang w:val="en-US" w:eastAsia="zh-CN"/>
              </w:rPr>
              <w:t>1</w:t>
            </w:r>
          </w:p>
        </w:tc>
        <w:tc>
          <w:tcPr>
            <w:tcW w:w="3021" w:type="dxa"/>
            <w:vAlign w:val="center"/>
          </w:tcPr>
          <w:p w14:paraId="1B1ADFD5">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甲醛含量</w:t>
            </w:r>
          </w:p>
        </w:tc>
        <w:tc>
          <w:tcPr>
            <w:tcW w:w="4556" w:type="dxa"/>
            <w:vAlign w:val="center"/>
          </w:tcPr>
          <w:p w14:paraId="08A36AE6">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color w:val="auto"/>
                <w:sz w:val="21"/>
                <w:szCs w:val="21"/>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2912.1</w:t>
            </w:r>
            <w:r>
              <w:rPr>
                <w:rFonts w:hint="eastAsia" w:ascii="宋体" w:hAnsi="宋体" w:eastAsia="宋体" w:cs="宋体"/>
                <w:color w:val="auto"/>
                <w:sz w:val="21"/>
                <w:szCs w:val="21"/>
                <w:lang w:val="en-US" w:eastAsia="zh-CN"/>
              </w:rPr>
              <w:t>-2009</w:t>
            </w:r>
          </w:p>
        </w:tc>
      </w:tr>
      <w:tr w14:paraId="1D94A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441F58E0">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lang w:val="en-US" w:eastAsia="zh-CN"/>
              </w:rPr>
              <w:t>2</w:t>
            </w:r>
          </w:p>
        </w:tc>
        <w:tc>
          <w:tcPr>
            <w:tcW w:w="3021" w:type="dxa"/>
            <w:vAlign w:val="center"/>
          </w:tcPr>
          <w:p w14:paraId="4EC127B0">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ph值</w:t>
            </w:r>
            <w:r>
              <w:rPr>
                <w:rFonts w:hint="eastAsia" w:ascii="宋体" w:hAnsi="宋体" w:eastAsia="宋体" w:cs="宋体"/>
                <w:highlight w:val="none"/>
                <w:vertAlign w:val="superscript"/>
                <w:lang w:val="en-US" w:eastAsia="zh-CN"/>
              </w:rPr>
              <w:t>a</w:t>
            </w:r>
          </w:p>
        </w:tc>
        <w:tc>
          <w:tcPr>
            <w:tcW w:w="4556" w:type="dxa"/>
            <w:vAlign w:val="center"/>
          </w:tcPr>
          <w:p w14:paraId="2100FB17">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color w:val="auto"/>
                <w:sz w:val="21"/>
                <w:szCs w:val="21"/>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7573</w:t>
            </w:r>
            <w:r>
              <w:rPr>
                <w:rFonts w:hint="eastAsia" w:ascii="宋体" w:hAnsi="宋体" w:eastAsia="宋体" w:cs="宋体"/>
                <w:color w:val="auto"/>
                <w:sz w:val="21"/>
                <w:szCs w:val="21"/>
                <w:lang w:val="en-US" w:eastAsia="zh-CN"/>
              </w:rPr>
              <w:t>-2009</w:t>
            </w:r>
          </w:p>
        </w:tc>
      </w:tr>
      <w:tr w14:paraId="72BAF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0A10B1CD">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lang w:val="en-US" w:eastAsia="zh-CN"/>
              </w:rPr>
              <w:t>3</w:t>
            </w:r>
          </w:p>
        </w:tc>
        <w:tc>
          <w:tcPr>
            <w:tcW w:w="3021" w:type="dxa"/>
            <w:vAlign w:val="center"/>
          </w:tcPr>
          <w:p w14:paraId="7B151A4A">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highlight w:val="none"/>
                <w:lang w:val="zh-CN" w:eastAsia="zh-CN"/>
              </w:rPr>
            </w:pPr>
            <w:r>
              <w:rPr>
                <w:rFonts w:hint="eastAsia" w:ascii="宋体" w:hAnsi="宋体" w:eastAsia="宋体" w:cs="宋体"/>
                <w:highlight w:val="none"/>
                <w:lang w:val="en-US" w:eastAsia="zh-CN"/>
              </w:rPr>
              <w:t>异味</w:t>
            </w:r>
          </w:p>
        </w:tc>
        <w:tc>
          <w:tcPr>
            <w:tcW w:w="4556" w:type="dxa"/>
            <w:vAlign w:val="center"/>
          </w:tcPr>
          <w:p w14:paraId="6A27B4C3">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zh-CN" w:eastAsia="zh-CN"/>
              </w:rPr>
            </w:pPr>
            <w:r>
              <w:rPr>
                <w:rFonts w:hint="eastAsia" w:ascii="宋体" w:hAnsi="宋体" w:eastAsia="宋体" w:cs="宋体"/>
                <w:color w:val="auto"/>
                <w:kern w:val="0"/>
                <w:szCs w:val="21"/>
              </w:rPr>
              <w:t>GB</w:t>
            </w:r>
            <w:r>
              <w:rPr>
                <w:rFonts w:hint="eastAsia" w:ascii="宋体" w:hAnsi="宋体" w:eastAsia="宋体" w:cs="宋体"/>
                <w:color w:val="auto"/>
                <w:kern w:val="0"/>
                <w:szCs w:val="21"/>
                <w:lang w:val="en-US" w:eastAsia="zh-CN"/>
              </w:rPr>
              <w:t xml:space="preserve"> </w:t>
            </w:r>
            <w:r>
              <w:rPr>
                <w:rFonts w:hint="eastAsia" w:ascii="宋体" w:hAnsi="宋体" w:eastAsia="宋体" w:cs="宋体"/>
                <w:color w:val="auto"/>
                <w:kern w:val="0"/>
                <w:szCs w:val="21"/>
              </w:rPr>
              <w:t>18401</w:t>
            </w:r>
            <w:r>
              <w:rPr>
                <w:rFonts w:hint="eastAsia" w:ascii="宋体" w:hAnsi="宋体" w:eastAsia="宋体" w:cs="宋体"/>
                <w:color w:val="auto"/>
                <w:sz w:val="21"/>
                <w:szCs w:val="21"/>
                <w:lang w:val="en-US" w:eastAsia="zh-CN"/>
              </w:rPr>
              <w:t>-2010</w:t>
            </w:r>
          </w:p>
        </w:tc>
      </w:tr>
      <w:tr w14:paraId="4E8B2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33A42F4F">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lang w:val="en-US" w:eastAsia="zh-CN"/>
              </w:rPr>
              <w:t>4</w:t>
            </w:r>
          </w:p>
        </w:tc>
        <w:tc>
          <w:tcPr>
            <w:tcW w:w="3021" w:type="dxa"/>
            <w:vAlign w:val="center"/>
          </w:tcPr>
          <w:p w14:paraId="0ABD4C36">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耐干摩擦色牢度</w:t>
            </w:r>
            <w:r>
              <w:rPr>
                <w:rFonts w:hint="eastAsia" w:ascii="宋体" w:hAnsi="宋体" w:eastAsia="宋体" w:cs="宋体"/>
                <w:highlight w:val="none"/>
                <w:vertAlign w:val="superscript"/>
                <w:lang w:val="en-US" w:eastAsia="zh-CN"/>
              </w:rPr>
              <w:t>b</w:t>
            </w:r>
          </w:p>
        </w:tc>
        <w:tc>
          <w:tcPr>
            <w:tcW w:w="4556" w:type="dxa"/>
            <w:vAlign w:val="center"/>
          </w:tcPr>
          <w:p w14:paraId="2AD648AE">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color w:val="auto"/>
                <w:sz w:val="21"/>
                <w:szCs w:val="21"/>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3920</w:t>
            </w:r>
            <w:r>
              <w:rPr>
                <w:rFonts w:hint="eastAsia" w:ascii="宋体" w:hAnsi="宋体" w:eastAsia="宋体" w:cs="宋体"/>
                <w:color w:val="auto"/>
                <w:sz w:val="21"/>
                <w:szCs w:val="21"/>
                <w:lang w:val="en-US" w:eastAsia="zh-CN"/>
              </w:rPr>
              <w:t>-2008</w:t>
            </w:r>
          </w:p>
        </w:tc>
      </w:tr>
      <w:tr w14:paraId="2070B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16" w:type="dxa"/>
            <w:vAlign w:val="center"/>
          </w:tcPr>
          <w:p w14:paraId="2568B55A">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lang w:val="en-US" w:eastAsia="zh-CN"/>
              </w:rPr>
              <w:t>5</w:t>
            </w:r>
          </w:p>
        </w:tc>
        <w:tc>
          <w:tcPr>
            <w:tcW w:w="3021" w:type="dxa"/>
            <w:vAlign w:val="center"/>
          </w:tcPr>
          <w:p w14:paraId="493C22D4">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highlight w:val="none"/>
                <w:lang w:val="en-US" w:eastAsia="zh-CN"/>
              </w:rPr>
              <w:t>耐碱汗渍色牢度</w:t>
            </w:r>
          </w:p>
        </w:tc>
        <w:tc>
          <w:tcPr>
            <w:tcW w:w="4556" w:type="dxa"/>
            <w:vAlign w:val="center"/>
          </w:tcPr>
          <w:p w14:paraId="09F3CBD4">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color w:val="auto"/>
                <w:sz w:val="21"/>
                <w:szCs w:val="21"/>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3922</w:t>
            </w:r>
            <w:r>
              <w:rPr>
                <w:rFonts w:hint="eastAsia" w:ascii="宋体" w:hAnsi="宋体" w:eastAsia="宋体" w:cs="宋体"/>
                <w:color w:val="auto"/>
                <w:sz w:val="21"/>
                <w:szCs w:val="21"/>
                <w:lang w:val="en-US" w:eastAsia="zh-CN"/>
              </w:rPr>
              <w:t>-2013</w:t>
            </w:r>
          </w:p>
        </w:tc>
      </w:tr>
      <w:tr w14:paraId="76030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5A0C44BB">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lang w:val="en-US" w:eastAsia="zh-CN"/>
              </w:rPr>
              <w:t>6</w:t>
            </w:r>
          </w:p>
        </w:tc>
        <w:tc>
          <w:tcPr>
            <w:tcW w:w="3021" w:type="dxa"/>
            <w:vAlign w:val="center"/>
          </w:tcPr>
          <w:p w14:paraId="4E563B2D">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耐酸汗渍色牢度</w:t>
            </w:r>
          </w:p>
        </w:tc>
        <w:tc>
          <w:tcPr>
            <w:tcW w:w="4556" w:type="dxa"/>
            <w:vAlign w:val="center"/>
          </w:tcPr>
          <w:p w14:paraId="25949AB1">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color w:val="auto"/>
                <w:sz w:val="21"/>
                <w:szCs w:val="21"/>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3922</w:t>
            </w:r>
            <w:r>
              <w:rPr>
                <w:rFonts w:hint="eastAsia" w:ascii="宋体" w:hAnsi="宋体" w:eastAsia="宋体" w:cs="宋体"/>
                <w:color w:val="auto"/>
                <w:sz w:val="21"/>
                <w:szCs w:val="21"/>
                <w:lang w:val="en-US" w:eastAsia="zh-CN"/>
              </w:rPr>
              <w:t>-2013</w:t>
            </w:r>
          </w:p>
        </w:tc>
      </w:tr>
      <w:tr w14:paraId="5D95C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36559700">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lang w:val="en-US" w:eastAsia="zh-CN"/>
              </w:rPr>
              <w:t>7</w:t>
            </w:r>
          </w:p>
        </w:tc>
        <w:tc>
          <w:tcPr>
            <w:tcW w:w="3021" w:type="dxa"/>
            <w:vAlign w:val="center"/>
          </w:tcPr>
          <w:p w14:paraId="0B367289">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耐水色牢度</w:t>
            </w:r>
          </w:p>
        </w:tc>
        <w:tc>
          <w:tcPr>
            <w:tcW w:w="4556" w:type="dxa"/>
            <w:vAlign w:val="center"/>
          </w:tcPr>
          <w:p w14:paraId="5AA2AF30">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zh-CN" w:eastAsia="zh-CN"/>
              </w:rPr>
            </w:pPr>
            <w:r>
              <w:rPr>
                <w:rFonts w:hint="eastAsia" w:ascii="宋体" w:hAnsi="宋体" w:eastAsia="宋体" w:cs="宋体"/>
                <w:color w:val="auto"/>
                <w:sz w:val="21"/>
                <w:szCs w:val="21"/>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5713</w:t>
            </w:r>
            <w:r>
              <w:rPr>
                <w:rFonts w:hint="eastAsia" w:ascii="宋体" w:hAnsi="宋体" w:eastAsia="宋体" w:cs="宋体"/>
                <w:color w:val="auto"/>
                <w:sz w:val="21"/>
                <w:szCs w:val="21"/>
                <w:lang w:val="en-US" w:eastAsia="zh-CN"/>
              </w:rPr>
              <w:t>-2013</w:t>
            </w:r>
          </w:p>
        </w:tc>
      </w:tr>
      <w:tr w14:paraId="37617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19F38265">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lang w:val="en-US" w:eastAsia="zh-CN"/>
              </w:rPr>
              <w:t>8</w:t>
            </w:r>
          </w:p>
        </w:tc>
        <w:tc>
          <w:tcPr>
            <w:tcW w:w="3021" w:type="dxa"/>
            <w:vAlign w:val="center"/>
          </w:tcPr>
          <w:p w14:paraId="1D213F91">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耐唾液色牢度</w:t>
            </w:r>
          </w:p>
        </w:tc>
        <w:tc>
          <w:tcPr>
            <w:tcW w:w="4556" w:type="dxa"/>
            <w:vAlign w:val="center"/>
          </w:tcPr>
          <w:p w14:paraId="58540A07">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zh-CN" w:eastAsia="zh-CN"/>
              </w:rPr>
            </w:pPr>
            <w:r>
              <w:rPr>
                <w:rFonts w:hint="eastAsia" w:ascii="宋体" w:hAnsi="宋体" w:eastAsia="宋体" w:cs="宋体"/>
                <w:color w:val="auto"/>
                <w:sz w:val="21"/>
                <w:szCs w:val="21"/>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18886</w:t>
            </w:r>
            <w:r>
              <w:rPr>
                <w:rFonts w:hint="eastAsia" w:ascii="宋体" w:hAnsi="宋体" w:eastAsia="宋体" w:cs="宋体"/>
                <w:color w:val="auto"/>
                <w:sz w:val="21"/>
                <w:szCs w:val="21"/>
                <w:lang w:val="en-US" w:eastAsia="zh-CN"/>
              </w:rPr>
              <w:t>-2019</w:t>
            </w:r>
          </w:p>
        </w:tc>
      </w:tr>
      <w:tr w14:paraId="16EC3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4894D93A">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lang w:val="en-US" w:eastAsia="zh-CN"/>
              </w:rPr>
            </w:pPr>
            <w:r>
              <w:rPr>
                <w:rFonts w:hint="eastAsia" w:ascii="宋体" w:hAnsi="宋体" w:eastAsia="宋体" w:cs="宋体"/>
                <w:lang w:val="en-US" w:eastAsia="zh-CN"/>
              </w:rPr>
              <w:t>9</w:t>
            </w:r>
          </w:p>
        </w:tc>
        <w:tc>
          <w:tcPr>
            <w:tcW w:w="3021" w:type="dxa"/>
            <w:vAlign w:val="center"/>
          </w:tcPr>
          <w:p w14:paraId="6A5C3245">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纤维成分及含量</w:t>
            </w:r>
          </w:p>
        </w:tc>
        <w:tc>
          <w:tcPr>
            <w:tcW w:w="4556" w:type="dxa"/>
            <w:vAlign w:val="center"/>
          </w:tcPr>
          <w:p w14:paraId="3902EB5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FZ/T 01057-2007</w:t>
            </w:r>
          </w:p>
          <w:p w14:paraId="166786B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GB/T 2910-2009</w:t>
            </w:r>
          </w:p>
          <w:p w14:paraId="6468D1B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FZ/T 01095-2002</w:t>
            </w:r>
          </w:p>
          <w:p w14:paraId="62CF211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lang w:val="en-US" w:eastAsia="zh-CN"/>
              </w:rPr>
            </w:pPr>
            <w:r>
              <w:rPr>
                <w:rFonts w:hint="eastAsia" w:ascii="宋体" w:hAnsi="宋体" w:eastAsia="宋体" w:cs="宋体"/>
                <w:color w:val="auto"/>
                <w:sz w:val="21"/>
                <w:szCs w:val="21"/>
              </w:rPr>
              <w:t>FZ/T 01101-2008</w:t>
            </w:r>
          </w:p>
        </w:tc>
      </w:tr>
      <w:tr w14:paraId="23C8C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53B4A8D2">
            <w:pPr>
              <w:keepNext w:val="0"/>
              <w:keepLines w:val="0"/>
              <w:pageBreakBefore w:val="0"/>
              <w:kinsoku/>
              <w:wordWrap/>
              <w:overflowPunct/>
              <w:topLinePunct w:val="0"/>
              <w:autoSpaceDE/>
              <w:autoSpaceDN/>
              <w:bidi w:val="0"/>
              <w:adjustRightInd/>
              <w:snapToGrid w:val="0"/>
              <w:spacing w:line="240" w:lineRule="auto"/>
              <w:rPr>
                <w:rFonts w:hint="default" w:ascii="宋体" w:hAnsi="宋体" w:eastAsia="宋体" w:cs="宋体"/>
                <w:lang w:val="en-US" w:eastAsia="zh-CN"/>
              </w:rPr>
            </w:pPr>
            <w:r>
              <w:rPr>
                <w:rFonts w:hint="eastAsia" w:ascii="宋体" w:hAnsi="宋体" w:eastAsia="宋体" w:cs="宋体"/>
                <w:lang w:val="en-US" w:eastAsia="zh-CN"/>
              </w:rPr>
              <w:t>10</w:t>
            </w:r>
          </w:p>
        </w:tc>
        <w:tc>
          <w:tcPr>
            <w:tcW w:w="3021" w:type="dxa"/>
            <w:vAlign w:val="center"/>
          </w:tcPr>
          <w:p w14:paraId="11A56683">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color w:val="auto"/>
                <w:kern w:val="2"/>
                <w:sz w:val="21"/>
                <w:szCs w:val="22"/>
                <w:highlight w:val="none"/>
                <w:lang w:val="en-US" w:eastAsia="zh-CN" w:bidi="ar-SA"/>
              </w:rPr>
            </w:pPr>
            <w:r>
              <w:rPr>
                <w:rFonts w:hint="eastAsia" w:ascii="宋体" w:hAnsi="宋体" w:cs="宋体"/>
                <w:color w:val="auto"/>
                <w:sz w:val="22"/>
                <w:szCs w:val="22"/>
                <w:highlight w:val="none"/>
              </w:rPr>
              <w:t>可分解致癌芳香胺染料</w:t>
            </w:r>
          </w:p>
        </w:tc>
        <w:tc>
          <w:tcPr>
            <w:tcW w:w="4556" w:type="dxa"/>
            <w:vAlign w:val="center"/>
          </w:tcPr>
          <w:p w14:paraId="5F9FD751">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GB/T 17592-2011</w:t>
            </w:r>
          </w:p>
          <w:p w14:paraId="29A533D3">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kern w:val="2"/>
                <w:sz w:val="21"/>
                <w:szCs w:val="22"/>
                <w:highlight w:val="none"/>
                <w:lang w:val="en-US" w:eastAsia="zh-CN" w:bidi="ar-SA"/>
              </w:rPr>
            </w:pPr>
            <w:r>
              <w:rPr>
                <w:rFonts w:hint="eastAsia" w:ascii="宋体" w:hAnsi="宋体" w:eastAsia="宋体" w:cs="宋体"/>
                <w:highlight w:val="none"/>
                <w:lang w:val="en-US" w:eastAsia="zh-CN"/>
              </w:rPr>
              <w:t>GB/T 23344-2009</w:t>
            </w:r>
          </w:p>
        </w:tc>
      </w:tr>
      <w:tr w14:paraId="5CBCF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93" w:type="dxa"/>
            <w:gridSpan w:val="3"/>
            <w:vAlign w:val="center"/>
          </w:tcPr>
          <w:p w14:paraId="61F462B7">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注：</w:t>
            </w:r>
          </w:p>
          <w:p w14:paraId="7AA1E69D">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vertAlign w:val="superscript"/>
                <w:lang w:val="en-US" w:eastAsia="zh-CN" w:bidi="ar-SA"/>
              </w:rPr>
              <w:t>a</w:t>
            </w:r>
            <w:r>
              <w:rPr>
                <w:rFonts w:hint="eastAsia" w:ascii="宋体" w:hAnsi="宋体" w:eastAsia="宋体" w:cs="宋体"/>
                <w:color w:val="auto"/>
                <w:sz w:val="21"/>
                <w:szCs w:val="21"/>
              </w:rPr>
              <w:t>不考核绗缝制品填充物、羽绒羽毛制品填充物</w:t>
            </w:r>
          </w:p>
          <w:p w14:paraId="33910BCA">
            <w:pPr>
              <w:keepNext w:val="0"/>
              <w:keepLines w:val="0"/>
              <w:pageBreakBefore w:val="0"/>
              <w:kinsoku/>
              <w:wordWrap/>
              <w:overflowPunct/>
              <w:topLinePunct w:val="0"/>
              <w:autoSpaceDE/>
              <w:autoSpaceDN/>
              <w:bidi w:val="0"/>
              <w:adjustRightInd/>
              <w:snapToGrid w:val="0"/>
              <w:spacing w:line="240" w:lineRule="auto"/>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vertAlign w:val="superscript"/>
                <w:lang w:val="en-US" w:eastAsia="zh-CN" w:bidi="ar-SA"/>
              </w:rPr>
              <w:t>b</w:t>
            </w:r>
            <w:r>
              <w:rPr>
                <w:rFonts w:hint="eastAsia" w:ascii="宋体" w:hAnsi="宋体" w:eastAsia="宋体" w:cs="宋体"/>
                <w:color w:val="auto"/>
                <w:szCs w:val="21"/>
              </w:rPr>
              <w:t>针织类产品只做直向</w:t>
            </w:r>
          </w:p>
        </w:tc>
      </w:tr>
    </w:tbl>
    <w:p w14:paraId="2630DF97">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color w:val="000000" w:themeColor="text1"/>
          <w:sz w:val="21"/>
          <w:szCs w:val="21"/>
          <w:highlight w:val="none"/>
          <w14:textFill>
            <w14:solidFill>
              <w14:schemeClr w14:val="tx1"/>
            </w14:solidFill>
          </w14:textFill>
        </w:rPr>
      </w:pPr>
    </w:p>
    <w:p w14:paraId="1F317A1D">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执行企业标准、团体标准、地方标准的产品，检验项目参照上述内容执行。</w:t>
      </w:r>
    </w:p>
    <w:p w14:paraId="1502A3D4">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凡是注日期的文件，其随后所有的修改单（不包括勘误的内容）或修订版不适用于本细则。凡是不注日期的文件，其最新版本适用于本细则。</w:t>
      </w:r>
    </w:p>
    <w:p w14:paraId="0D5BBA77">
      <w:pPr>
        <w:spacing w:line="440" w:lineRule="exac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3 判定规则</w:t>
      </w:r>
    </w:p>
    <w:p w14:paraId="6F77BCAE">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3.1 依据标准</w:t>
      </w:r>
    </w:p>
    <w:p w14:paraId="470B9E13">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 18401-2010国家纺织产品基本安全技术规范</w:t>
      </w:r>
    </w:p>
    <w:p w14:paraId="2385D624">
      <w:pPr>
        <w:spacing w:line="440" w:lineRule="exact"/>
        <w:ind w:firstLine="573"/>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 31701-2015婴幼儿及儿童纺织产品安全技术规范</w:t>
      </w:r>
    </w:p>
    <w:p w14:paraId="2CEE64BF">
      <w:pPr>
        <w:spacing w:line="440" w:lineRule="exact"/>
        <w:ind w:firstLine="573"/>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 5296.4-2012消费品使用说明 第4部分：纺织品和服装</w:t>
      </w:r>
    </w:p>
    <w:p w14:paraId="1921ED40">
      <w:pPr>
        <w:spacing w:line="440" w:lineRule="exact"/>
        <w:ind w:firstLine="573"/>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 29862-2013纺织品 纤维含量的标识</w:t>
      </w:r>
    </w:p>
    <w:p w14:paraId="5DBA4BDE">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FZ/T 73025-2019婴幼儿针织服饰</w:t>
      </w:r>
    </w:p>
    <w:p w14:paraId="5DC5860D">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GB/T 39508-2020针织婴幼儿及儿童服装</w:t>
      </w:r>
    </w:p>
    <w:p w14:paraId="21008107">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FZ/T 73045-2013针织儿童服装</w:t>
      </w:r>
    </w:p>
    <w:p w14:paraId="021555D9">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经国家标准信息公共服务平台备案现行有效的企业标准及产品明示质量要求；</w:t>
      </w:r>
    </w:p>
    <w:p w14:paraId="63901B13">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产品明示质量指标及国家法律、法规、规章的有关规定。</w:t>
      </w:r>
    </w:p>
    <w:p w14:paraId="463780BF">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 判定原则</w:t>
      </w:r>
    </w:p>
    <w:p w14:paraId="504F43E2">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经检验，检验项目全部合格，判定为被抽查产品所检项目未发现不合格；检验项目中任一项或一项以上不合格，判定为被抽查产品不合格。</w:t>
      </w:r>
    </w:p>
    <w:p w14:paraId="7785BC49">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若被检产品明示的质量要求高于本细则中检验项目依据的标准要求时，应按被检产品明示的质量要求判定。</w:t>
      </w:r>
    </w:p>
    <w:p w14:paraId="43555085">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若被检产品明示的质量要求低于本细则中检验项目依据的强制性标准要求时，应按照强制性标准要求判定。</w:t>
      </w:r>
    </w:p>
    <w:p w14:paraId="7760D7A1">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若被检产品明示的质量要求低于或包含本细则中检验项目依据的推荐性标准要求时，应以被检产品明示的质量要求判定。</w:t>
      </w:r>
    </w:p>
    <w:p w14:paraId="7A849DB3">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若被检产品明示的质量要求缺少本细则中检验项目依据的强制性标准要求时，应按照强制性标准要求判定。</w:t>
      </w:r>
    </w:p>
    <w:p w14:paraId="771334C5">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若被检产品明示的质量要求缺少本细则中检验项目依据的推荐性标准要求时，该项目不参与判定。</w:t>
      </w:r>
    </w:p>
    <w:p w14:paraId="677E3596">
      <w:r>
        <w:br w:type="page"/>
      </w:r>
    </w:p>
    <w:p w14:paraId="36B06BF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EA7692"/>
    <w:rsid w:val="10014FAA"/>
    <w:rsid w:val="2C4C35F9"/>
    <w:rsid w:val="4CAF7561"/>
    <w:rsid w:val="5DC824BC"/>
    <w:rsid w:val="68776D2D"/>
    <w:rsid w:val="708F1E33"/>
    <w:rsid w:val="712F6B08"/>
    <w:rsid w:val="7C840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宋体" w:asciiTheme="majorHAnsi" w:hAnsiTheme="majorHAnsi" w:cstheme="majorBidi"/>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863</Words>
  <Characters>1111</Characters>
  <Lines>0</Lines>
  <Paragraphs>0</Paragraphs>
  <TotalTime>0</TotalTime>
  <ScaleCrop>false</ScaleCrop>
  <LinksUpToDate>false</LinksUpToDate>
  <CharactersWithSpaces>1138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2026-03-16T03:02:00Z</dcterms:created>
  <dc:creator>Administrator</dc:creator>
  <cp:lastModifiedBy>国家煤化工质检中心</cp:lastModifiedBy>
  <dcterms:modified xsi:type="dcterms:W3CDTF">2026-03-19T07:35:27Z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eyJoZGlkIjoiYzUyNjhhNzAxNGQzZTVjZGI4OWNkMzdmNjE1MWFmMTEiLCJ1c2VySWQiOiI1NzEzMjEzNzgifQ==</vt:lpwstr>
  </property>
  <property fmtid="{D5CDD505-2E9C-101B-9397-08002B2CF9AE}" pid="4" name="ICV">
    <vt:lpwstr>A55CB89AE68C473CACFBDF8CE41478E7_12</vt:lpwstr>
  </property>
</Properties>
</file>