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ind w:firstLine="643"/>
        <w:jc w:val="center"/>
        <w:rPr>
          <w:rFonts w:ascii="宋体" w:hAnsi="宋体" w:cs="宋体"/>
          <w:b/>
          <w:bCs/>
          <w:sz w:val="32"/>
          <w:szCs w:val="32"/>
        </w:rPr>
      </w:pPr>
      <w:r>
        <w:rPr>
          <w:rFonts w:hint="eastAsia" w:ascii="宋体" w:hAnsi="宋体" w:cs="宋体"/>
          <w:b/>
          <w:bCs/>
          <w:sz w:val="32"/>
          <w:szCs w:val="32"/>
        </w:rPr>
        <w:t>淮南市防爆电气产品质量市级监督抽查实施细则（202</w:t>
      </w:r>
      <w:r>
        <w:rPr>
          <w:rFonts w:hint="eastAsia" w:ascii="宋体" w:hAnsi="宋体" w:cs="宋体"/>
          <w:b/>
          <w:bCs/>
          <w:sz w:val="32"/>
          <w:szCs w:val="32"/>
          <w:lang w:val="en-US" w:eastAsia="zh-CN"/>
        </w:rPr>
        <w:t>6</w:t>
      </w:r>
      <w:bookmarkStart w:id="0" w:name="_GoBack"/>
      <w:bookmarkEnd w:id="0"/>
      <w:r>
        <w:rPr>
          <w:rFonts w:hint="eastAsia" w:ascii="宋体" w:hAnsi="宋体" w:cs="宋体"/>
          <w:b/>
          <w:bCs/>
          <w:sz w:val="32"/>
          <w:szCs w:val="32"/>
        </w:rPr>
        <w:t>版）</w:t>
      </w:r>
    </w:p>
    <w:p>
      <w:pPr>
        <w:pStyle w:val="23"/>
        <w:ind w:firstLine="643"/>
        <w:rPr>
          <w:rFonts w:ascii="宋体" w:hAnsi="宋体" w:cs="宋体"/>
          <w:b/>
          <w:bCs/>
          <w:sz w:val="32"/>
          <w:szCs w:val="32"/>
        </w:rPr>
      </w:pPr>
    </w:p>
    <w:p>
      <w:pPr>
        <w:adjustRightInd w:val="0"/>
        <w:snapToGrid w:val="0"/>
        <w:spacing w:line="440" w:lineRule="exact"/>
        <w:rPr>
          <w:rFonts w:ascii="黑体" w:hAnsi="黑体" w:eastAsia="黑体" w:cs="黑体"/>
          <w:szCs w:val="21"/>
        </w:rPr>
      </w:pPr>
      <w:r>
        <w:rPr>
          <w:rFonts w:hint="eastAsia" w:ascii="黑体" w:hAnsi="黑体" w:eastAsia="黑体" w:cs="黑体"/>
          <w:szCs w:val="21"/>
        </w:rPr>
        <w:t>1 抽样方法</w:t>
      </w:r>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以随机抽样的方式在被抽样生产者、销售者的待销产品中抽取。</w:t>
      </w:r>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随机数一般可使用随机数表等方法产生。</w:t>
      </w:r>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每批次产品抽取样品2个，其中1个为检验样品，1个为备用样品。</w:t>
      </w:r>
    </w:p>
    <w:p>
      <w:pPr>
        <w:pStyle w:val="2"/>
      </w:pPr>
    </w:p>
    <w:p>
      <w:pPr>
        <w:pStyle w:val="2"/>
        <w:ind w:left="0" w:leftChars="0" w:firstLine="0" w:firstLineChars="0"/>
      </w:pPr>
      <w:r>
        <w:rPr>
          <w:rFonts w:hint="eastAsia"/>
        </w:rPr>
        <w:t>2 检验依据</w:t>
      </w:r>
    </w:p>
    <w:p>
      <w:pPr>
        <w:snapToGrid w:val="0"/>
        <w:jc w:val="center"/>
        <w:rPr>
          <w:rFonts w:ascii="宋体" w:hAnsi="宋体" w:cs="宋体"/>
          <w:color w:val="000000"/>
          <w:kern w:val="0"/>
          <w:szCs w:val="21"/>
        </w:rPr>
      </w:pPr>
      <w:r>
        <w:rPr>
          <w:rFonts w:hint="eastAsia" w:ascii="宋体" w:hAnsi="宋体" w:cs="宋体"/>
          <w:color w:val="000000"/>
          <w:kern w:val="0"/>
          <w:szCs w:val="21"/>
        </w:rPr>
        <w:t>表1 防爆电气检验项目</w:t>
      </w:r>
    </w:p>
    <w:tbl>
      <w:tblPr>
        <w:tblStyle w:val="12"/>
        <w:tblW w:w="95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7"/>
        <w:gridCol w:w="1275"/>
        <w:gridCol w:w="4395"/>
        <w:gridCol w:w="3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667" w:type="dxa"/>
            <w:noWrap/>
            <w:vAlign w:val="center"/>
          </w:tcPr>
          <w:p>
            <w:pPr>
              <w:snapToGrid w:val="0"/>
              <w:jc w:val="center"/>
              <w:rPr>
                <w:rFonts w:ascii="宋体" w:hAnsi="宋体" w:cs="宋体"/>
                <w:bCs/>
                <w:color w:val="000000"/>
                <w:szCs w:val="21"/>
              </w:rPr>
            </w:pPr>
            <w:r>
              <w:rPr>
                <w:rFonts w:hint="eastAsia" w:ascii="宋体" w:hAnsi="宋体" w:cs="宋体"/>
                <w:bCs/>
                <w:color w:val="000000"/>
                <w:szCs w:val="21"/>
              </w:rPr>
              <w:t>序号</w:t>
            </w:r>
          </w:p>
        </w:tc>
        <w:tc>
          <w:tcPr>
            <w:tcW w:w="1275" w:type="dxa"/>
            <w:noWrap/>
            <w:vAlign w:val="center"/>
          </w:tcPr>
          <w:p>
            <w:pPr>
              <w:snapToGrid w:val="0"/>
              <w:jc w:val="center"/>
              <w:rPr>
                <w:rFonts w:ascii="宋体" w:hAnsi="宋体" w:cs="宋体"/>
                <w:bCs/>
                <w:color w:val="000000"/>
                <w:szCs w:val="21"/>
              </w:rPr>
            </w:pPr>
            <w:r>
              <w:rPr>
                <w:rFonts w:hint="eastAsia" w:ascii="宋体" w:hAnsi="宋体" w:cs="宋体"/>
                <w:bCs/>
                <w:color w:val="000000"/>
                <w:szCs w:val="21"/>
              </w:rPr>
              <w:t>检验项目</w:t>
            </w:r>
          </w:p>
        </w:tc>
        <w:tc>
          <w:tcPr>
            <w:tcW w:w="4395" w:type="dxa"/>
            <w:noWrap/>
            <w:vAlign w:val="center"/>
          </w:tcPr>
          <w:p>
            <w:pPr>
              <w:jc w:val="center"/>
              <w:rPr>
                <w:rFonts w:ascii="宋体" w:hAnsi="宋体" w:cs="宋体"/>
                <w:szCs w:val="21"/>
              </w:rPr>
            </w:pPr>
            <w:r>
              <w:rPr>
                <w:rFonts w:hint="eastAsia" w:ascii="宋体" w:hAnsi="宋体" w:cs="宋体"/>
                <w:szCs w:val="21"/>
              </w:rPr>
              <w:t>执行标准</w:t>
            </w:r>
          </w:p>
        </w:tc>
        <w:tc>
          <w:tcPr>
            <w:tcW w:w="3260" w:type="dxa"/>
            <w:noWrap/>
            <w:vAlign w:val="center"/>
          </w:tcPr>
          <w:p>
            <w:pPr>
              <w:jc w:val="center"/>
              <w:rPr>
                <w:rFonts w:ascii="宋体" w:hAnsi="宋体" w:cs="宋体"/>
                <w:szCs w:val="21"/>
              </w:rPr>
            </w:pPr>
            <w:r>
              <w:rPr>
                <w:rFonts w:hint="eastAsia" w:ascii="宋体" w:hAnsi="宋体" w:cs="宋体"/>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4" w:hRule="atLeast"/>
          <w:jc w:val="center"/>
        </w:trPr>
        <w:tc>
          <w:tcPr>
            <w:tcW w:w="667" w:type="dxa"/>
            <w:vMerge w:val="restart"/>
            <w:noWrap/>
            <w:vAlign w:val="center"/>
          </w:tcPr>
          <w:p>
            <w:pPr>
              <w:snapToGrid w:val="0"/>
              <w:jc w:val="center"/>
              <w:rPr>
                <w:rFonts w:ascii="宋体" w:hAnsi="宋体" w:cs="宋体"/>
                <w:bCs/>
                <w:szCs w:val="21"/>
              </w:rPr>
            </w:pPr>
            <w:r>
              <w:rPr>
                <w:rFonts w:hint="eastAsia" w:ascii="宋体" w:hAnsi="宋体" w:cs="宋体"/>
                <w:bCs/>
                <w:szCs w:val="21"/>
              </w:rPr>
              <w:t>1</w:t>
            </w:r>
          </w:p>
        </w:tc>
        <w:tc>
          <w:tcPr>
            <w:tcW w:w="1275" w:type="dxa"/>
            <w:vMerge w:val="restart"/>
            <w:noWrap/>
            <w:vAlign w:val="center"/>
          </w:tcPr>
          <w:p>
            <w:pPr>
              <w:widowControl/>
              <w:jc w:val="center"/>
              <w:rPr>
                <w:rFonts w:ascii="宋体" w:hAnsi="宋体" w:cs="宋体"/>
                <w:kern w:val="0"/>
                <w:szCs w:val="21"/>
              </w:rPr>
            </w:pPr>
            <w:r>
              <w:rPr>
                <w:rFonts w:hint="eastAsia" w:ascii="宋体" w:hAnsi="宋体" w:cs="宋体"/>
                <w:kern w:val="0"/>
                <w:szCs w:val="21"/>
              </w:rPr>
              <w:t>结构检查</w:t>
            </w:r>
          </w:p>
        </w:tc>
        <w:tc>
          <w:tcPr>
            <w:tcW w:w="4395" w:type="dxa"/>
            <w:noWrap/>
            <w:vAlign w:val="center"/>
          </w:tcPr>
          <w:p>
            <w:pPr>
              <w:spacing w:line="440" w:lineRule="exact"/>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隔爆型：</w:t>
            </w:r>
          </w:p>
          <w:p>
            <w:pPr>
              <w:spacing w:line="440" w:lineRule="exact"/>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1）标志：</w:t>
            </w:r>
          </w:p>
          <w:p>
            <w:pPr>
              <w:spacing w:line="440" w:lineRule="exact"/>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GB3836.1-2010第29章</w:t>
            </w:r>
          </w:p>
          <w:p>
            <w:pPr>
              <w:spacing w:line="440" w:lineRule="exact"/>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GB/T3836.1-2021第29章</w:t>
            </w:r>
          </w:p>
          <w:p>
            <w:pPr>
              <w:spacing w:line="440" w:lineRule="exact"/>
              <w:rPr>
                <w:rFonts w:asciiTheme="minorEastAsia" w:hAnsiTheme="minorEastAsia" w:eastAsiaTheme="minorEastAsia"/>
                <w:bCs/>
                <w:color w:val="000000"/>
                <w:szCs w:val="21"/>
              </w:rPr>
            </w:pPr>
            <w:r>
              <w:rPr>
                <w:rFonts w:asciiTheme="minorEastAsia" w:hAnsiTheme="minorEastAsia" w:eastAsiaTheme="minorEastAsia"/>
                <w:bCs/>
                <w:color w:val="000000"/>
                <w:szCs w:val="21"/>
              </w:rPr>
              <w:t>GB3836.2-2010</w:t>
            </w:r>
            <w:r>
              <w:rPr>
                <w:rFonts w:hint="eastAsia" w:asciiTheme="minorEastAsia" w:hAnsiTheme="minorEastAsia" w:eastAsiaTheme="minorEastAsia"/>
                <w:bCs/>
                <w:color w:val="000000"/>
                <w:szCs w:val="21"/>
              </w:rPr>
              <w:t>第20章</w:t>
            </w:r>
          </w:p>
          <w:p>
            <w:pPr>
              <w:spacing w:line="440" w:lineRule="exact"/>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GB/T3836.2-2021第20章</w:t>
            </w:r>
          </w:p>
          <w:p>
            <w:pPr>
              <w:pStyle w:val="2"/>
              <w:ind w:left="0" w:leftChars="0" w:firstLine="0" w:firstLineChars="0"/>
              <w:rPr>
                <w:rFonts w:asciiTheme="minorEastAsia" w:hAnsiTheme="minorEastAsia" w:eastAsiaTheme="minorEastAsia"/>
              </w:rPr>
            </w:pPr>
            <w:r>
              <w:rPr>
                <w:rFonts w:hint="eastAsia" w:asciiTheme="minorEastAsia" w:hAnsiTheme="minorEastAsia" w:eastAsiaTheme="minorEastAsia"/>
              </w:rPr>
              <w:t>2）接地连接件：</w:t>
            </w:r>
          </w:p>
          <w:p>
            <w:pPr>
              <w:pStyle w:val="2"/>
              <w:ind w:left="0" w:leftChars="0" w:firstLine="0" w:firstLineChars="0"/>
              <w:rPr>
                <w:rFonts w:asciiTheme="minorEastAsia" w:hAnsiTheme="minorEastAsia" w:eastAsiaTheme="minorEastAsia"/>
              </w:rPr>
            </w:pPr>
            <w:r>
              <w:rPr>
                <w:rFonts w:hint="eastAsia" w:asciiTheme="minorEastAsia" w:hAnsiTheme="minorEastAsia" w:eastAsiaTheme="minorEastAsia"/>
              </w:rPr>
              <w:t>GB3836.1-2010第15章</w:t>
            </w:r>
          </w:p>
          <w:p>
            <w:pPr>
              <w:pStyle w:val="2"/>
              <w:ind w:left="0" w:leftChars="0" w:firstLine="0" w:firstLineChars="0"/>
              <w:rPr>
                <w:rFonts w:asciiTheme="minorEastAsia" w:hAnsiTheme="minorEastAsia" w:eastAsiaTheme="minorEastAsia"/>
              </w:rPr>
            </w:pPr>
            <w:r>
              <w:rPr>
                <w:rFonts w:hint="eastAsia" w:asciiTheme="minorEastAsia" w:hAnsiTheme="minorEastAsia" w:eastAsiaTheme="minorEastAsia"/>
              </w:rPr>
              <w:t>GB</w:t>
            </w:r>
            <w:r>
              <w:rPr>
                <w:rFonts w:asciiTheme="minorEastAsia" w:hAnsiTheme="minorEastAsia" w:eastAsiaTheme="minorEastAsia"/>
              </w:rPr>
              <w:t>/T</w:t>
            </w:r>
            <w:r>
              <w:rPr>
                <w:rFonts w:hint="eastAsia" w:asciiTheme="minorEastAsia" w:hAnsiTheme="minorEastAsia" w:eastAsiaTheme="minorEastAsia"/>
              </w:rPr>
              <w:t xml:space="preserve"> 3836.1-20</w:t>
            </w:r>
            <w:r>
              <w:rPr>
                <w:rFonts w:asciiTheme="minorEastAsia" w:hAnsiTheme="minorEastAsia" w:eastAsiaTheme="minorEastAsia"/>
              </w:rPr>
              <w:t>21</w:t>
            </w:r>
            <w:r>
              <w:rPr>
                <w:rFonts w:hint="eastAsia" w:asciiTheme="minorEastAsia" w:hAnsiTheme="minorEastAsia" w:eastAsiaTheme="minorEastAsia"/>
              </w:rPr>
              <w:t>第15章</w:t>
            </w:r>
          </w:p>
          <w:p>
            <w:pPr>
              <w:pStyle w:val="2"/>
              <w:ind w:left="0" w:leftChars="0" w:firstLine="0" w:firstLineChars="0"/>
              <w:rPr>
                <w:rFonts w:asciiTheme="minorEastAsia" w:hAnsiTheme="minorEastAsia" w:eastAsiaTheme="minorEastAsia"/>
              </w:rPr>
            </w:pPr>
            <w:r>
              <w:rPr>
                <w:rFonts w:hint="eastAsia" w:asciiTheme="minorEastAsia" w:hAnsiTheme="minorEastAsia" w:eastAsiaTheme="minorEastAsia"/>
              </w:rPr>
              <w:t>3）隔爆接合面：</w:t>
            </w:r>
          </w:p>
          <w:p>
            <w:pPr>
              <w:pStyle w:val="2"/>
              <w:ind w:left="0" w:leftChars="0" w:firstLine="0" w:firstLineChars="0"/>
              <w:rPr>
                <w:rFonts w:asciiTheme="minorEastAsia" w:hAnsiTheme="minorEastAsia" w:eastAsiaTheme="minorEastAsia"/>
              </w:rPr>
            </w:pPr>
            <w:r>
              <w:rPr>
                <w:rFonts w:hint="eastAsia" w:asciiTheme="minorEastAsia" w:hAnsiTheme="minorEastAsia" w:eastAsiaTheme="minorEastAsia"/>
              </w:rPr>
              <w:t>GB3836.2-2010第5～7章</w:t>
            </w:r>
          </w:p>
          <w:p>
            <w:pPr>
              <w:pStyle w:val="2"/>
              <w:ind w:left="0" w:leftChars="0" w:firstLine="0" w:firstLineChars="0"/>
              <w:rPr>
                <w:rFonts w:asciiTheme="minorEastAsia" w:hAnsiTheme="minorEastAsia" w:eastAsiaTheme="minorEastAsia"/>
              </w:rPr>
            </w:pPr>
            <w:r>
              <w:rPr>
                <w:rFonts w:hint="eastAsia" w:asciiTheme="minorEastAsia" w:hAnsiTheme="minorEastAsia" w:eastAsiaTheme="minorEastAsia"/>
              </w:rPr>
              <w:t>GB</w:t>
            </w:r>
            <w:r>
              <w:rPr>
                <w:rFonts w:asciiTheme="minorEastAsia" w:hAnsiTheme="minorEastAsia" w:eastAsiaTheme="minorEastAsia"/>
              </w:rPr>
              <w:t>/T</w:t>
            </w:r>
            <w:r>
              <w:rPr>
                <w:rFonts w:hint="eastAsia" w:asciiTheme="minorEastAsia" w:hAnsiTheme="minorEastAsia" w:eastAsiaTheme="minorEastAsia"/>
              </w:rPr>
              <w:t xml:space="preserve"> 3836.2-20</w:t>
            </w:r>
            <w:r>
              <w:rPr>
                <w:rFonts w:asciiTheme="minorEastAsia" w:hAnsiTheme="minorEastAsia" w:eastAsiaTheme="minorEastAsia"/>
              </w:rPr>
              <w:t>21</w:t>
            </w:r>
            <w:r>
              <w:rPr>
                <w:rFonts w:hint="eastAsia" w:asciiTheme="minorEastAsia" w:hAnsiTheme="minorEastAsia" w:eastAsiaTheme="minorEastAsia"/>
              </w:rPr>
              <w:t>第5～7章</w:t>
            </w:r>
          </w:p>
        </w:tc>
        <w:tc>
          <w:tcPr>
            <w:tcW w:w="3260" w:type="dxa"/>
            <w:noWrap/>
            <w:vAlign w:val="center"/>
          </w:tcPr>
          <w:p>
            <w:pPr>
              <w:pStyle w:val="29"/>
              <w:numPr>
                <w:ilvl w:val="0"/>
                <w:numId w:val="1"/>
              </w:numPr>
              <w:spacing w:line="440" w:lineRule="exact"/>
              <w:ind w:firstLineChars="0"/>
              <w:jc w:val="left"/>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标志：</w:t>
            </w:r>
          </w:p>
          <w:p>
            <w:pPr>
              <w:pStyle w:val="2"/>
              <w:ind w:left="0" w:leftChars="0" w:firstLine="0" w:firstLineChars="0"/>
              <w:jc w:val="left"/>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GB3836.1-2010第29章</w:t>
            </w:r>
          </w:p>
          <w:p>
            <w:pPr>
              <w:spacing w:line="440" w:lineRule="exact"/>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GB/T3836.1-2021第29章</w:t>
            </w:r>
          </w:p>
          <w:p>
            <w:pPr>
              <w:spacing w:line="440" w:lineRule="exact"/>
              <w:rPr>
                <w:rFonts w:asciiTheme="minorEastAsia" w:hAnsiTheme="minorEastAsia" w:eastAsiaTheme="minorEastAsia"/>
                <w:bCs/>
                <w:color w:val="000000"/>
                <w:szCs w:val="21"/>
              </w:rPr>
            </w:pPr>
            <w:r>
              <w:rPr>
                <w:rFonts w:asciiTheme="minorEastAsia" w:hAnsiTheme="minorEastAsia" w:eastAsiaTheme="minorEastAsia"/>
                <w:bCs/>
                <w:color w:val="000000"/>
                <w:szCs w:val="21"/>
              </w:rPr>
              <w:t>GB3836.2-2010</w:t>
            </w:r>
            <w:r>
              <w:rPr>
                <w:rFonts w:hint="eastAsia" w:asciiTheme="minorEastAsia" w:hAnsiTheme="minorEastAsia" w:eastAsiaTheme="minorEastAsia"/>
                <w:bCs/>
                <w:color w:val="000000"/>
                <w:szCs w:val="21"/>
              </w:rPr>
              <w:t>第20章</w:t>
            </w:r>
          </w:p>
          <w:p>
            <w:pPr>
              <w:spacing w:line="440" w:lineRule="exact"/>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GB/T3836.2-2021第20章</w:t>
            </w:r>
          </w:p>
          <w:p>
            <w:pPr>
              <w:pStyle w:val="2"/>
              <w:ind w:left="0" w:leftChars="0" w:firstLine="0" w:firstLineChars="0"/>
              <w:jc w:val="left"/>
            </w:pPr>
            <w:r>
              <w:t>核实抽样样品的标志信息与备案的技术资料中的标志信息是否一致</w:t>
            </w:r>
            <w:r>
              <w:rPr>
                <w:rFonts w:hint="eastAsia"/>
              </w:rPr>
              <w:t>。</w:t>
            </w:r>
          </w:p>
          <w:p>
            <w:pPr>
              <w:pStyle w:val="29"/>
              <w:numPr>
                <w:ilvl w:val="0"/>
                <w:numId w:val="1"/>
              </w:numPr>
              <w:spacing w:after="120"/>
              <w:ind w:firstLineChars="0"/>
              <w:rPr>
                <w:rFonts w:asciiTheme="minorEastAsia" w:hAnsiTheme="minorEastAsia" w:eastAsiaTheme="minorEastAsia"/>
              </w:rPr>
            </w:pPr>
            <w:r>
              <w:rPr>
                <w:rFonts w:hint="eastAsia" w:asciiTheme="minorEastAsia" w:hAnsiTheme="minorEastAsia" w:eastAsiaTheme="minorEastAsia"/>
              </w:rPr>
              <w:t>接地连接件：</w:t>
            </w:r>
          </w:p>
          <w:p>
            <w:pPr>
              <w:spacing w:after="120"/>
              <w:rPr>
                <w:rFonts w:asciiTheme="minorEastAsia" w:hAnsiTheme="minorEastAsia" w:eastAsiaTheme="minorEastAsia"/>
              </w:rPr>
            </w:pPr>
            <w:r>
              <w:rPr>
                <w:rFonts w:hint="eastAsia" w:asciiTheme="minorEastAsia" w:hAnsiTheme="minorEastAsia" w:eastAsiaTheme="minorEastAsia"/>
              </w:rPr>
              <w:t>GB3836.1-2010第15章</w:t>
            </w:r>
          </w:p>
          <w:p>
            <w:pPr>
              <w:pStyle w:val="2"/>
              <w:ind w:left="0" w:leftChars="0" w:firstLine="0" w:firstLineChars="0"/>
              <w:jc w:val="left"/>
              <w:rPr>
                <w:rFonts w:asciiTheme="minorEastAsia" w:hAnsiTheme="minorEastAsia" w:eastAsiaTheme="minorEastAsia"/>
              </w:rPr>
            </w:pPr>
            <w:r>
              <w:rPr>
                <w:rFonts w:hint="eastAsia" w:asciiTheme="minorEastAsia" w:hAnsiTheme="minorEastAsia" w:eastAsiaTheme="minorEastAsia"/>
              </w:rPr>
              <w:t>GB</w:t>
            </w:r>
            <w:r>
              <w:rPr>
                <w:rFonts w:asciiTheme="minorEastAsia" w:hAnsiTheme="minorEastAsia" w:eastAsiaTheme="minorEastAsia"/>
              </w:rPr>
              <w:t>/T</w:t>
            </w:r>
            <w:r>
              <w:rPr>
                <w:rFonts w:hint="eastAsia" w:asciiTheme="minorEastAsia" w:hAnsiTheme="minorEastAsia" w:eastAsiaTheme="minorEastAsia"/>
              </w:rPr>
              <w:t xml:space="preserve"> 3836.1-20</w:t>
            </w:r>
            <w:r>
              <w:rPr>
                <w:rFonts w:asciiTheme="minorEastAsia" w:hAnsiTheme="minorEastAsia" w:eastAsiaTheme="minorEastAsia"/>
              </w:rPr>
              <w:t>21</w:t>
            </w:r>
            <w:r>
              <w:rPr>
                <w:rFonts w:hint="eastAsia" w:asciiTheme="minorEastAsia" w:hAnsiTheme="minorEastAsia" w:eastAsiaTheme="minorEastAsia"/>
              </w:rPr>
              <w:t>第15章</w:t>
            </w:r>
          </w:p>
          <w:p>
            <w:pPr>
              <w:pStyle w:val="2"/>
              <w:ind w:left="0" w:leftChars="0" w:firstLine="0" w:firstLineChars="0"/>
              <w:jc w:val="left"/>
            </w:pPr>
            <w:r>
              <w:t>首先需核实备案资料中产品是否要求接地</w:t>
            </w:r>
            <w:r>
              <w:rPr>
                <w:rFonts w:hint="eastAsia"/>
              </w:rPr>
              <w:t>，</w:t>
            </w:r>
            <w:r>
              <w:t>如样品要求接地</w:t>
            </w:r>
            <w:r>
              <w:rPr>
                <w:rFonts w:hint="eastAsia"/>
              </w:rPr>
              <w:t>，</w:t>
            </w:r>
            <w:r>
              <w:t>则样品的内部或外部必须设置接地连接件</w:t>
            </w:r>
            <w:r>
              <w:rPr>
                <w:rFonts w:hint="eastAsia"/>
              </w:rPr>
              <w:t>。</w:t>
            </w:r>
            <w:r>
              <w:t>如样品不要求接地</w:t>
            </w:r>
            <w:r>
              <w:rPr>
                <w:rFonts w:hint="eastAsia"/>
              </w:rPr>
              <w:t>，</w:t>
            </w:r>
            <w:r>
              <w:t>则不用设置接地连接件</w:t>
            </w:r>
            <w:r>
              <w:rPr>
                <w:rFonts w:hint="eastAsia"/>
              </w:rPr>
              <w:t>。</w:t>
            </w:r>
          </w:p>
          <w:p>
            <w:pPr>
              <w:pStyle w:val="29"/>
              <w:numPr>
                <w:ilvl w:val="0"/>
                <w:numId w:val="1"/>
              </w:numPr>
              <w:spacing w:after="120"/>
              <w:ind w:firstLineChars="0"/>
              <w:rPr>
                <w:rFonts w:asciiTheme="minorEastAsia" w:hAnsiTheme="minorEastAsia" w:eastAsiaTheme="minorEastAsia"/>
              </w:rPr>
            </w:pPr>
            <w:r>
              <w:rPr>
                <w:rFonts w:hint="eastAsia" w:asciiTheme="minorEastAsia" w:hAnsiTheme="minorEastAsia" w:eastAsiaTheme="minorEastAsia"/>
              </w:rPr>
              <w:t>隔爆接合面：</w:t>
            </w:r>
          </w:p>
          <w:p>
            <w:pPr>
              <w:spacing w:after="120"/>
              <w:rPr>
                <w:rFonts w:asciiTheme="minorEastAsia" w:hAnsiTheme="minorEastAsia" w:eastAsiaTheme="minorEastAsia"/>
              </w:rPr>
            </w:pPr>
            <w:r>
              <w:rPr>
                <w:rFonts w:hint="eastAsia" w:asciiTheme="minorEastAsia" w:hAnsiTheme="minorEastAsia" w:eastAsiaTheme="minorEastAsia"/>
              </w:rPr>
              <w:t>GB3836.2-2010第5～7章</w:t>
            </w:r>
          </w:p>
          <w:p>
            <w:pPr>
              <w:pStyle w:val="2"/>
              <w:ind w:left="0" w:leftChars="0" w:firstLine="0" w:firstLineChars="0"/>
              <w:jc w:val="left"/>
              <w:rPr>
                <w:rFonts w:asciiTheme="minorEastAsia" w:hAnsiTheme="minorEastAsia" w:eastAsiaTheme="minorEastAsia"/>
              </w:rPr>
            </w:pPr>
            <w:r>
              <w:rPr>
                <w:rFonts w:hint="eastAsia" w:asciiTheme="minorEastAsia" w:hAnsiTheme="minorEastAsia" w:eastAsiaTheme="minorEastAsia"/>
              </w:rPr>
              <w:t>GB</w:t>
            </w:r>
            <w:r>
              <w:rPr>
                <w:rFonts w:asciiTheme="minorEastAsia" w:hAnsiTheme="minorEastAsia" w:eastAsiaTheme="minorEastAsia"/>
              </w:rPr>
              <w:t>/T</w:t>
            </w:r>
            <w:r>
              <w:rPr>
                <w:rFonts w:hint="eastAsia" w:asciiTheme="minorEastAsia" w:hAnsiTheme="minorEastAsia" w:eastAsiaTheme="minorEastAsia"/>
              </w:rPr>
              <w:t xml:space="preserve"> 3836.2-20</w:t>
            </w:r>
            <w:r>
              <w:rPr>
                <w:rFonts w:asciiTheme="minorEastAsia" w:hAnsiTheme="minorEastAsia" w:eastAsiaTheme="minorEastAsia"/>
              </w:rPr>
              <w:t>21</w:t>
            </w:r>
            <w:r>
              <w:rPr>
                <w:rFonts w:hint="eastAsia" w:asciiTheme="minorEastAsia" w:hAnsiTheme="minorEastAsia" w:eastAsiaTheme="minorEastAsia"/>
              </w:rPr>
              <w:t>第5～7章</w:t>
            </w:r>
          </w:p>
          <w:p>
            <w:pPr>
              <w:pStyle w:val="2"/>
              <w:ind w:left="0" w:leftChars="0" w:firstLine="0" w:firstLineChars="0"/>
              <w:jc w:val="left"/>
            </w:pPr>
            <w:r>
              <w:t>核实</w:t>
            </w:r>
            <w:r>
              <w:rPr>
                <w:rFonts w:hint="eastAsia"/>
              </w:rPr>
              <w:t>抽样样品的防爆接合面的尺寸、间隙等是否满足备案的技术资料图纸要求。</w:t>
            </w:r>
          </w:p>
          <w:p>
            <w:pPr>
              <w:pStyle w:val="2"/>
              <w:ind w:left="0" w:leftChars="0" w:firstLine="0" w:firstLineChars="0"/>
              <w:jc w:val="left"/>
            </w:pPr>
            <w:r>
              <w:rPr>
                <w:rFonts w:hint="eastAsia"/>
              </w:rPr>
              <w:t>(1)平面接合面：12.5≤L＜25mm;</w:t>
            </w:r>
          </w:p>
          <w:p>
            <w:pPr>
              <w:pStyle w:val="2"/>
              <w:ind w:left="0" w:leftChars="0" w:firstLine="0" w:firstLineChars="0"/>
              <w:jc w:val="left"/>
            </w:pPr>
            <w:r>
              <w:rPr>
                <w:rFonts w:hint="eastAsia"/>
              </w:rPr>
              <w:t>l≥9.0m;i≤0.40mm;Ra≤6.3μm。</w:t>
            </w:r>
          </w:p>
          <w:p>
            <w:pPr>
              <w:pStyle w:val="2"/>
              <w:ind w:left="0" w:leftChars="0" w:firstLine="0" w:firstLineChars="0"/>
              <w:jc w:val="left"/>
            </w:pPr>
            <w:r>
              <w:rPr>
                <w:rFonts w:hint="eastAsia"/>
              </w:rPr>
              <w:t>(2)螺纹接合面：啮合扣数≥5扣;</w:t>
            </w:r>
          </w:p>
          <w:p>
            <w:pPr>
              <w:pStyle w:val="2"/>
              <w:ind w:left="0" w:leftChars="0" w:firstLine="0" w:firstLineChars="0"/>
              <w:jc w:val="left"/>
            </w:pPr>
            <w:r>
              <w:rPr>
                <w:rFonts w:hint="eastAsia"/>
              </w:rPr>
              <w:t>螺纹精度6H/6g。</w:t>
            </w:r>
          </w:p>
          <w:p>
            <w:pPr>
              <w:pStyle w:val="2"/>
              <w:ind w:left="0" w:leftChars="0" w:firstLine="0" w:firstLineChars="0"/>
              <w:jc w:val="left"/>
            </w:pPr>
            <w:r>
              <w:t>(</w:t>
            </w:r>
            <w:r>
              <w:rPr>
                <w:rFonts w:hint="eastAsia"/>
              </w:rPr>
              <w:t>3</w:t>
            </w:r>
            <w:r>
              <w:t>)隔爆接合面长度应满足图纸设计最小长度的</w:t>
            </w:r>
            <w:r>
              <w:rPr>
                <w:rFonts w:hint="eastAsia"/>
              </w:rPr>
              <w:t>100%～115%。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9" w:hRule="atLeast"/>
          <w:jc w:val="center"/>
        </w:trPr>
        <w:tc>
          <w:tcPr>
            <w:tcW w:w="667" w:type="dxa"/>
            <w:vMerge w:val="continue"/>
            <w:noWrap/>
            <w:vAlign w:val="center"/>
          </w:tcPr>
          <w:p>
            <w:pPr>
              <w:snapToGrid w:val="0"/>
              <w:jc w:val="center"/>
              <w:rPr>
                <w:rFonts w:ascii="宋体" w:hAnsi="宋体" w:cs="宋体"/>
                <w:bCs/>
                <w:szCs w:val="21"/>
              </w:rPr>
            </w:pPr>
          </w:p>
        </w:tc>
        <w:tc>
          <w:tcPr>
            <w:tcW w:w="1275" w:type="dxa"/>
            <w:vMerge w:val="continue"/>
            <w:noWrap/>
            <w:vAlign w:val="center"/>
          </w:tcPr>
          <w:p>
            <w:pPr>
              <w:widowControl/>
              <w:jc w:val="center"/>
              <w:rPr>
                <w:rFonts w:ascii="宋体" w:hAnsi="宋体" w:cs="宋体"/>
                <w:kern w:val="0"/>
                <w:szCs w:val="21"/>
              </w:rPr>
            </w:pPr>
          </w:p>
        </w:tc>
        <w:tc>
          <w:tcPr>
            <w:tcW w:w="4395" w:type="dxa"/>
            <w:tcBorders>
              <w:bottom w:val="single" w:color="auto" w:sz="4" w:space="0"/>
            </w:tcBorders>
            <w:noWrap/>
            <w:vAlign w:val="center"/>
          </w:tcPr>
          <w:p>
            <w:pPr>
              <w:spacing w:line="440" w:lineRule="exact"/>
              <w:rPr>
                <w:rFonts w:asciiTheme="minorEastAsia" w:hAnsiTheme="minorEastAsia" w:eastAsiaTheme="minorEastAsia"/>
              </w:rPr>
            </w:pPr>
            <w:r>
              <w:rPr>
                <w:rFonts w:asciiTheme="minorEastAsia" w:hAnsiTheme="minorEastAsia" w:eastAsiaTheme="minorEastAsia"/>
              </w:rPr>
              <w:t>本质安全型</w:t>
            </w:r>
            <w:r>
              <w:rPr>
                <w:rFonts w:hint="eastAsia" w:asciiTheme="minorEastAsia" w:hAnsiTheme="minorEastAsia" w:eastAsiaTheme="minorEastAsia"/>
              </w:rPr>
              <w:t>：</w:t>
            </w:r>
          </w:p>
          <w:p>
            <w:pPr>
              <w:pStyle w:val="29"/>
              <w:numPr>
                <w:ilvl w:val="0"/>
                <w:numId w:val="2"/>
              </w:numPr>
              <w:spacing w:line="440" w:lineRule="exact"/>
              <w:ind w:firstLineChars="0"/>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标志：</w:t>
            </w:r>
          </w:p>
          <w:p>
            <w:pPr>
              <w:spacing w:line="440" w:lineRule="exact"/>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GB3836.1-2010第29章</w:t>
            </w:r>
          </w:p>
          <w:p>
            <w:pPr>
              <w:spacing w:line="440" w:lineRule="exact"/>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GB/T3836.1-2021第29章</w:t>
            </w:r>
          </w:p>
          <w:p>
            <w:pPr>
              <w:spacing w:line="440" w:lineRule="exact"/>
              <w:rPr>
                <w:rFonts w:asciiTheme="minorEastAsia" w:hAnsiTheme="minorEastAsia" w:eastAsiaTheme="minorEastAsia"/>
                <w:bCs/>
                <w:color w:val="000000"/>
                <w:szCs w:val="21"/>
              </w:rPr>
            </w:pPr>
            <w:r>
              <w:rPr>
                <w:rFonts w:asciiTheme="minorEastAsia" w:hAnsiTheme="minorEastAsia" w:eastAsiaTheme="minorEastAsia"/>
                <w:bCs/>
                <w:color w:val="000000"/>
                <w:szCs w:val="21"/>
              </w:rPr>
              <w:t>GB3836.4-2010</w:t>
            </w:r>
            <w:r>
              <w:rPr>
                <w:rFonts w:hint="eastAsia" w:asciiTheme="minorEastAsia" w:hAnsiTheme="minorEastAsia" w:eastAsiaTheme="minorEastAsia"/>
                <w:bCs/>
                <w:color w:val="000000"/>
                <w:szCs w:val="21"/>
              </w:rPr>
              <w:t>第12章</w:t>
            </w:r>
          </w:p>
          <w:p>
            <w:pPr>
              <w:spacing w:line="440" w:lineRule="exact"/>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GB/T3836.4-2021第12章</w:t>
            </w:r>
          </w:p>
          <w:p>
            <w:pPr>
              <w:pStyle w:val="29"/>
              <w:numPr>
                <w:ilvl w:val="0"/>
                <w:numId w:val="2"/>
              </w:numPr>
              <w:spacing w:line="440" w:lineRule="exact"/>
              <w:ind w:firstLineChars="0"/>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电气间隙：</w:t>
            </w:r>
          </w:p>
          <w:p>
            <w:pPr>
              <w:spacing w:line="440" w:lineRule="exact"/>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GB3836.4-2010第6.3.3条</w:t>
            </w:r>
          </w:p>
          <w:p>
            <w:pPr>
              <w:spacing w:line="440" w:lineRule="exact"/>
              <w:rPr>
                <w:rFonts w:asciiTheme="minorEastAsia" w:hAnsiTheme="minorEastAsia" w:eastAsiaTheme="minorEastAsia"/>
                <w:bCs/>
                <w:color w:val="000000"/>
                <w:szCs w:val="21"/>
              </w:rPr>
            </w:pPr>
            <w:r>
              <w:rPr>
                <w:rFonts w:asciiTheme="minorEastAsia" w:hAnsiTheme="minorEastAsia" w:eastAsiaTheme="minorEastAsia"/>
                <w:bCs/>
                <w:color w:val="000000"/>
                <w:szCs w:val="21"/>
              </w:rPr>
              <w:t>GB/T3836.4-2021</w:t>
            </w:r>
            <w:r>
              <w:rPr>
                <w:rFonts w:hint="eastAsia" w:asciiTheme="minorEastAsia" w:hAnsiTheme="minorEastAsia" w:eastAsiaTheme="minorEastAsia"/>
                <w:bCs/>
                <w:color w:val="000000"/>
                <w:szCs w:val="21"/>
              </w:rPr>
              <w:t>第6.3.4条</w:t>
            </w:r>
          </w:p>
          <w:p>
            <w:pPr>
              <w:pStyle w:val="29"/>
              <w:numPr>
                <w:ilvl w:val="0"/>
                <w:numId w:val="2"/>
              </w:numPr>
              <w:spacing w:line="440" w:lineRule="exact"/>
              <w:ind w:firstLineChars="0"/>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爬电距离：</w:t>
            </w:r>
          </w:p>
          <w:p>
            <w:pPr>
              <w:spacing w:line="440" w:lineRule="exact"/>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GB3836.4-2010第6.3.7条</w:t>
            </w:r>
          </w:p>
          <w:p>
            <w:pPr>
              <w:pStyle w:val="2"/>
              <w:ind w:left="0" w:leftChars="0" w:firstLine="0" w:firstLineChars="0"/>
            </w:pPr>
            <w:r>
              <w:rPr>
                <w:rFonts w:asciiTheme="minorEastAsia" w:hAnsiTheme="minorEastAsia" w:eastAsiaTheme="minorEastAsia"/>
                <w:bCs/>
                <w:color w:val="000000"/>
                <w:szCs w:val="21"/>
              </w:rPr>
              <w:t>GB/T3836.4-2021</w:t>
            </w:r>
            <w:r>
              <w:rPr>
                <w:rFonts w:hint="eastAsia" w:asciiTheme="minorEastAsia" w:hAnsiTheme="minorEastAsia" w:eastAsiaTheme="minorEastAsia"/>
                <w:bCs/>
                <w:color w:val="000000"/>
                <w:szCs w:val="21"/>
              </w:rPr>
              <w:t>第6.3.8条</w:t>
            </w:r>
          </w:p>
        </w:tc>
        <w:tc>
          <w:tcPr>
            <w:tcW w:w="3260" w:type="dxa"/>
            <w:tcBorders>
              <w:bottom w:val="single" w:color="auto" w:sz="4" w:space="0"/>
            </w:tcBorders>
            <w:noWrap/>
            <w:vAlign w:val="center"/>
          </w:tcPr>
          <w:p>
            <w:pPr>
              <w:pStyle w:val="29"/>
              <w:numPr>
                <w:ilvl w:val="0"/>
                <w:numId w:val="3"/>
              </w:numPr>
              <w:spacing w:line="440" w:lineRule="exact"/>
              <w:ind w:firstLineChars="0"/>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标志：</w:t>
            </w:r>
          </w:p>
          <w:p>
            <w:pPr>
              <w:spacing w:line="440" w:lineRule="exact"/>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GB3836.1-2010第29章</w:t>
            </w:r>
          </w:p>
          <w:p>
            <w:pPr>
              <w:spacing w:line="440" w:lineRule="exact"/>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GB/T3836.1-2021第29章</w:t>
            </w:r>
          </w:p>
          <w:p>
            <w:pPr>
              <w:spacing w:line="440" w:lineRule="exact"/>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GB3836.4-2010第12章</w:t>
            </w:r>
          </w:p>
          <w:p>
            <w:pPr>
              <w:spacing w:line="440" w:lineRule="exact"/>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GB/T3836.4-2021第12章</w:t>
            </w:r>
          </w:p>
          <w:p>
            <w:pPr>
              <w:spacing w:line="440" w:lineRule="exact"/>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核实抽样样品的标志信息与备案的技术资料中的标志信息是否一致。</w:t>
            </w:r>
          </w:p>
          <w:p>
            <w:pPr>
              <w:pStyle w:val="29"/>
              <w:numPr>
                <w:ilvl w:val="0"/>
                <w:numId w:val="3"/>
              </w:numPr>
              <w:spacing w:line="440" w:lineRule="exact"/>
              <w:ind w:firstLineChars="0"/>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电气间隙：</w:t>
            </w:r>
          </w:p>
          <w:p>
            <w:pPr>
              <w:spacing w:line="440" w:lineRule="exact"/>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GB3836.4-2010第6.3.3条</w:t>
            </w:r>
          </w:p>
          <w:p>
            <w:pPr>
              <w:spacing w:line="440" w:lineRule="exact"/>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GB/T3836.4-2021第6.3.4条</w:t>
            </w:r>
          </w:p>
          <w:p>
            <w:pPr>
              <w:spacing w:line="440" w:lineRule="exact"/>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样品的电气间隙应满足备案资料中的技术参数。</w:t>
            </w:r>
          </w:p>
          <w:p>
            <w:pPr>
              <w:spacing w:line="440" w:lineRule="exact"/>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3）</w:t>
            </w:r>
            <w:r>
              <w:rPr>
                <w:rFonts w:hint="eastAsia" w:asciiTheme="minorEastAsia" w:hAnsiTheme="minorEastAsia" w:eastAsiaTheme="minorEastAsia"/>
                <w:bCs/>
                <w:color w:val="000000"/>
                <w:szCs w:val="21"/>
              </w:rPr>
              <w:tab/>
            </w:r>
            <w:r>
              <w:rPr>
                <w:rFonts w:hint="eastAsia" w:asciiTheme="minorEastAsia" w:hAnsiTheme="minorEastAsia" w:eastAsiaTheme="minorEastAsia"/>
                <w:bCs/>
                <w:color w:val="000000"/>
                <w:szCs w:val="21"/>
              </w:rPr>
              <w:t>爬电距离：</w:t>
            </w:r>
          </w:p>
          <w:p>
            <w:pPr>
              <w:spacing w:line="440" w:lineRule="exact"/>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GB3836.4-2010第6.3.7条</w:t>
            </w:r>
          </w:p>
          <w:p>
            <w:pPr>
              <w:spacing w:line="440" w:lineRule="exact"/>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GB/T3836.4-2021第6.3.8条</w:t>
            </w:r>
          </w:p>
          <w:p>
            <w:pPr>
              <w:spacing w:line="440" w:lineRule="exact"/>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样品的爬电距离应满足备案资料中的技术参数。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667" w:type="dxa"/>
            <w:vMerge w:val="continue"/>
            <w:tcBorders>
              <w:bottom w:val="single" w:color="auto" w:sz="4" w:space="0"/>
            </w:tcBorders>
            <w:noWrap/>
            <w:vAlign w:val="center"/>
          </w:tcPr>
          <w:p>
            <w:pPr>
              <w:snapToGrid w:val="0"/>
              <w:jc w:val="center"/>
              <w:rPr>
                <w:rFonts w:ascii="宋体" w:hAnsi="宋体" w:cs="宋体"/>
                <w:bCs/>
                <w:szCs w:val="21"/>
              </w:rPr>
            </w:pPr>
          </w:p>
        </w:tc>
        <w:tc>
          <w:tcPr>
            <w:tcW w:w="1275" w:type="dxa"/>
            <w:vMerge w:val="continue"/>
            <w:tcBorders>
              <w:bottom w:val="single" w:color="auto" w:sz="4" w:space="0"/>
            </w:tcBorders>
            <w:noWrap/>
            <w:vAlign w:val="center"/>
          </w:tcPr>
          <w:p>
            <w:pPr>
              <w:widowControl/>
              <w:jc w:val="center"/>
              <w:rPr>
                <w:rFonts w:ascii="宋体" w:hAnsi="宋体" w:cs="宋体"/>
                <w:kern w:val="0"/>
                <w:szCs w:val="21"/>
              </w:rPr>
            </w:pPr>
          </w:p>
        </w:tc>
        <w:tc>
          <w:tcPr>
            <w:tcW w:w="4395" w:type="dxa"/>
            <w:tcBorders>
              <w:bottom w:val="single" w:color="auto" w:sz="4" w:space="0"/>
            </w:tcBorders>
            <w:noWrap/>
            <w:vAlign w:val="center"/>
          </w:tcPr>
          <w:p>
            <w:pPr>
              <w:spacing w:line="440" w:lineRule="exact"/>
              <w:rPr>
                <w:rFonts w:asciiTheme="minorEastAsia" w:hAnsiTheme="minorEastAsia" w:eastAsiaTheme="minorEastAsia"/>
              </w:rPr>
            </w:pPr>
            <w:r>
              <w:rPr>
                <w:rFonts w:hint="eastAsia" w:asciiTheme="minorEastAsia" w:hAnsiTheme="minorEastAsia" w:eastAsiaTheme="minorEastAsia"/>
              </w:rPr>
              <w:t>隔爆兼本质安全型：</w:t>
            </w:r>
          </w:p>
          <w:p>
            <w:pPr>
              <w:spacing w:line="440" w:lineRule="exact"/>
              <w:rPr>
                <w:rFonts w:asciiTheme="minorEastAsia" w:hAnsiTheme="minorEastAsia" w:eastAsiaTheme="minorEastAsia"/>
              </w:rPr>
            </w:pPr>
            <w:r>
              <w:rPr>
                <w:rFonts w:hint="eastAsia" w:asciiTheme="minorEastAsia" w:hAnsiTheme="minorEastAsia" w:eastAsiaTheme="minorEastAsia"/>
              </w:rPr>
              <w:t>1）标志：</w:t>
            </w:r>
          </w:p>
          <w:p>
            <w:pPr>
              <w:spacing w:line="440" w:lineRule="exact"/>
              <w:rPr>
                <w:rFonts w:asciiTheme="minorEastAsia" w:hAnsiTheme="minorEastAsia" w:eastAsiaTheme="minorEastAsia"/>
              </w:rPr>
            </w:pPr>
            <w:r>
              <w:rPr>
                <w:rFonts w:hint="eastAsia" w:asciiTheme="minorEastAsia" w:hAnsiTheme="minorEastAsia" w:eastAsiaTheme="minorEastAsia"/>
              </w:rPr>
              <w:t>GB3836.1-2010第29章</w:t>
            </w:r>
          </w:p>
          <w:p>
            <w:pPr>
              <w:spacing w:line="440" w:lineRule="exact"/>
              <w:rPr>
                <w:rFonts w:asciiTheme="minorEastAsia" w:hAnsiTheme="minorEastAsia" w:eastAsiaTheme="minorEastAsia"/>
              </w:rPr>
            </w:pPr>
            <w:r>
              <w:rPr>
                <w:rFonts w:hint="eastAsia" w:asciiTheme="minorEastAsia" w:hAnsiTheme="minorEastAsia" w:eastAsiaTheme="minorEastAsia"/>
              </w:rPr>
              <w:t>GB/T3836.1-2021第29章</w:t>
            </w:r>
          </w:p>
          <w:p>
            <w:pPr>
              <w:spacing w:line="440" w:lineRule="exact"/>
              <w:rPr>
                <w:rFonts w:asciiTheme="minorEastAsia" w:hAnsiTheme="minorEastAsia" w:eastAsiaTheme="minorEastAsia"/>
              </w:rPr>
            </w:pPr>
            <w:r>
              <w:rPr>
                <w:rFonts w:hint="eastAsia" w:asciiTheme="minorEastAsia" w:hAnsiTheme="minorEastAsia" w:eastAsiaTheme="minorEastAsia"/>
              </w:rPr>
              <w:t>GB3836.2-2010第20章</w:t>
            </w:r>
          </w:p>
          <w:p>
            <w:pPr>
              <w:spacing w:line="440" w:lineRule="exact"/>
              <w:rPr>
                <w:rFonts w:asciiTheme="minorEastAsia" w:hAnsiTheme="minorEastAsia" w:eastAsiaTheme="minorEastAsia"/>
              </w:rPr>
            </w:pPr>
            <w:r>
              <w:rPr>
                <w:rFonts w:hint="eastAsia" w:asciiTheme="minorEastAsia" w:hAnsiTheme="minorEastAsia" w:eastAsiaTheme="minorEastAsia"/>
              </w:rPr>
              <w:t>GB/T3836.2-2021第20章</w:t>
            </w:r>
          </w:p>
          <w:p>
            <w:pPr>
              <w:spacing w:line="440" w:lineRule="exact"/>
              <w:rPr>
                <w:rFonts w:asciiTheme="minorEastAsia" w:hAnsiTheme="minorEastAsia" w:eastAsiaTheme="minorEastAsia"/>
              </w:rPr>
            </w:pPr>
            <w:r>
              <w:rPr>
                <w:rFonts w:hint="eastAsia" w:asciiTheme="minorEastAsia" w:hAnsiTheme="minorEastAsia" w:eastAsiaTheme="minorEastAsia"/>
              </w:rPr>
              <w:t>2）接地连接件：</w:t>
            </w:r>
          </w:p>
          <w:p>
            <w:pPr>
              <w:spacing w:line="440" w:lineRule="exact"/>
              <w:rPr>
                <w:rFonts w:asciiTheme="minorEastAsia" w:hAnsiTheme="minorEastAsia" w:eastAsiaTheme="minorEastAsia"/>
              </w:rPr>
            </w:pPr>
            <w:r>
              <w:rPr>
                <w:rFonts w:hint="eastAsia" w:asciiTheme="minorEastAsia" w:hAnsiTheme="minorEastAsia" w:eastAsiaTheme="minorEastAsia"/>
              </w:rPr>
              <w:t>GB3836.1-2010第15章</w:t>
            </w:r>
          </w:p>
          <w:p>
            <w:pPr>
              <w:spacing w:line="440" w:lineRule="exact"/>
              <w:rPr>
                <w:rFonts w:asciiTheme="minorEastAsia" w:hAnsiTheme="minorEastAsia" w:eastAsiaTheme="minorEastAsia"/>
              </w:rPr>
            </w:pPr>
            <w:r>
              <w:rPr>
                <w:rFonts w:hint="eastAsia" w:asciiTheme="minorEastAsia" w:hAnsiTheme="minorEastAsia" w:eastAsiaTheme="minorEastAsia"/>
              </w:rPr>
              <w:t>GB/T 3836.1-2021第15章</w:t>
            </w:r>
          </w:p>
          <w:p>
            <w:pPr>
              <w:spacing w:line="440" w:lineRule="exact"/>
              <w:rPr>
                <w:rFonts w:asciiTheme="minorEastAsia" w:hAnsiTheme="minorEastAsia" w:eastAsiaTheme="minorEastAsia"/>
              </w:rPr>
            </w:pPr>
            <w:r>
              <w:rPr>
                <w:rFonts w:hint="eastAsia" w:asciiTheme="minorEastAsia" w:hAnsiTheme="minorEastAsia" w:eastAsiaTheme="minorEastAsia"/>
              </w:rPr>
              <w:t>3）隔爆接合面：</w:t>
            </w:r>
          </w:p>
          <w:p>
            <w:pPr>
              <w:spacing w:line="440" w:lineRule="exact"/>
              <w:rPr>
                <w:rFonts w:asciiTheme="minorEastAsia" w:hAnsiTheme="minorEastAsia" w:eastAsiaTheme="minorEastAsia"/>
              </w:rPr>
            </w:pPr>
            <w:r>
              <w:rPr>
                <w:rFonts w:hint="eastAsia" w:asciiTheme="minorEastAsia" w:hAnsiTheme="minorEastAsia" w:eastAsiaTheme="minorEastAsia"/>
              </w:rPr>
              <w:t>GB3836.2-2010第5～7章</w:t>
            </w:r>
          </w:p>
          <w:p>
            <w:pPr>
              <w:spacing w:line="440" w:lineRule="exact"/>
              <w:rPr>
                <w:rFonts w:asciiTheme="minorEastAsia" w:hAnsiTheme="minorEastAsia" w:eastAsiaTheme="minorEastAsia"/>
              </w:rPr>
            </w:pPr>
            <w:r>
              <w:rPr>
                <w:rFonts w:hint="eastAsia" w:asciiTheme="minorEastAsia" w:hAnsiTheme="minorEastAsia" w:eastAsiaTheme="minorEastAsia"/>
              </w:rPr>
              <w:t>GB/T 3836.2-2021第5～7章</w:t>
            </w:r>
          </w:p>
          <w:p>
            <w:pPr>
              <w:pStyle w:val="29"/>
              <w:numPr>
                <w:ilvl w:val="0"/>
                <w:numId w:val="2"/>
              </w:numPr>
              <w:spacing w:line="440" w:lineRule="exact"/>
              <w:ind w:firstLineChars="0"/>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电气间隙：</w:t>
            </w:r>
          </w:p>
          <w:p>
            <w:pPr>
              <w:spacing w:line="440" w:lineRule="exact"/>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GB3836.4-2010第6.3.3条</w:t>
            </w:r>
          </w:p>
          <w:p>
            <w:pPr>
              <w:spacing w:line="440" w:lineRule="exact"/>
              <w:rPr>
                <w:rFonts w:asciiTheme="minorEastAsia" w:hAnsiTheme="minorEastAsia" w:eastAsiaTheme="minorEastAsia"/>
                <w:bCs/>
                <w:color w:val="000000"/>
                <w:szCs w:val="21"/>
              </w:rPr>
            </w:pPr>
            <w:r>
              <w:rPr>
                <w:rFonts w:asciiTheme="minorEastAsia" w:hAnsiTheme="minorEastAsia" w:eastAsiaTheme="minorEastAsia"/>
                <w:bCs/>
                <w:color w:val="000000"/>
                <w:szCs w:val="21"/>
              </w:rPr>
              <w:t>GB/T3836.4-2021</w:t>
            </w:r>
            <w:r>
              <w:rPr>
                <w:rFonts w:hint="eastAsia" w:asciiTheme="minorEastAsia" w:hAnsiTheme="minorEastAsia" w:eastAsiaTheme="minorEastAsia"/>
                <w:bCs/>
                <w:color w:val="000000"/>
                <w:szCs w:val="21"/>
              </w:rPr>
              <w:t>第6.3.4条</w:t>
            </w:r>
          </w:p>
          <w:p>
            <w:pPr>
              <w:pStyle w:val="29"/>
              <w:numPr>
                <w:ilvl w:val="0"/>
                <w:numId w:val="2"/>
              </w:numPr>
              <w:spacing w:line="440" w:lineRule="exact"/>
              <w:ind w:firstLineChars="0"/>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爬电距离：</w:t>
            </w:r>
          </w:p>
          <w:p>
            <w:pPr>
              <w:spacing w:line="440" w:lineRule="exact"/>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GB3836.4-2010第6.3.7条</w:t>
            </w:r>
          </w:p>
          <w:p>
            <w:pPr>
              <w:pStyle w:val="2"/>
              <w:ind w:left="0" w:leftChars="0" w:firstLine="0" w:firstLineChars="0"/>
            </w:pPr>
            <w:r>
              <w:rPr>
                <w:rFonts w:asciiTheme="minorEastAsia" w:hAnsiTheme="minorEastAsia" w:eastAsiaTheme="minorEastAsia"/>
                <w:bCs/>
                <w:color w:val="000000"/>
                <w:szCs w:val="21"/>
              </w:rPr>
              <w:t>GB/T3836.4-2021</w:t>
            </w:r>
            <w:r>
              <w:rPr>
                <w:rFonts w:hint="eastAsia" w:asciiTheme="minorEastAsia" w:hAnsiTheme="minorEastAsia" w:eastAsiaTheme="minorEastAsia"/>
                <w:bCs/>
                <w:color w:val="000000"/>
                <w:szCs w:val="21"/>
              </w:rPr>
              <w:t>第6.3.8条</w:t>
            </w:r>
          </w:p>
        </w:tc>
        <w:tc>
          <w:tcPr>
            <w:tcW w:w="3260" w:type="dxa"/>
            <w:tcBorders>
              <w:bottom w:val="single" w:color="auto" w:sz="4" w:space="0"/>
            </w:tcBorders>
            <w:noWrap/>
            <w:vAlign w:val="center"/>
          </w:tcPr>
          <w:p>
            <w:pPr>
              <w:spacing w:line="440" w:lineRule="exact"/>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综合以上隔爆型和本质安全型的检验方法，具体见上。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667" w:type="dxa"/>
            <w:tcBorders>
              <w:top w:val="nil"/>
              <w:bottom w:val="single" w:color="auto" w:sz="4" w:space="0"/>
            </w:tcBorders>
            <w:noWrap/>
            <w:vAlign w:val="center"/>
          </w:tcPr>
          <w:p>
            <w:pPr>
              <w:adjustRightInd w:val="0"/>
              <w:snapToGrid w:val="0"/>
              <w:jc w:val="center"/>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2</w:t>
            </w:r>
          </w:p>
        </w:tc>
        <w:tc>
          <w:tcPr>
            <w:tcW w:w="1275" w:type="dxa"/>
            <w:tcBorders>
              <w:top w:val="nil"/>
              <w:bottom w:val="single" w:color="auto" w:sz="4" w:space="0"/>
            </w:tcBorders>
            <w:noWrap/>
            <w:vAlign w:val="center"/>
          </w:tcPr>
          <w:p>
            <w:pPr>
              <w:adjustRightInd w:val="0"/>
              <w:snapToGrid w:val="0"/>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抗冲击试验</w:t>
            </w:r>
          </w:p>
        </w:tc>
        <w:tc>
          <w:tcPr>
            <w:tcW w:w="4395" w:type="dxa"/>
            <w:noWrap/>
            <w:vAlign w:val="center"/>
          </w:tcPr>
          <w:p>
            <w:pPr>
              <w:adjustRightInd w:val="0"/>
              <w:snapToGrid w:val="0"/>
              <w:rPr>
                <w:rFonts w:asciiTheme="minorEastAsia" w:hAnsiTheme="minorEastAsia" w:eastAsiaTheme="minorEastAsia"/>
                <w:bCs/>
                <w:color w:val="000000"/>
                <w:szCs w:val="21"/>
              </w:rPr>
            </w:pPr>
            <w:r>
              <w:rPr>
                <w:rFonts w:asciiTheme="minorEastAsia" w:hAnsiTheme="minorEastAsia" w:eastAsiaTheme="minorEastAsia"/>
                <w:bCs/>
                <w:color w:val="000000"/>
                <w:szCs w:val="21"/>
              </w:rPr>
              <w:t>GB 3836.1</w:t>
            </w:r>
            <w:r>
              <w:rPr>
                <w:rFonts w:hint="eastAsia" w:asciiTheme="minorEastAsia" w:hAnsiTheme="minorEastAsia" w:eastAsiaTheme="minorEastAsia"/>
                <w:bCs/>
                <w:color w:val="000000"/>
                <w:szCs w:val="21"/>
              </w:rPr>
              <w:t>-2010</w:t>
            </w:r>
            <w:r>
              <w:rPr>
                <w:rFonts w:asciiTheme="minorEastAsia" w:hAnsiTheme="minorEastAsia" w:eastAsiaTheme="minorEastAsia"/>
                <w:bCs/>
                <w:color w:val="000000"/>
                <w:szCs w:val="21"/>
              </w:rPr>
              <w:t xml:space="preserve"> </w:t>
            </w:r>
            <w:r>
              <w:rPr>
                <w:rFonts w:hint="eastAsia" w:asciiTheme="minorEastAsia" w:hAnsiTheme="minorEastAsia" w:eastAsiaTheme="minorEastAsia"/>
                <w:bCs/>
                <w:color w:val="000000"/>
                <w:szCs w:val="21"/>
              </w:rPr>
              <w:t>第</w:t>
            </w:r>
            <w:r>
              <w:rPr>
                <w:rFonts w:asciiTheme="minorEastAsia" w:hAnsiTheme="minorEastAsia" w:eastAsiaTheme="minorEastAsia"/>
                <w:bCs/>
                <w:color w:val="000000"/>
                <w:szCs w:val="21"/>
              </w:rPr>
              <w:t>26.4.2</w:t>
            </w:r>
            <w:r>
              <w:rPr>
                <w:rFonts w:hint="eastAsia" w:asciiTheme="minorEastAsia" w:hAnsiTheme="minorEastAsia" w:eastAsiaTheme="minorEastAsia"/>
                <w:bCs/>
                <w:color w:val="000000"/>
                <w:szCs w:val="21"/>
              </w:rPr>
              <w:t>条</w:t>
            </w:r>
          </w:p>
          <w:p>
            <w:pPr>
              <w:pStyle w:val="2"/>
              <w:ind w:left="0" w:leftChars="0" w:firstLine="0" w:firstLineChars="0"/>
            </w:pPr>
            <w:r>
              <w:rPr>
                <w:rFonts w:hint="eastAsia" w:asciiTheme="minorEastAsia" w:hAnsiTheme="minorEastAsia" w:eastAsiaTheme="minorEastAsia"/>
              </w:rPr>
              <w:t>GB/T3836.1-2021第26.4.2条</w:t>
            </w:r>
          </w:p>
        </w:tc>
        <w:tc>
          <w:tcPr>
            <w:tcW w:w="3260" w:type="dxa"/>
            <w:noWrap/>
            <w:vAlign w:val="center"/>
          </w:tcPr>
          <w:p>
            <w:pPr>
              <w:spacing w:line="440" w:lineRule="exact"/>
              <w:jc w:val="left"/>
              <w:rPr>
                <w:bCs/>
                <w:color w:val="000000"/>
                <w:szCs w:val="21"/>
              </w:rPr>
            </w:pPr>
            <w:r>
              <w:rPr>
                <w:rFonts w:hint="eastAsia" w:asciiTheme="minorEastAsia" w:hAnsiTheme="minorEastAsia" w:eastAsiaTheme="minorEastAsia"/>
                <w:bCs/>
                <w:color w:val="000000"/>
                <w:szCs w:val="21"/>
              </w:rPr>
              <w:t>在温度为(20±5)℃试验条件下，用1kg的试验物体从2m的高度垂直落下对金属件进行2次冲击,应不发生损坏。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667" w:type="dxa"/>
            <w:tcBorders>
              <w:top w:val="single" w:color="auto" w:sz="4" w:space="0"/>
              <w:bottom w:val="single" w:color="auto" w:sz="4" w:space="0"/>
            </w:tcBorders>
            <w:noWrap/>
            <w:vAlign w:val="center"/>
          </w:tcPr>
          <w:p>
            <w:pPr>
              <w:adjustRightInd w:val="0"/>
              <w:snapToGrid w:val="0"/>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3</w:t>
            </w:r>
          </w:p>
        </w:tc>
        <w:tc>
          <w:tcPr>
            <w:tcW w:w="1275" w:type="dxa"/>
            <w:tcBorders>
              <w:top w:val="single" w:color="auto" w:sz="4" w:space="0"/>
              <w:bottom w:val="single" w:color="auto" w:sz="4" w:space="0"/>
            </w:tcBorders>
            <w:noWrap/>
            <w:vAlign w:val="center"/>
          </w:tcPr>
          <w:p>
            <w:pPr>
              <w:adjustRightInd w:val="0"/>
              <w:snapToGrid w:val="0"/>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外壳耐压试验</w:t>
            </w:r>
          </w:p>
        </w:tc>
        <w:tc>
          <w:tcPr>
            <w:tcW w:w="4395" w:type="dxa"/>
            <w:noWrap/>
            <w:vAlign w:val="center"/>
          </w:tcPr>
          <w:p>
            <w:pPr>
              <w:adjustRightInd w:val="0"/>
              <w:snapToGrid w:val="0"/>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隔爆型：</w:t>
            </w:r>
          </w:p>
          <w:p>
            <w:pPr>
              <w:adjustRightInd w:val="0"/>
              <w:snapToGrid w:val="0"/>
              <w:rPr>
                <w:rFonts w:asciiTheme="minorEastAsia" w:hAnsiTheme="minorEastAsia" w:eastAsiaTheme="minorEastAsia"/>
                <w:bCs/>
                <w:color w:val="000000"/>
                <w:szCs w:val="21"/>
              </w:rPr>
            </w:pPr>
            <w:r>
              <w:rPr>
                <w:rFonts w:asciiTheme="minorEastAsia" w:hAnsiTheme="minorEastAsia" w:eastAsiaTheme="minorEastAsia"/>
                <w:bCs/>
                <w:color w:val="000000"/>
                <w:szCs w:val="21"/>
              </w:rPr>
              <w:t>GB 3836.2</w:t>
            </w:r>
            <w:r>
              <w:rPr>
                <w:rFonts w:hint="eastAsia" w:asciiTheme="minorEastAsia" w:hAnsiTheme="minorEastAsia" w:eastAsiaTheme="minorEastAsia"/>
                <w:bCs/>
                <w:color w:val="000000"/>
                <w:szCs w:val="21"/>
              </w:rPr>
              <w:t>-2010第</w:t>
            </w:r>
            <w:r>
              <w:rPr>
                <w:rFonts w:asciiTheme="minorEastAsia" w:hAnsiTheme="minorEastAsia" w:eastAsiaTheme="minorEastAsia"/>
                <w:bCs/>
                <w:color w:val="000000"/>
                <w:szCs w:val="21"/>
              </w:rPr>
              <w:t>15.1</w:t>
            </w:r>
            <w:r>
              <w:rPr>
                <w:rFonts w:hint="eastAsia" w:asciiTheme="minorEastAsia" w:hAnsiTheme="minorEastAsia" w:eastAsiaTheme="minorEastAsia"/>
                <w:bCs/>
                <w:color w:val="000000"/>
                <w:szCs w:val="21"/>
              </w:rPr>
              <w:t>条</w:t>
            </w:r>
          </w:p>
          <w:p>
            <w:pPr>
              <w:pStyle w:val="2"/>
              <w:ind w:left="0" w:leftChars="0" w:firstLine="0" w:firstLineChars="0"/>
            </w:pPr>
            <w:r>
              <w:rPr>
                <w:rFonts w:hint="eastAsia" w:asciiTheme="minorEastAsia" w:hAnsiTheme="minorEastAsia" w:eastAsiaTheme="minorEastAsia"/>
              </w:rPr>
              <w:t>GB/T3836.2-2021第15.2条</w:t>
            </w:r>
          </w:p>
        </w:tc>
        <w:tc>
          <w:tcPr>
            <w:tcW w:w="3260" w:type="dxa"/>
            <w:noWrap/>
            <w:vAlign w:val="center"/>
          </w:tcPr>
          <w:p>
            <w:pPr>
              <w:pStyle w:val="29"/>
              <w:numPr>
                <w:ilvl w:val="0"/>
                <w:numId w:val="4"/>
              </w:numPr>
              <w:spacing w:line="440" w:lineRule="exact"/>
              <w:ind w:firstLineChars="0"/>
              <w:jc w:val="left"/>
              <w:rPr>
                <w:rFonts w:asciiTheme="minorEastAsia" w:hAnsiTheme="minorEastAsia" w:eastAsiaTheme="minorEastAsia"/>
                <w:bCs/>
                <w:color w:val="000000"/>
                <w:szCs w:val="21"/>
              </w:rPr>
            </w:pPr>
            <w:r>
              <w:rPr>
                <w:rFonts w:asciiTheme="minorEastAsia" w:hAnsiTheme="minorEastAsia" w:eastAsiaTheme="minorEastAsia"/>
                <w:bCs/>
                <w:color w:val="000000"/>
                <w:szCs w:val="21"/>
              </w:rPr>
              <w:t>爆炸</w:t>
            </w:r>
            <w:r>
              <w:rPr>
                <w:rFonts w:hint="eastAsia" w:asciiTheme="minorEastAsia" w:hAnsiTheme="minorEastAsia" w:eastAsiaTheme="minorEastAsia"/>
                <w:bCs/>
                <w:color w:val="000000"/>
                <w:szCs w:val="21"/>
              </w:rPr>
              <w:t>压力测定：</w:t>
            </w:r>
          </w:p>
          <w:p>
            <w:pPr>
              <w:spacing w:line="440" w:lineRule="exact"/>
              <w:jc w:val="left"/>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试验气体及其浓度：</w:t>
            </w:r>
            <w:r>
              <w:rPr>
                <w:rFonts w:asciiTheme="minorEastAsia" w:hAnsiTheme="minorEastAsia" w:eastAsiaTheme="minorEastAsia"/>
                <w:bCs/>
                <w:color w:val="000000"/>
                <w:szCs w:val="21"/>
              </w:rPr>
              <w:t>CH4:(9.8±0.5)%;</w:t>
            </w:r>
          </w:p>
          <w:p>
            <w:pPr>
              <w:spacing w:line="440" w:lineRule="exact"/>
              <w:jc w:val="left"/>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试验次数：3次；</w:t>
            </w:r>
          </w:p>
          <w:p>
            <w:pPr>
              <w:spacing w:line="440" w:lineRule="exact"/>
              <w:jc w:val="left"/>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2.过压试验：</w:t>
            </w:r>
          </w:p>
          <w:p>
            <w:pPr>
              <w:spacing w:line="440" w:lineRule="exact"/>
              <w:jc w:val="left"/>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外壳承受1.5倍的参考压力，应未发生影响防爆型式的永久性变形或损坏。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667" w:type="dxa"/>
            <w:tcBorders>
              <w:top w:val="single" w:color="auto" w:sz="4" w:space="0"/>
              <w:bottom w:val="single" w:color="auto" w:sz="4" w:space="0"/>
            </w:tcBorders>
            <w:noWrap/>
            <w:vAlign w:val="center"/>
          </w:tcPr>
          <w:p>
            <w:pPr>
              <w:adjustRightInd w:val="0"/>
              <w:snapToGrid w:val="0"/>
              <w:jc w:val="center"/>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4</w:t>
            </w:r>
          </w:p>
        </w:tc>
        <w:tc>
          <w:tcPr>
            <w:tcW w:w="1275" w:type="dxa"/>
            <w:tcBorders>
              <w:top w:val="single" w:color="auto" w:sz="4" w:space="0"/>
              <w:bottom w:val="single" w:color="auto" w:sz="4" w:space="0"/>
            </w:tcBorders>
            <w:noWrap/>
            <w:vAlign w:val="center"/>
          </w:tcPr>
          <w:p>
            <w:pPr>
              <w:adjustRightInd w:val="0"/>
              <w:snapToGrid w:val="0"/>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内部点燃的不传爆试验</w:t>
            </w:r>
          </w:p>
        </w:tc>
        <w:tc>
          <w:tcPr>
            <w:tcW w:w="4395" w:type="dxa"/>
            <w:noWrap/>
            <w:vAlign w:val="center"/>
          </w:tcPr>
          <w:p>
            <w:pPr>
              <w:adjustRightInd w:val="0"/>
              <w:snapToGrid w:val="0"/>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隔爆型：</w:t>
            </w:r>
          </w:p>
          <w:p>
            <w:pPr>
              <w:adjustRightInd w:val="0"/>
              <w:snapToGrid w:val="0"/>
              <w:rPr>
                <w:rFonts w:asciiTheme="minorEastAsia" w:hAnsiTheme="minorEastAsia" w:eastAsiaTheme="minorEastAsia"/>
                <w:bCs/>
                <w:color w:val="000000"/>
                <w:szCs w:val="21"/>
              </w:rPr>
            </w:pPr>
            <w:r>
              <w:rPr>
                <w:rFonts w:asciiTheme="minorEastAsia" w:hAnsiTheme="minorEastAsia" w:eastAsiaTheme="minorEastAsia"/>
                <w:bCs/>
                <w:color w:val="000000"/>
                <w:szCs w:val="21"/>
              </w:rPr>
              <w:t>GB 3836.2</w:t>
            </w:r>
            <w:r>
              <w:rPr>
                <w:rFonts w:hint="eastAsia" w:asciiTheme="minorEastAsia" w:hAnsiTheme="minorEastAsia" w:eastAsiaTheme="minorEastAsia"/>
                <w:bCs/>
                <w:color w:val="000000"/>
                <w:szCs w:val="21"/>
              </w:rPr>
              <w:t>-2010第</w:t>
            </w:r>
            <w:r>
              <w:rPr>
                <w:rFonts w:asciiTheme="minorEastAsia" w:hAnsiTheme="minorEastAsia" w:eastAsiaTheme="minorEastAsia"/>
                <w:bCs/>
                <w:color w:val="000000"/>
                <w:szCs w:val="21"/>
              </w:rPr>
              <w:t>15.2</w:t>
            </w:r>
            <w:r>
              <w:rPr>
                <w:rFonts w:hint="eastAsia" w:asciiTheme="minorEastAsia" w:hAnsiTheme="minorEastAsia" w:eastAsiaTheme="minorEastAsia"/>
                <w:bCs/>
                <w:color w:val="000000"/>
                <w:szCs w:val="21"/>
              </w:rPr>
              <w:t>条</w:t>
            </w:r>
          </w:p>
          <w:p>
            <w:pPr>
              <w:pStyle w:val="2"/>
              <w:ind w:left="0" w:leftChars="0" w:firstLine="0" w:firstLineChars="0"/>
            </w:pPr>
            <w:r>
              <w:rPr>
                <w:rFonts w:asciiTheme="minorEastAsia" w:hAnsiTheme="minorEastAsia" w:eastAsiaTheme="minorEastAsia"/>
                <w:bCs/>
                <w:color w:val="000000"/>
                <w:szCs w:val="21"/>
              </w:rPr>
              <w:t>GB/T3836.2-2021</w:t>
            </w:r>
            <w:r>
              <w:rPr>
                <w:rFonts w:hint="eastAsia" w:asciiTheme="minorEastAsia" w:hAnsiTheme="minorEastAsia" w:eastAsiaTheme="minorEastAsia"/>
                <w:bCs/>
                <w:color w:val="000000"/>
                <w:szCs w:val="21"/>
              </w:rPr>
              <w:t>第15.4.4条</w:t>
            </w:r>
          </w:p>
        </w:tc>
        <w:tc>
          <w:tcPr>
            <w:tcW w:w="3260" w:type="dxa"/>
            <w:noWrap/>
            <w:vAlign w:val="center"/>
          </w:tcPr>
          <w:p>
            <w:pPr>
              <w:spacing w:line="440" w:lineRule="exact"/>
              <w:jc w:val="left"/>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经过5次内部点燃，不应引起外部爆炸气体点燃。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667" w:type="dxa"/>
            <w:tcBorders>
              <w:top w:val="single" w:color="auto" w:sz="4" w:space="0"/>
              <w:bottom w:val="single" w:color="auto" w:sz="4" w:space="0"/>
            </w:tcBorders>
            <w:noWrap/>
            <w:vAlign w:val="center"/>
          </w:tcPr>
          <w:p>
            <w:pPr>
              <w:adjustRightInd w:val="0"/>
              <w:snapToGrid w:val="0"/>
              <w:jc w:val="center"/>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5</w:t>
            </w:r>
          </w:p>
        </w:tc>
        <w:tc>
          <w:tcPr>
            <w:tcW w:w="1275" w:type="dxa"/>
            <w:tcBorders>
              <w:top w:val="single" w:color="auto" w:sz="4" w:space="0"/>
              <w:bottom w:val="single" w:color="auto" w:sz="4" w:space="0"/>
            </w:tcBorders>
            <w:noWrap/>
            <w:vAlign w:val="center"/>
          </w:tcPr>
          <w:p>
            <w:pPr>
              <w:adjustRightInd w:val="0"/>
              <w:snapToGrid w:val="0"/>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火花点燃试验</w:t>
            </w:r>
          </w:p>
        </w:tc>
        <w:tc>
          <w:tcPr>
            <w:tcW w:w="4395" w:type="dxa"/>
            <w:noWrap/>
            <w:vAlign w:val="center"/>
          </w:tcPr>
          <w:p>
            <w:pPr>
              <w:adjustRightInd w:val="0"/>
              <w:snapToGrid w:val="0"/>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本质安全型：</w:t>
            </w:r>
          </w:p>
          <w:p>
            <w:pPr>
              <w:adjustRightInd w:val="0"/>
              <w:snapToGrid w:val="0"/>
              <w:rPr>
                <w:rFonts w:asciiTheme="minorEastAsia" w:hAnsiTheme="minorEastAsia" w:eastAsiaTheme="minorEastAsia"/>
                <w:bCs/>
                <w:color w:val="000000"/>
                <w:szCs w:val="21"/>
              </w:rPr>
            </w:pPr>
            <w:r>
              <w:rPr>
                <w:rFonts w:asciiTheme="minorEastAsia" w:hAnsiTheme="minorEastAsia" w:eastAsiaTheme="minorEastAsia"/>
                <w:bCs/>
                <w:color w:val="000000"/>
                <w:szCs w:val="21"/>
              </w:rPr>
              <w:t>GB 3836.4</w:t>
            </w:r>
            <w:r>
              <w:rPr>
                <w:rFonts w:hint="eastAsia" w:asciiTheme="minorEastAsia" w:hAnsiTheme="minorEastAsia" w:eastAsiaTheme="minorEastAsia"/>
                <w:bCs/>
                <w:color w:val="000000"/>
                <w:szCs w:val="21"/>
              </w:rPr>
              <w:t>-2010第</w:t>
            </w:r>
            <w:r>
              <w:rPr>
                <w:rFonts w:asciiTheme="minorEastAsia" w:hAnsiTheme="minorEastAsia" w:eastAsiaTheme="minorEastAsia"/>
                <w:bCs/>
                <w:color w:val="000000"/>
                <w:szCs w:val="21"/>
              </w:rPr>
              <w:t>10.1</w:t>
            </w:r>
            <w:r>
              <w:rPr>
                <w:rFonts w:hint="eastAsia" w:asciiTheme="minorEastAsia" w:hAnsiTheme="minorEastAsia" w:eastAsiaTheme="minorEastAsia"/>
                <w:bCs/>
                <w:color w:val="000000"/>
                <w:szCs w:val="21"/>
              </w:rPr>
              <w:t>条</w:t>
            </w:r>
          </w:p>
          <w:p>
            <w:pPr>
              <w:pStyle w:val="2"/>
              <w:ind w:left="0" w:leftChars="0" w:firstLine="0" w:firstLineChars="0"/>
            </w:pPr>
            <w:r>
              <w:rPr>
                <w:rFonts w:hint="eastAsia" w:asciiTheme="minorEastAsia" w:hAnsiTheme="minorEastAsia" w:eastAsiaTheme="minorEastAsia"/>
                <w:bCs/>
                <w:color w:val="000000"/>
                <w:szCs w:val="21"/>
              </w:rPr>
              <w:t>GB</w:t>
            </w:r>
            <w:r>
              <w:rPr>
                <w:rFonts w:asciiTheme="minorEastAsia" w:hAnsiTheme="minorEastAsia" w:eastAsiaTheme="minorEastAsia"/>
                <w:bCs/>
                <w:color w:val="000000"/>
                <w:szCs w:val="21"/>
              </w:rPr>
              <w:t>/T</w:t>
            </w:r>
            <w:r>
              <w:rPr>
                <w:rFonts w:hint="eastAsia" w:asciiTheme="minorEastAsia" w:hAnsiTheme="minorEastAsia" w:eastAsiaTheme="minorEastAsia"/>
                <w:bCs/>
                <w:color w:val="000000"/>
                <w:szCs w:val="21"/>
              </w:rPr>
              <w:t xml:space="preserve"> 3836.4-2021第10.1条</w:t>
            </w:r>
          </w:p>
        </w:tc>
        <w:tc>
          <w:tcPr>
            <w:tcW w:w="3260" w:type="dxa"/>
            <w:noWrap/>
            <w:vAlign w:val="center"/>
          </w:tcPr>
          <w:p>
            <w:pPr>
              <w:spacing w:line="440" w:lineRule="exact"/>
              <w:jc w:val="left"/>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任一选择正常状态下试验点的每一次试验均不应出现点燃。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667" w:type="dxa"/>
            <w:tcBorders>
              <w:top w:val="single" w:color="auto" w:sz="4" w:space="0"/>
              <w:bottom w:val="single" w:color="auto" w:sz="4" w:space="0"/>
            </w:tcBorders>
            <w:noWrap/>
            <w:vAlign w:val="center"/>
          </w:tcPr>
          <w:p>
            <w:pPr>
              <w:adjustRightInd w:val="0"/>
              <w:snapToGrid w:val="0"/>
              <w:jc w:val="center"/>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6</w:t>
            </w:r>
          </w:p>
        </w:tc>
        <w:tc>
          <w:tcPr>
            <w:tcW w:w="1275" w:type="dxa"/>
            <w:tcBorders>
              <w:top w:val="single" w:color="auto" w:sz="4" w:space="0"/>
              <w:bottom w:val="single" w:color="auto" w:sz="4" w:space="0"/>
            </w:tcBorders>
            <w:noWrap/>
            <w:vAlign w:val="center"/>
          </w:tcPr>
          <w:p>
            <w:pPr>
              <w:adjustRightInd w:val="0"/>
              <w:snapToGrid w:val="0"/>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介电强度试验</w:t>
            </w:r>
          </w:p>
        </w:tc>
        <w:tc>
          <w:tcPr>
            <w:tcW w:w="4395" w:type="dxa"/>
            <w:noWrap/>
            <w:vAlign w:val="center"/>
          </w:tcPr>
          <w:p>
            <w:pPr>
              <w:adjustRightInd w:val="0"/>
              <w:snapToGrid w:val="0"/>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仅本质安全型：</w:t>
            </w:r>
          </w:p>
          <w:p>
            <w:pPr>
              <w:adjustRightInd w:val="0"/>
              <w:snapToGrid w:val="0"/>
              <w:rPr>
                <w:rFonts w:asciiTheme="minorEastAsia" w:hAnsiTheme="minorEastAsia" w:eastAsiaTheme="minorEastAsia"/>
                <w:bCs/>
                <w:color w:val="000000"/>
                <w:szCs w:val="21"/>
              </w:rPr>
            </w:pPr>
            <w:r>
              <w:rPr>
                <w:rFonts w:asciiTheme="minorEastAsia" w:hAnsiTheme="minorEastAsia" w:eastAsiaTheme="minorEastAsia"/>
                <w:bCs/>
                <w:color w:val="000000"/>
                <w:szCs w:val="21"/>
              </w:rPr>
              <w:t>GB 3836.4</w:t>
            </w:r>
            <w:r>
              <w:rPr>
                <w:rFonts w:hint="eastAsia" w:asciiTheme="minorEastAsia" w:hAnsiTheme="minorEastAsia" w:eastAsiaTheme="minorEastAsia"/>
                <w:bCs/>
                <w:color w:val="000000"/>
                <w:szCs w:val="21"/>
              </w:rPr>
              <w:t>-2010第</w:t>
            </w:r>
            <w:r>
              <w:rPr>
                <w:rFonts w:asciiTheme="minorEastAsia" w:hAnsiTheme="minorEastAsia" w:eastAsiaTheme="minorEastAsia"/>
                <w:bCs/>
                <w:color w:val="000000"/>
                <w:szCs w:val="21"/>
              </w:rPr>
              <w:t>10.3</w:t>
            </w:r>
            <w:r>
              <w:rPr>
                <w:rFonts w:hint="eastAsia" w:asciiTheme="minorEastAsia" w:hAnsiTheme="minorEastAsia" w:eastAsiaTheme="minorEastAsia"/>
                <w:bCs/>
                <w:color w:val="000000"/>
                <w:szCs w:val="21"/>
              </w:rPr>
              <w:t>条</w:t>
            </w:r>
          </w:p>
          <w:p>
            <w:pPr>
              <w:pStyle w:val="2"/>
              <w:ind w:left="0" w:leftChars="0" w:firstLine="0" w:firstLineChars="0"/>
            </w:pPr>
            <w:r>
              <w:rPr>
                <w:rFonts w:hint="eastAsia" w:asciiTheme="minorEastAsia" w:hAnsiTheme="minorEastAsia" w:eastAsiaTheme="minorEastAsia"/>
                <w:bCs/>
                <w:color w:val="000000"/>
                <w:szCs w:val="21"/>
              </w:rPr>
              <w:t>GB/T 3836.4-2021第10.3条</w:t>
            </w:r>
          </w:p>
        </w:tc>
        <w:tc>
          <w:tcPr>
            <w:tcW w:w="3260" w:type="dxa"/>
            <w:noWrap/>
            <w:vAlign w:val="center"/>
          </w:tcPr>
          <w:p>
            <w:pPr>
              <w:spacing w:line="440" w:lineRule="exact"/>
              <w:jc w:val="left"/>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施加规定电压值，历时1min，无击穿闪络现象；漏电流≤5mA。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667" w:type="dxa"/>
            <w:tcBorders>
              <w:top w:val="single" w:color="auto" w:sz="4" w:space="0"/>
            </w:tcBorders>
            <w:noWrap/>
            <w:vAlign w:val="center"/>
          </w:tcPr>
          <w:p>
            <w:pPr>
              <w:adjustRightInd w:val="0"/>
              <w:snapToGrid w:val="0"/>
              <w:jc w:val="center"/>
              <w:rPr>
                <w:rFonts w:asciiTheme="minorEastAsia" w:hAnsiTheme="minorEastAsia" w:eastAsiaTheme="minorEastAsia"/>
                <w:bCs/>
                <w:color w:val="000000"/>
                <w:szCs w:val="21"/>
              </w:rPr>
            </w:pPr>
            <w:r>
              <w:rPr>
                <w:rFonts w:asciiTheme="minorEastAsia" w:hAnsiTheme="minorEastAsia" w:eastAsiaTheme="minorEastAsia"/>
                <w:bCs/>
                <w:color w:val="000000"/>
                <w:szCs w:val="21"/>
              </w:rPr>
              <w:t>备注</w:t>
            </w:r>
          </w:p>
        </w:tc>
        <w:tc>
          <w:tcPr>
            <w:tcW w:w="8930" w:type="dxa"/>
            <w:gridSpan w:val="3"/>
            <w:tcBorders>
              <w:top w:val="single" w:color="auto" w:sz="4" w:space="0"/>
            </w:tcBorders>
            <w:noWrap/>
            <w:vAlign w:val="center"/>
          </w:tcPr>
          <w:p>
            <w:pPr>
              <w:spacing w:line="440" w:lineRule="exact"/>
              <w:jc w:val="left"/>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隔爆型设备检测第1、2、3、4项；本质安全型设备检测第1、5、6 项；隔爆兼本质安全型设备检测第1、2、3、4、5、6项。</w:t>
            </w:r>
          </w:p>
        </w:tc>
      </w:tr>
    </w:tbl>
    <w:p>
      <w:pPr>
        <w:snapToGrid w:val="0"/>
        <w:jc w:val="center"/>
        <w:rPr>
          <w:rFonts w:ascii="宋体" w:hAnsi="宋体" w:cs="宋体"/>
          <w:color w:val="000000"/>
          <w:kern w:val="0"/>
          <w:szCs w:val="21"/>
        </w:rPr>
      </w:pPr>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执行企业标准、团体标准、地方标准的产品，检验项目参照上述内容执行。</w:t>
      </w:r>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凡是注日期的文件，其随后所有的修改单（不包括勘误的内容）或修订版不适用于本细则。凡是不注日期的文件，其最新版本适用于本细则。</w:t>
      </w:r>
    </w:p>
    <w:p>
      <w:pPr>
        <w:adjustRightInd w:val="0"/>
        <w:snapToGrid w:val="0"/>
        <w:spacing w:line="440" w:lineRule="exact"/>
        <w:rPr>
          <w:rFonts w:ascii="宋体" w:hAnsi="宋体" w:cs="宋体"/>
          <w:szCs w:val="21"/>
        </w:rPr>
      </w:pPr>
    </w:p>
    <w:p>
      <w:pPr>
        <w:adjustRightInd w:val="0"/>
        <w:snapToGrid w:val="0"/>
        <w:spacing w:line="440" w:lineRule="exact"/>
        <w:rPr>
          <w:rFonts w:ascii="黑体" w:hAnsi="黑体" w:eastAsia="黑体" w:cs="黑体"/>
          <w:szCs w:val="21"/>
        </w:rPr>
      </w:pPr>
      <w:r>
        <w:rPr>
          <w:rFonts w:hint="eastAsia" w:ascii="黑体" w:hAnsi="黑体" w:eastAsia="黑体" w:cs="黑体"/>
          <w:szCs w:val="21"/>
        </w:rPr>
        <w:t>3 判定规则</w:t>
      </w:r>
    </w:p>
    <w:p>
      <w:pPr>
        <w:adjustRightInd w:val="0"/>
        <w:snapToGrid w:val="0"/>
        <w:spacing w:line="440" w:lineRule="exact"/>
        <w:rPr>
          <w:rFonts w:ascii="宋体" w:hAnsi="宋体" w:cs="宋体"/>
          <w:szCs w:val="21"/>
        </w:rPr>
      </w:pPr>
      <w:r>
        <w:rPr>
          <w:rFonts w:hint="eastAsia" w:ascii="宋体" w:hAnsi="宋体" w:cs="宋体"/>
          <w:szCs w:val="21"/>
        </w:rPr>
        <w:t>3.1依据标准</w:t>
      </w:r>
    </w:p>
    <w:p>
      <w:pPr>
        <w:adjustRightInd w:val="0"/>
        <w:snapToGrid w:val="0"/>
        <w:spacing w:line="440" w:lineRule="exact"/>
        <w:ind w:firstLine="359" w:firstLineChars="171"/>
        <w:rPr>
          <w:rFonts w:ascii="宋体" w:hAnsi="宋体" w:cs="宋体"/>
          <w:szCs w:val="21"/>
        </w:rPr>
      </w:pPr>
      <w:r>
        <w:rPr>
          <w:rFonts w:hint="eastAsia" w:ascii="宋体" w:hAnsi="宋体" w:cs="宋体"/>
          <w:szCs w:val="21"/>
        </w:rPr>
        <w:t xml:space="preserve">GB/T 3836.1-2021  爆炸性环境 第1部分：设备 通用要求 </w:t>
      </w:r>
    </w:p>
    <w:p>
      <w:pPr>
        <w:adjustRightInd w:val="0"/>
        <w:snapToGrid w:val="0"/>
        <w:spacing w:line="440" w:lineRule="exact"/>
        <w:ind w:firstLine="359" w:firstLineChars="171"/>
        <w:rPr>
          <w:rFonts w:ascii="宋体" w:hAnsi="宋体" w:cs="宋体"/>
          <w:szCs w:val="21"/>
        </w:rPr>
      </w:pPr>
      <w:r>
        <w:rPr>
          <w:rFonts w:hint="eastAsia" w:ascii="宋体" w:hAnsi="宋体" w:cs="宋体"/>
          <w:szCs w:val="21"/>
        </w:rPr>
        <w:t xml:space="preserve">GB/T 3836.2-2021  爆炸性环境 第2部分：由隔爆外壳“d”保护的设备 </w:t>
      </w:r>
    </w:p>
    <w:p>
      <w:pPr>
        <w:adjustRightInd w:val="0"/>
        <w:snapToGrid w:val="0"/>
        <w:spacing w:line="440" w:lineRule="exact"/>
        <w:ind w:firstLine="359" w:firstLineChars="171"/>
        <w:rPr>
          <w:rFonts w:ascii="宋体" w:hAnsi="宋体" w:cs="宋体"/>
          <w:szCs w:val="21"/>
        </w:rPr>
      </w:pPr>
      <w:r>
        <w:rPr>
          <w:rFonts w:hint="eastAsia" w:ascii="宋体" w:hAnsi="宋体" w:cs="宋体"/>
          <w:szCs w:val="21"/>
        </w:rPr>
        <w:t xml:space="preserve">GB/T 3836.3-2021  爆炸性环境 第3部分：由增安型“e”保护的设备 </w:t>
      </w:r>
    </w:p>
    <w:p>
      <w:pPr>
        <w:adjustRightInd w:val="0"/>
        <w:snapToGrid w:val="0"/>
        <w:spacing w:line="440" w:lineRule="exact"/>
        <w:ind w:firstLine="359" w:firstLineChars="171"/>
        <w:rPr>
          <w:rFonts w:ascii="宋体" w:hAnsi="宋体" w:cs="宋体"/>
          <w:szCs w:val="21"/>
        </w:rPr>
      </w:pPr>
      <w:r>
        <w:rPr>
          <w:rFonts w:hint="eastAsia" w:ascii="宋体" w:hAnsi="宋体" w:cs="宋体"/>
          <w:szCs w:val="21"/>
        </w:rPr>
        <w:t xml:space="preserve">GB/T 3836.4-2021 爆炸性环境 第4部分：由本质安全型“i”保护的设备  </w:t>
      </w:r>
    </w:p>
    <w:p>
      <w:pPr>
        <w:adjustRightInd w:val="0"/>
        <w:snapToGrid w:val="0"/>
        <w:spacing w:line="440" w:lineRule="exact"/>
        <w:ind w:firstLine="359" w:firstLineChars="171"/>
        <w:rPr>
          <w:rFonts w:ascii="宋体" w:hAnsi="宋体" w:cs="宋体"/>
          <w:szCs w:val="21"/>
        </w:rPr>
      </w:pPr>
      <w:r>
        <w:rPr>
          <w:rFonts w:hint="eastAsia" w:ascii="宋体" w:hAnsi="宋体" w:cs="宋体"/>
          <w:szCs w:val="21"/>
        </w:rPr>
        <w:t>现行有效的企业标准、团体标准、地方标准及产品明示质量要求，备案标准为</w:t>
      </w:r>
    </w:p>
    <w:p>
      <w:pPr>
        <w:adjustRightInd w:val="0"/>
        <w:snapToGrid w:val="0"/>
        <w:spacing w:line="440" w:lineRule="exact"/>
        <w:ind w:firstLine="359" w:firstLineChars="171"/>
        <w:rPr>
          <w:rFonts w:ascii="宋体" w:hAnsi="宋体" w:cs="宋体"/>
          <w:szCs w:val="21"/>
        </w:rPr>
      </w:pPr>
      <w:r>
        <w:rPr>
          <w:rFonts w:hint="eastAsia" w:ascii="宋体" w:hAnsi="宋体" w:cs="宋体"/>
          <w:szCs w:val="21"/>
        </w:rPr>
        <w:t xml:space="preserve">GB/T 3836.1-2010  爆炸性环境 第1部分：设备 通用要求 </w:t>
      </w:r>
    </w:p>
    <w:p>
      <w:pPr>
        <w:adjustRightInd w:val="0"/>
        <w:snapToGrid w:val="0"/>
        <w:spacing w:line="440" w:lineRule="exact"/>
        <w:ind w:firstLine="359" w:firstLineChars="171"/>
        <w:rPr>
          <w:rFonts w:ascii="宋体" w:hAnsi="宋体" w:cs="宋体"/>
          <w:szCs w:val="21"/>
        </w:rPr>
      </w:pPr>
      <w:r>
        <w:rPr>
          <w:rFonts w:hint="eastAsia" w:ascii="宋体" w:hAnsi="宋体" w:cs="宋体"/>
          <w:szCs w:val="21"/>
        </w:rPr>
        <w:t xml:space="preserve">GB/T 3836.2-2010  爆炸性环境 第2部分：由隔爆外壳“d”保护的设备 </w:t>
      </w:r>
    </w:p>
    <w:p>
      <w:pPr>
        <w:adjustRightInd w:val="0"/>
        <w:snapToGrid w:val="0"/>
        <w:spacing w:line="440" w:lineRule="exact"/>
        <w:ind w:firstLine="359" w:firstLineChars="171"/>
        <w:rPr>
          <w:rFonts w:ascii="宋体" w:hAnsi="宋体" w:cs="宋体"/>
          <w:szCs w:val="21"/>
        </w:rPr>
      </w:pPr>
      <w:r>
        <w:rPr>
          <w:rFonts w:hint="eastAsia" w:ascii="宋体" w:hAnsi="宋体" w:cs="宋体"/>
          <w:szCs w:val="21"/>
        </w:rPr>
        <w:t xml:space="preserve">GB/T 3836.3-2010  爆炸性环境 第3部分：由增安型“e”保护的设备 </w:t>
      </w:r>
    </w:p>
    <w:p>
      <w:pPr>
        <w:adjustRightInd w:val="0"/>
        <w:snapToGrid w:val="0"/>
        <w:spacing w:line="440" w:lineRule="exact"/>
        <w:ind w:firstLine="359" w:firstLineChars="171"/>
        <w:rPr>
          <w:rFonts w:ascii="宋体" w:hAnsi="宋体" w:cs="宋体"/>
          <w:szCs w:val="21"/>
        </w:rPr>
      </w:pPr>
      <w:r>
        <w:rPr>
          <w:rFonts w:hint="eastAsia" w:ascii="宋体" w:hAnsi="宋体" w:cs="宋体"/>
          <w:szCs w:val="21"/>
        </w:rPr>
        <w:t xml:space="preserve">GB/T 3836.4-2010 爆炸性环境 第4部分：由本质安全型“i”保护的设备  </w:t>
      </w:r>
    </w:p>
    <w:p>
      <w:pPr>
        <w:adjustRightInd w:val="0"/>
        <w:snapToGrid w:val="0"/>
        <w:spacing w:line="440" w:lineRule="exact"/>
        <w:ind w:firstLine="359" w:firstLineChars="171"/>
        <w:rPr>
          <w:rFonts w:ascii="宋体" w:hAnsi="宋体" w:cs="宋体"/>
          <w:szCs w:val="21"/>
        </w:rPr>
      </w:pPr>
      <w:r>
        <w:rPr>
          <w:rFonts w:hint="eastAsia" w:ascii="宋体" w:hAnsi="宋体" w:cs="宋体"/>
          <w:szCs w:val="21"/>
        </w:rPr>
        <w:t>的产品按备案标准执行。</w:t>
      </w:r>
    </w:p>
    <w:p>
      <w:pPr>
        <w:adjustRightInd w:val="0"/>
        <w:snapToGrid w:val="0"/>
        <w:spacing w:line="440" w:lineRule="exact"/>
        <w:rPr>
          <w:rFonts w:ascii="宋体" w:hAnsi="宋体" w:cs="宋体"/>
          <w:szCs w:val="21"/>
        </w:rPr>
      </w:pPr>
      <w:r>
        <w:rPr>
          <w:rFonts w:hint="eastAsia" w:ascii="宋体" w:hAnsi="宋体" w:cs="宋体"/>
          <w:szCs w:val="21"/>
        </w:rPr>
        <w:t>3.2判定原则</w:t>
      </w:r>
    </w:p>
    <w:p>
      <w:pPr>
        <w:adjustRightInd w:val="0"/>
        <w:snapToGrid w:val="0"/>
        <w:spacing w:line="440" w:lineRule="exact"/>
        <w:ind w:firstLine="420" w:firstLineChars="200"/>
        <w:rPr>
          <w:rFonts w:ascii="宋体" w:hAnsi="宋体" w:cs="宋体"/>
          <w:szCs w:val="21"/>
        </w:rPr>
      </w:pPr>
      <w:r>
        <w:rPr>
          <w:color w:val="000000"/>
          <w:szCs w:val="21"/>
        </w:rPr>
        <w:t>经检验，检验项目全部合格，判定为被抽查产品所检项目未发现不合格</w:t>
      </w:r>
      <w:r>
        <w:rPr>
          <w:rFonts w:hint="eastAsia" w:ascii="宋体" w:hAnsi="宋体" w:cs="宋体"/>
          <w:szCs w:val="21"/>
        </w:rPr>
        <w:t>；检验项目中任一项或一项以上不合格，判定为被抽查产品不合格。</w:t>
      </w:r>
    </w:p>
    <w:p>
      <w:pPr>
        <w:adjustRightInd w:val="0"/>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若被检产品明示的质量要求高于本细则中检验项目依据的标准要求时，应按被检产品明示的质量要求判定。</w:t>
      </w:r>
    </w:p>
    <w:p>
      <w:pPr>
        <w:adjustRightInd w:val="0"/>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若被检产品明示的质量要求低于本细则中检验项目依据的强制性标准要求时，应按照强制性标准要求判定。</w:t>
      </w:r>
    </w:p>
    <w:p>
      <w:pPr>
        <w:adjustRightInd w:val="0"/>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若被检产品明示的质量要求低于或包含本细则中检验项目依据的推荐性标准要求时，应以被检产品明示的质量要求判定。</w:t>
      </w:r>
    </w:p>
    <w:p>
      <w:pPr>
        <w:adjustRightInd w:val="0"/>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若被检产品明示的质量要求缺少本细则中检验项目依据的强制性标准要求时，应按照强制性标准要求判定。</w:t>
      </w:r>
    </w:p>
    <w:p>
      <w:pPr>
        <w:adjustRightInd w:val="0"/>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若被检产品明示的质量要求缺少本细则中检验项目依据的推荐性标准要求时，该项目不参与判定。</w:t>
      </w:r>
    </w:p>
    <w:p>
      <w:pPr>
        <w:pStyle w:val="23"/>
      </w:pPr>
    </w:p>
    <w:p>
      <w:pPr>
        <w:snapToGrid w:val="0"/>
        <w:spacing w:line="440" w:lineRule="exact"/>
        <w:rPr>
          <w:rFonts w:eastAsia="黑体"/>
          <w:szCs w:val="21"/>
        </w:rPr>
      </w:pPr>
      <w:r>
        <w:rPr>
          <w:rFonts w:hint="eastAsia" w:eastAsia="黑体"/>
          <w:szCs w:val="21"/>
        </w:rPr>
        <w:t>4</w:t>
      </w:r>
      <w:r>
        <w:rPr>
          <w:rFonts w:eastAsia="黑体"/>
          <w:szCs w:val="21"/>
        </w:rPr>
        <w:t xml:space="preserve"> </w:t>
      </w:r>
      <w:r>
        <w:rPr>
          <w:rFonts w:hint="eastAsia" w:eastAsia="黑体"/>
          <w:szCs w:val="21"/>
        </w:rPr>
        <w:t>附则</w:t>
      </w:r>
    </w:p>
    <w:p>
      <w:pPr>
        <w:snapToGrid w:val="0"/>
        <w:spacing w:line="440" w:lineRule="exact"/>
        <w:ind w:firstLine="420" w:firstLineChars="200"/>
        <w:rPr>
          <w:rFonts w:ascii="宋体" w:hAnsi="宋体" w:cs="宋体"/>
          <w:szCs w:val="21"/>
        </w:rPr>
      </w:pPr>
      <w:r>
        <w:rPr>
          <w:rFonts w:hint="eastAsia"/>
          <w:szCs w:val="21"/>
        </w:rPr>
        <w:t>本细则由淮南市市场监督管理局管理。</w:t>
      </w:r>
    </w:p>
    <w:p>
      <w:pPr>
        <w:pStyle w:val="23"/>
        <w:ind w:firstLine="0" w:firstLineChars="0"/>
        <w:rPr>
          <w:rFonts w:ascii="宋体" w:hAnsi="宋体" w:cs="宋体"/>
          <w:szCs w:val="21"/>
        </w:rPr>
      </w:pPr>
    </w:p>
    <w:sectPr>
      <w:headerReference r:id="rId3" w:type="default"/>
      <w:footerReference r:id="rId4" w:type="default"/>
      <w:pgSz w:w="11906" w:h="16838"/>
      <w:pgMar w:top="1984" w:right="1474" w:bottom="1644" w:left="1474" w:header="851" w:footer="1191" w:gutter="0"/>
      <w:cols w:space="72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ourier New">
    <w:altName w:val="DejaVu Sans"/>
    <w:panose1 w:val="02070309020205020404"/>
    <w:charset w:val="00"/>
    <w:family w:val="modern"/>
    <w:pitch w:val="default"/>
    <w:sig w:usb0="00000000" w:usb1="00000000" w:usb2="00000009" w:usb3="00000000" w:csb0="000001FF"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9"/>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362432"/>
    <w:multiLevelType w:val="multilevel"/>
    <w:tmpl w:val="3536243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7421A39"/>
    <w:multiLevelType w:val="multilevel"/>
    <w:tmpl w:val="67421A3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D3A0EA4"/>
    <w:multiLevelType w:val="multilevel"/>
    <w:tmpl w:val="6D3A0EA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F7C0086"/>
    <w:multiLevelType w:val="multilevel"/>
    <w:tmpl w:val="7F7C008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true"/>
  <w:bordersDoNotSurroundFooter w:val="true"/>
  <w:documentProtection w:enforcement="0"/>
  <w:defaultTabStop w:val="420"/>
  <w:drawingGridVerticalSpacing w:val="159"/>
  <w:noPunctuationKerning w:val="true"/>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TgwYjM0ODI1ZGM4YmViYTBjMjI0ZjUzNGM0NTRkNTUifQ=="/>
  </w:docVars>
  <w:rsids>
    <w:rsidRoot w:val="00172A27"/>
    <w:rsid w:val="00024EB9"/>
    <w:rsid w:val="00035A59"/>
    <w:rsid w:val="00051A44"/>
    <w:rsid w:val="00060EFE"/>
    <w:rsid w:val="00061AEC"/>
    <w:rsid w:val="00070CF6"/>
    <w:rsid w:val="00071F25"/>
    <w:rsid w:val="00077A15"/>
    <w:rsid w:val="00081CBD"/>
    <w:rsid w:val="00093C1E"/>
    <w:rsid w:val="000976DE"/>
    <w:rsid w:val="000B4311"/>
    <w:rsid w:val="000C75A5"/>
    <w:rsid w:val="000E1E45"/>
    <w:rsid w:val="00101778"/>
    <w:rsid w:val="001343C5"/>
    <w:rsid w:val="001451FD"/>
    <w:rsid w:val="00172A27"/>
    <w:rsid w:val="00173682"/>
    <w:rsid w:val="001809DD"/>
    <w:rsid w:val="00186313"/>
    <w:rsid w:val="001A3515"/>
    <w:rsid w:val="001B2142"/>
    <w:rsid w:val="001B365E"/>
    <w:rsid w:val="001C2111"/>
    <w:rsid w:val="001C5FD3"/>
    <w:rsid w:val="001F3FD1"/>
    <w:rsid w:val="00205828"/>
    <w:rsid w:val="00205D4D"/>
    <w:rsid w:val="00235B64"/>
    <w:rsid w:val="00253624"/>
    <w:rsid w:val="00276284"/>
    <w:rsid w:val="00281130"/>
    <w:rsid w:val="00283D33"/>
    <w:rsid w:val="002C01C2"/>
    <w:rsid w:val="002D7F8A"/>
    <w:rsid w:val="002E0D1D"/>
    <w:rsid w:val="002F0BD3"/>
    <w:rsid w:val="003203A3"/>
    <w:rsid w:val="003371E9"/>
    <w:rsid w:val="00346FE8"/>
    <w:rsid w:val="0037693C"/>
    <w:rsid w:val="0038520D"/>
    <w:rsid w:val="00386F8F"/>
    <w:rsid w:val="00393E39"/>
    <w:rsid w:val="00393EF6"/>
    <w:rsid w:val="003B0232"/>
    <w:rsid w:val="003B0753"/>
    <w:rsid w:val="003B2287"/>
    <w:rsid w:val="003B2E80"/>
    <w:rsid w:val="003B3E1A"/>
    <w:rsid w:val="003B3F81"/>
    <w:rsid w:val="003B536A"/>
    <w:rsid w:val="003C388C"/>
    <w:rsid w:val="003C4095"/>
    <w:rsid w:val="003E61BF"/>
    <w:rsid w:val="004053B1"/>
    <w:rsid w:val="00405C34"/>
    <w:rsid w:val="00445E86"/>
    <w:rsid w:val="00446F27"/>
    <w:rsid w:val="00474E04"/>
    <w:rsid w:val="0049416E"/>
    <w:rsid w:val="004B2966"/>
    <w:rsid w:val="004D0C5A"/>
    <w:rsid w:val="004E1396"/>
    <w:rsid w:val="004E7092"/>
    <w:rsid w:val="004F0590"/>
    <w:rsid w:val="004F19A3"/>
    <w:rsid w:val="004F43F7"/>
    <w:rsid w:val="00503CD4"/>
    <w:rsid w:val="00515718"/>
    <w:rsid w:val="00534710"/>
    <w:rsid w:val="0053687D"/>
    <w:rsid w:val="00554C4A"/>
    <w:rsid w:val="00561301"/>
    <w:rsid w:val="00563EBC"/>
    <w:rsid w:val="00575BC5"/>
    <w:rsid w:val="005A1C0C"/>
    <w:rsid w:val="005B4CA2"/>
    <w:rsid w:val="005B6F0E"/>
    <w:rsid w:val="005C0D31"/>
    <w:rsid w:val="005F1B33"/>
    <w:rsid w:val="005F36E2"/>
    <w:rsid w:val="005F5C34"/>
    <w:rsid w:val="006132BB"/>
    <w:rsid w:val="0066051C"/>
    <w:rsid w:val="00672CCD"/>
    <w:rsid w:val="00676A2E"/>
    <w:rsid w:val="00683992"/>
    <w:rsid w:val="006845AE"/>
    <w:rsid w:val="0068514B"/>
    <w:rsid w:val="006A413D"/>
    <w:rsid w:val="006B776C"/>
    <w:rsid w:val="006E4696"/>
    <w:rsid w:val="006F0971"/>
    <w:rsid w:val="006F398B"/>
    <w:rsid w:val="006F3EFD"/>
    <w:rsid w:val="0072334C"/>
    <w:rsid w:val="007257FA"/>
    <w:rsid w:val="00725C08"/>
    <w:rsid w:val="00752E47"/>
    <w:rsid w:val="00762A4D"/>
    <w:rsid w:val="00771C8C"/>
    <w:rsid w:val="007B63EA"/>
    <w:rsid w:val="007C4636"/>
    <w:rsid w:val="007D593E"/>
    <w:rsid w:val="00806EA4"/>
    <w:rsid w:val="008107E7"/>
    <w:rsid w:val="00815FEC"/>
    <w:rsid w:val="008219A4"/>
    <w:rsid w:val="0082353A"/>
    <w:rsid w:val="00870A0E"/>
    <w:rsid w:val="0089305D"/>
    <w:rsid w:val="00895BEA"/>
    <w:rsid w:val="008A3497"/>
    <w:rsid w:val="008F119A"/>
    <w:rsid w:val="00911CDB"/>
    <w:rsid w:val="00917A54"/>
    <w:rsid w:val="00927D36"/>
    <w:rsid w:val="00953337"/>
    <w:rsid w:val="00964019"/>
    <w:rsid w:val="00970C7A"/>
    <w:rsid w:val="0099391E"/>
    <w:rsid w:val="009A172A"/>
    <w:rsid w:val="00A158FF"/>
    <w:rsid w:val="00A16A07"/>
    <w:rsid w:val="00A32D96"/>
    <w:rsid w:val="00A34956"/>
    <w:rsid w:val="00A36DD1"/>
    <w:rsid w:val="00A43553"/>
    <w:rsid w:val="00A44E54"/>
    <w:rsid w:val="00A63009"/>
    <w:rsid w:val="00A757E5"/>
    <w:rsid w:val="00A76E60"/>
    <w:rsid w:val="00A777E4"/>
    <w:rsid w:val="00A83802"/>
    <w:rsid w:val="00A84073"/>
    <w:rsid w:val="00AA0A15"/>
    <w:rsid w:val="00AA4765"/>
    <w:rsid w:val="00AE25B5"/>
    <w:rsid w:val="00AE483A"/>
    <w:rsid w:val="00AE5883"/>
    <w:rsid w:val="00AE63DC"/>
    <w:rsid w:val="00B1303B"/>
    <w:rsid w:val="00B17B3E"/>
    <w:rsid w:val="00B356AA"/>
    <w:rsid w:val="00B40654"/>
    <w:rsid w:val="00B71A69"/>
    <w:rsid w:val="00B9287F"/>
    <w:rsid w:val="00B9320D"/>
    <w:rsid w:val="00BF0773"/>
    <w:rsid w:val="00C26074"/>
    <w:rsid w:val="00C5061D"/>
    <w:rsid w:val="00C56AB0"/>
    <w:rsid w:val="00C62BB4"/>
    <w:rsid w:val="00C677D4"/>
    <w:rsid w:val="00C7582B"/>
    <w:rsid w:val="00C83425"/>
    <w:rsid w:val="00C83B0A"/>
    <w:rsid w:val="00C93C5C"/>
    <w:rsid w:val="00CA492F"/>
    <w:rsid w:val="00CC48E2"/>
    <w:rsid w:val="00CE1E0C"/>
    <w:rsid w:val="00CE277E"/>
    <w:rsid w:val="00D04AA1"/>
    <w:rsid w:val="00D12C0B"/>
    <w:rsid w:val="00D337AB"/>
    <w:rsid w:val="00D34C61"/>
    <w:rsid w:val="00D56867"/>
    <w:rsid w:val="00D869A1"/>
    <w:rsid w:val="00D94078"/>
    <w:rsid w:val="00DB2CB4"/>
    <w:rsid w:val="00DE5943"/>
    <w:rsid w:val="00DE6DA6"/>
    <w:rsid w:val="00E014B9"/>
    <w:rsid w:val="00E02A7F"/>
    <w:rsid w:val="00E06986"/>
    <w:rsid w:val="00E07880"/>
    <w:rsid w:val="00E15282"/>
    <w:rsid w:val="00E24888"/>
    <w:rsid w:val="00E42630"/>
    <w:rsid w:val="00E61A02"/>
    <w:rsid w:val="00E82621"/>
    <w:rsid w:val="00E97CC0"/>
    <w:rsid w:val="00EA712C"/>
    <w:rsid w:val="00EC0099"/>
    <w:rsid w:val="00EF7DE6"/>
    <w:rsid w:val="00F155DB"/>
    <w:rsid w:val="00F17FCD"/>
    <w:rsid w:val="00F44A6A"/>
    <w:rsid w:val="00F77C9A"/>
    <w:rsid w:val="00F906B4"/>
    <w:rsid w:val="00F90F3D"/>
    <w:rsid w:val="00F90FD4"/>
    <w:rsid w:val="00FB576C"/>
    <w:rsid w:val="00FC56A3"/>
    <w:rsid w:val="00FD169C"/>
    <w:rsid w:val="00FD2AA6"/>
    <w:rsid w:val="00FE02AD"/>
    <w:rsid w:val="00FE7E8A"/>
    <w:rsid w:val="023C1B56"/>
    <w:rsid w:val="023C3276"/>
    <w:rsid w:val="034F6A8A"/>
    <w:rsid w:val="03875A9D"/>
    <w:rsid w:val="0392529A"/>
    <w:rsid w:val="03CA28CC"/>
    <w:rsid w:val="03E31BD5"/>
    <w:rsid w:val="04CB4E68"/>
    <w:rsid w:val="04ED12D8"/>
    <w:rsid w:val="05FD60FF"/>
    <w:rsid w:val="06476060"/>
    <w:rsid w:val="06BD5DFB"/>
    <w:rsid w:val="06CE2B2F"/>
    <w:rsid w:val="06D77E0D"/>
    <w:rsid w:val="07C72403"/>
    <w:rsid w:val="0834094A"/>
    <w:rsid w:val="08C63382"/>
    <w:rsid w:val="08ED7A70"/>
    <w:rsid w:val="09380658"/>
    <w:rsid w:val="0A121F8B"/>
    <w:rsid w:val="0A5D0019"/>
    <w:rsid w:val="0B0517BE"/>
    <w:rsid w:val="0B3B5257"/>
    <w:rsid w:val="0B5D18F6"/>
    <w:rsid w:val="0C662D5F"/>
    <w:rsid w:val="0C824D28"/>
    <w:rsid w:val="0D266780"/>
    <w:rsid w:val="0D2E35AF"/>
    <w:rsid w:val="0DC839B8"/>
    <w:rsid w:val="0DDE2608"/>
    <w:rsid w:val="0DE275F9"/>
    <w:rsid w:val="0DED066C"/>
    <w:rsid w:val="0DF93BBD"/>
    <w:rsid w:val="0E4C218C"/>
    <w:rsid w:val="0F1A6646"/>
    <w:rsid w:val="10396685"/>
    <w:rsid w:val="11CC3396"/>
    <w:rsid w:val="124C037A"/>
    <w:rsid w:val="12BA63F7"/>
    <w:rsid w:val="12E9234C"/>
    <w:rsid w:val="13180A07"/>
    <w:rsid w:val="141D6C1A"/>
    <w:rsid w:val="14AB368C"/>
    <w:rsid w:val="14F10473"/>
    <w:rsid w:val="150F2122"/>
    <w:rsid w:val="151472F9"/>
    <w:rsid w:val="159A72F2"/>
    <w:rsid w:val="15D712E3"/>
    <w:rsid w:val="16EE6BEE"/>
    <w:rsid w:val="17B35C58"/>
    <w:rsid w:val="184E2120"/>
    <w:rsid w:val="18A06032"/>
    <w:rsid w:val="18D43B78"/>
    <w:rsid w:val="1A0116E9"/>
    <w:rsid w:val="1A8B5DDB"/>
    <w:rsid w:val="1AE3537B"/>
    <w:rsid w:val="1B276594"/>
    <w:rsid w:val="1B8C7C0C"/>
    <w:rsid w:val="1C1F3331"/>
    <w:rsid w:val="1C540301"/>
    <w:rsid w:val="1CA75034"/>
    <w:rsid w:val="1D666637"/>
    <w:rsid w:val="1E6669A1"/>
    <w:rsid w:val="1EE37EAB"/>
    <w:rsid w:val="1F092F17"/>
    <w:rsid w:val="1FB04DE2"/>
    <w:rsid w:val="1FC65EA6"/>
    <w:rsid w:val="202D2C3D"/>
    <w:rsid w:val="203054AD"/>
    <w:rsid w:val="20602DA5"/>
    <w:rsid w:val="210D6400"/>
    <w:rsid w:val="2120725A"/>
    <w:rsid w:val="2136792E"/>
    <w:rsid w:val="213D4FE0"/>
    <w:rsid w:val="2147585C"/>
    <w:rsid w:val="21D37B4B"/>
    <w:rsid w:val="21F2233C"/>
    <w:rsid w:val="22230DB0"/>
    <w:rsid w:val="2225096E"/>
    <w:rsid w:val="2238295B"/>
    <w:rsid w:val="224D312D"/>
    <w:rsid w:val="227E549A"/>
    <w:rsid w:val="230A7635"/>
    <w:rsid w:val="233321BB"/>
    <w:rsid w:val="233F60BE"/>
    <w:rsid w:val="23724623"/>
    <w:rsid w:val="23892644"/>
    <w:rsid w:val="23EB18BA"/>
    <w:rsid w:val="245B113B"/>
    <w:rsid w:val="255C3C8C"/>
    <w:rsid w:val="255C52C6"/>
    <w:rsid w:val="25A4239E"/>
    <w:rsid w:val="264F3DDC"/>
    <w:rsid w:val="266937A1"/>
    <w:rsid w:val="26D97FDD"/>
    <w:rsid w:val="2759240E"/>
    <w:rsid w:val="283507FC"/>
    <w:rsid w:val="28C16C02"/>
    <w:rsid w:val="28DD7537"/>
    <w:rsid w:val="28EA64F0"/>
    <w:rsid w:val="28F60FCD"/>
    <w:rsid w:val="297546DD"/>
    <w:rsid w:val="29A24CB1"/>
    <w:rsid w:val="29AB625B"/>
    <w:rsid w:val="29E7372B"/>
    <w:rsid w:val="2A645CF4"/>
    <w:rsid w:val="2A816FBC"/>
    <w:rsid w:val="2AB70C30"/>
    <w:rsid w:val="2B1808C0"/>
    <w:rsid w:val="2B352D8A"/>
    <w:rsid w:val="2BFC070E"/>
    <w:rsid w:val="2BFD4A54"/>
    <w:rsid w:val="2C067D8A"/>
    <w:rsid w:val="2C2A7AB0"/>
    <w:rsid w:val="2C817F02"/>
    <w:rsid w:val="2C875077"/>
    <w:rsid w:val="2D535344"/>
    <w:rsid w:val="2D885EF9"/>
    <w:rsid w:val="2DC87BF4"/>
    <w:rsid w:val="2DEE7C94"/>
    <w:rsid w:val="2DF55B94"/>
    <w:rsid w:val="2E541003"/>
    <w:rsid w:val="2ED81174"/>
    <w:rsid w:val="2EF70E32"/>
    <w:rsid w:val="2EFD28DC"/>
    <w:rsid w:val="30150200"/>
    <w:rsid w:val="303F02B7"/>
    <w:rsid w:val="30E224CF"/>
    <w:rsid w:val="31C51469"/>
    <w:rsid w:val="325F1F47"/>
    <w:rsid w:val="332D5140"/>
    <w:rsid w:val="33A00F19"/>
    <w:rsid w:val="33D740F0"/>
    <w:rsid w:val="346314E0"/>
    <w:rsid w:val="34DC60FC"/>
    <w:rsid w:val="35753BC1"/>
    <w:rsid w:val="35B0416D"/>
    <w:rsid w:val="35F76ACF"/>
    <w:rsid w:val="363A4531"/>
    <w:rsid w:val="36A16B9D"/>
    <w:rsid w:val="36D84BEB"/>
    <w:rsid w:val="370C3B4A"/>
    <w:rsid w:val="374E6A98"/>
    <w:rsid w:val="38CC2E19"/>
    <w:rsid w:val="38FF18D3"/>
    <w:rsid w:val="39B62CD5"/>
    <w:rsid w:val="3A75332D"/>
    <w:rsid w:val="3A7770C3"/>
    <w:rsid w:val="3B0E00A4"/>
    <w:rsid w:val="3B88574D"/>
    <w:rsid w:val="3C40275A"/>
    <w:rsid w:val="3D791D75"/>
    <w:rsid w:val="3D95524C"/>
    <w:rsid w:val="3E161288"/>
    <w:rsid w:val="3E1962B6"/>
    <w:rsid w:val="3E231E7C"/>
    <w:rsid w:val="3E981DBE"/>
    <w:rsid w:val="40204DCE"/>
    <w:rsid w:val="40764BBF"/>
    <w:rsid w:val="407C5E04"/>
    <w:rsid w:val="40B55B0A"/>
    <w:rsid w:val="40F30D10"/>
    <w:rsid w:val="41A6723E"/>
    <w:rsid w:val="41C041D9"/>
    <w:rsid w:val="41D95F16"/>
    <w:rsid w:val="41E30B6C"/>
    <w:rsid w:val="41FA7767"/>
    <w:rsid w:val="424B24AC"/>
    <w:rsid w:val="42891B9D"/>
    <w:rsid w:val="428B3B81"/>
    <w:rsid w:val="42AC7EF5"/>
    <w:rsid w:val="42D82DDF"/>
    <w:rsid w:val="43C95E9E"/>
    <w:rsid w:val="43D435B4"/>
    <w:rsid w:val="443E715E"/>
    <w:rsid w:val="448F48F1"/>
    <w:rsid w:val="45280308"/>
    <w:rsid w:val="45C37712"/>
    <w:rsid w:val="45D118F0"/>
    <w:rsid w:val="46335411"/>
    <w:rsid w:val="46420182"/>
    <w:rsid w:val="46725241"/>
    <w:rsid w:val="46EE3B87"/>
    <w:rsid w:val="471C4E57"/>
    <w:rsid w:val="472E2EE0"/>
    <w:rsid w:val="475C0661"/>
    <w:rsid w:val="477559DD"/>
    <w:rsid w:val="478B58BC"/>
    <w:rsid w:val="47B32520"/>
    <w:rsid w:val="48D3763A"/>
    <w:rsid w:val="4948096F"/>
    <w:rsid w:val="49C033E3"/>
    <w:rsid w:val="49EB4949"/>
    <w:rsid w:val="4A076847"/>
    <w:rsid w:val="4B067629"/>
    <w:rsid w:val="4B575557"/>
    <w:rsid w:val="4C212FF1"/>
    <w:rsid w:val="4C4A5D7D"/>
    <w:rsid w:val="4C80526F"/>
    <w:rsid w:val="4D5026C7"/>
    <w:rsid w:val="4DFE495B"/>
    <w:rsid w:val="4EFB1495"/>
    <w:rsid w:val="4F254D19"/>
    <w:rsid w:val="4F440E99"/>
    <w:rsid w:val="50D67BDD"/>
    <w:rsid w:val="50E55B67"/>
    <w:rsid w:val="50F43794"/>
    <w:rsid w:val="511107EA"/>
    <w:rsid w:val="51204589"/>
    <w:rsid w:val="517376A7"/>
    <w:rsid w:val="51845695"/>
    <w:rsid w:val="5198485B"/>
    <w:rsid w:val="51FD5015"/>
    <w:rsid w:val="5269024D"/>
    <w:rsid w:val="52E644E5"/>
    <w:rsid w:val="52FB6EFE"/>
    <w:rsid w:val="5342371F"/>
    <w:rsid w:val="5384223D"/>
    <w:rsid w:val="53B21D2E"/>
    <w:rsid w:val="5479292E"/>
    <w:rsid w:val="549110FB"/>
    <w:rsid w:val="54A670C0"/>
    <w:rsid w:val="54AF093A"/>
    <w:rsid w:val="5546355E"/>
    <w:rsid w:val="55476CD3"/>
    <w:rsid w:val="55760BC4"/>
    <w:rsid w:val="55B16D65"/>
    <w:rsid w:val="56110109"/>
    <w:rsid w:val="561A31D9"/>
    <w:rsid w:val="5661367A"/>
    <w:rsid w:val="57C03270"/>
    <w:rsid w:val="59026785"/>
    <w:rsid w:val="5910304A"/>
    <w:rsid w:val="599B34FB"/>
    <w:rsid w:val="59F44805"/>
    <w:rsid w:val="5AAB423C"/>
    <w:rsid w:val="5AB3432F"/>
    <w:rsid w:val="5B630771"/>
    <w:rsid w:val="5B731158"/>
    <w:rsid w:val="5BD83295"/>
    <w:rsid w:val="5D04560C"/>
    <w:rsid w:val="5E9F2113"/>
    <w:rsid w:val="5EA21E06"/>
    <w:rsid w:val="5F291540"/>
    <w:rsid w:val="5F6964B6"/>
    <w:rsid w:val="5FA76A6E"/>
    <w:rsid w:val="602A2D2E"/>
    <w:rsid w:val="60CC6748"/>
    <w:rsid w:val="61187B60"/>
    <w:rsid w:val="61457B39"/>
    <w:rsid w:val="62795D61"/>
    <w:rsid w:val="630D063D"/>
    <w:rsid w:val="63542620"/>
    <w:rsid w:val="63685DD8"/>
    <w:rsid w:val="639D341E"/>
    <w:rsid w:val="63AA6068"/>
    <w:rsid w:val="63B5423D"/>
    <w:rsid w:val="64426784"/>
    <w:rsid w:val="646D680F"/>
    <w:rsid w:val="64DC170F"/>
    <w:rsid w:val="65155D52"/>
    <w:rsid w:val="6571556C"/>
    <w:rsid w:val="65954389"/>
    <w:rsid w:val="65A81560"/>
    <w:rsid w:val="65AF43AC"/>
    <w:rsid w:val="6780592A"/>
    <w:rsid w:val="688A40B3"/>
    <w:rsid w:val="68CC7C7A"/>
    <w:rsid w:val="69AA037C"/>
    <w:rsid w:val="69FD1156"/>
    <w:rsid w:val="6ADC5136"/>
    <w:rsid w:val="6AED3805"/>
    <w:rsid w:val="6B1004CF"/>
    <w:rsid w:val="6B634C44"/>
    <w:rsid w:val="6B6D6E8A"/>
    <w:rsid w:val="6BAA57F4"/>
    <w:rsid w:val="6BF6436F"/>
    <w:rsid w:val="6C7D1CE4"/>
    <w:rsid w:val="6CCF3FD8"/>
    <w:rsid w:val="6D0164C0"/>
    <w:rsid w:val="6D0C6ECB"/>
    <w:rsid w:val="6D2D3B8D"/>
    <w:rsid w:val="6D2D7A83"/>
    <w:rsid w:val="6DCA541B"/>
    <w:rsid w:val="6DF54226"/>
    <w:rsid w:val="6E540CFB"/>
    <w:rsid w:val="6E5D62D5"/>
    <w:rsid w:val="6ED86FE3"/>
    <w:rsid w:val="6F0E503C"/>
    <w:rsid w:val="6FAC4EFC"/>
    <w:rsid w:val="6FDB27B2"/>
    <w:rsid w:val="6FEA141E"/>
    <w:rsid w:val="70247DAF"/>
    <w:rsid w:val="706E67C9"/>
    <w:rsid w:val="71A36DE5"/>
    <w:rsid w:val="721E244C"/>
    <w:rsid w:val="724D6C21"/>
    <w:rsid w:val="727E1B73"/>
    <w:rsid w:val="728B2FC8"/>
    <w:rsid w:val="72DA3B34"/>
    <w:rsid w:val="731E5B5A"/>
    <w:rsid w:val="733A2BF7"/>
    <w:rsid w:val="74226D25"/>
    <w:rsid w:val="74863A4F"/>
    <w:rsid w:val="75E32189"/>
    <w:rsid w:val="76072D0B"/>
    <w:rsid w:val="76E5543C"/>
    <w:rsid w:val="76F97FBA"/>
    <w:rsid w:val="774235F0"/>
    <w:rsid w:val="775964E4"/>
    <w:rsid w:val="78E40A51"/>
    <w:rsid w:val="78FC3280"/>
    <w:rsid w:val="79754D48"/>
    <w:rsid w:val="79960FDD"/>
    <w:rsid w:val="799743C6"/>
    <w:rsid w:val="79FE652A"/>
    <w:rsid w:val="7A7521E4"/>
    <w:rsid w:val="7AFE5B4A"/>
    <w:rsid w:val="7B3C1DBD"/>
    <w:rsid w:val="7B405BB5"/>
    <w:rsid w:val="7BB67714"/>
    <w:rsid w:val="7C8F3C2B"/>
    <w:rsid w:val="7C907360"/>
    <w:rsid w:val="7DFD4EDF"/>
    <w:rsid w:val="7E5841F4"/>
    <w:rsid w:val="7EB0318F"/>
    <w:rsid w:val="7F2C2E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4"/>
    <w:basedOn w:val="1"/>
    <w:next w:val="1"/>
    <w:unhideWhenUsed/>
    <w:qFormat/>
    <w:uiPriority w:val="9"/>
    <w:pPr>
      <w:spacing w:before="100" w:beforeAutospacing="1" w:after="100" w:afterAutospacing="1"/>
      <w:jc w:val="left"/>
      <w:outlineLvl w:val="3"/>
    </w:pPr>
    <w:rPr>
      <w:rFonts w:hint="eastAsia" w:ascii="宋体" w:hAnsi="宋体"/>
      <w:b/>
      <w:bCs/>
      <w:kern w:val="0"/>
      <w:sz w:val="24"/>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link w:val="30"/>
    <w:unhideWhenUsed/>
    <w:qFormat/>
    <w:uiPriority w:val="99"/>
    <w:pPr>
      <w:ind w:left="420" w:leftChars="200"/>
    </w:pPr>
  </w:style>
  <w:style w:type="paragraph" w:styleId="5">
    <w:name w:val="table of authorities"/>
    <w:basedOn w:val="1"/>
    <w:next w:val="1"/>
    <w:unhideWhenUsed/>
    <w:qFormat/>
    <w:uiPriority w:val="99"/>
    <w:pPr>
      <w:ind w:left="420" w:leftChars="200"/>
    </w:pPr>
  </w:style>
  <w:style w:type="paragraph" w:styleId="6">
    <w:name w:val="annotation text"/>
    <w:basedOn w:val="1"/>
    <w:link w:val="17"/>
    <w:unhideWhenUsed/>
    <w:qFormat/>
    <w:uiPriority w:val="99"/>
    <w:pPr>
      <w:jc w:val="left"/>
    </w:pPr>
  </w:style>
  <w:style w:type="paragraph" w:styleId="7">
    <w:name w:val="Plain Text"/>
    <w:basedOn w:val="1"/>
    <w:link w:val="18"/>
    <w:qFormat/>
    <w:uiPriority w:val="99"/>
    <w:pPr>
      <w:widowControl/>
      <w:jc w:val="left"/>
    </w:pPr>
    <w:rPr>
      <w:rFonts w:ascii="宋体" w:hAnsi="Courier New"/>
    </w:rPr>
  </w:style>
  <w:style w:type="paragraph" w:styleId="8">
    <w:name w:val="Balloon Text"/>
    <w:basedOn w:val="1"/>
    <w:link w:val="19"/>
    <w:unhideWhenUsed/>
    <w:qFormat/>
    <w:uiPriority w:val="99"/>
    <w:rPr>
      <w:sz w:val="18"/>
      <w:szCs w:val="18"/>
    </w:rPr>
  </w:style>
  <w:style w:type="paragraph" w:styleId="9">
    <w:name w:val="footer"/>
    <w:basedOn w:val="1"/>
    <w:link w:val="20"/>
    <w:unhideWhenUsed/>
    <w:qFormat/>
    <w:uiPriority w:val="99"/>
    <w:pPr>
      <w:tabs>
        <w:tab w:val="center" w:pos="4153"/>
        <w:tab w:val="right" w:pos="8306"/>
      </w:tabs>
      <w:snapToGrid w:val="0"/>
      <w:jc w:val="left"/>
    </w:pPr>
    <w:rPr>
      <w:sz w:val="18"/>
      <w:szCs w:val="18"/>
    </w:rPr>
  </w:style>
  <w:style w:type="paragraph" w:styleId="10">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annotation subject"/>
    <w:basedOn w:val="6"/>
    <w:next w:val="6"/>
    <w:link w:val="22"/>
    <w:unhideWhenUsed/>
    <w:qFormat/>
    <w:uiPriority w:val="99"/>
    <w:rPr>
      <w:b/>
      <w:bCs/>
    </w:rPr>
  </w:style>
  <w:style w:type="character" w:styleId="14">
    <w:name w:val="page number"/>
    <w:basedOn w:val="13"/>
    <w:qFormat/>
    <w:uiPriority w:val="0"/>
  </w:style>
  <w:style w:type="character" w:styleId="15">
    <w:name w:val="Hyperlink"/>
    <w:basedOn w:val="13"/>
    <w:unhideWhenUsed/>
    <w:qFormat/>
    <w:uiPriority w:val="99"/>
    <w:rPr>
      <w:color w:val="0000FF"/>
      <w:u w:val="single"/>
    </w:rPr>
  </w:style>
  <w:style w:type="character" w:styleId="16">
    <w:name w:val="annotation reference"/>
    <w:unhideWhenUsed/>
    <w:qFormat/>
    <w:uiPriority w:val="99"/>
    <w:rPr>
      <w:sz w:val="21"/>
      <w:szCs w:val="21"/>
    </w:rPr>
  </w:style>
  <w:style w:type="character" w:customStyle="1" w:styleId="17">
    <w:name w:val="批注文字 Char"/>
    <w:link w:val="6"/>
    <w:semiHidden/>
    <w:qFormat/>
    <w:uiPriority w:val="99"/>
    <w:rPr>
      <w:kern w:val="2"/>
      <w:sz w:val="21"/>
      <w:szCs w:val="24"/>
    </w:rPr>
  </w:style>
  <w:style w:type="character" w:customStyle="1" w:styleId="18">
    <w:name w:val="纯文本 Char"/>
    <w:link w:val="7"/>
    <w:qFormat/>
    <w:uiPriority w:val="99"/>
    <w:rPr>
      <w:rFonts w:ascii="宋体" w:hAnsi="Courier New" w:cs="宋体"/>
      <w:kern w:val="2"/>
      <w:sz w:val="21"/>
      <w:szCs w:val="24"/>
    </w:rPr>
  </w:style>
  <w:style w:type="character" w:customStyle="1" w:styleId="19">
    <w:name w:val="批注框文本 Char"/>
    <w:link w:val="8"/>
    <w:semiHidden/>
    <w:qFormat/>
    <w:uiPriority w:val="99"/>
    <w:rPr>
      <w:kern w:val="2"/>
      <w:sz w:val="18"/>
      <w:szCs w:val="18"/>
    </w:rPr>
  </w:style>
  <w:style w:type="character" w:customStyle="1" w:styleId="20">
    <w:name w:val="页脚 Char"/>
    <w:link w:val="9"/>
    <w:qFormat/>
    <w:uiPriority w:val="99"/>
    <w:rPr>
      <w:kern w:val="2"/>
      <w:sz w:val="18"/>
      <w:szCs w:val="18"/>
    </w:rPr>
  </w:style>
  <w:style w:type="character" w:customStyle="1" w:styleId="21">
    <w:name w:val="页眉 Char"/>
    <w:link w:val="10"/>
    <w:semiHidden/>
    <w:qFormat/>
    <w:uiPriority w:val="99"/>
    <w:rPr>
      <w:kern w:val="2"/>
      <w:sz w:val="18"/>
      <w:szCs w:val="18"/>
    </w:rPr>
  </w:style>
  <w:style w:type="character" w:customStyle="1" w:styleId="22">
    <w:name w:val="批注主题 Char"/>
    <w:link w:val="11"/>
    <w:semiHidden/>
    <w:qFormat/>
    <w:uiPriority w:val="99"/>
    <w:rPr>
      <w:b/>
      <w:bCs/>
      <w:kern w:val="2"/>
      <w:sz w:val="21"/>
      <w:szCs w:val="24"/>
    </w:rPr>
  </w:style>
  <w:style w:type="paragraph" w:customStyle="1" w:styleId="23">
    <w:name w:val="列出段落1"/>
    <w:basedOn w:val="1"/>
    <w:qFormat/>
    <w:uiPriority w:val="34"/>
    <w:pPr>
      <w:ind w:firstLine="420" w:firstLineChars="200"/>
    </w:pPr>
    <w:rPr>
      <w:rFonts w:ascii="Calibri" w:hAnsi="Calibri"/>
      <w:szCs w:val="22"/>
    </w:rPr>
  </w:style>
  <w:style w:type="character" w:customStyle="1" w:styleId="24">
    <w:name w:val="font11"/>
    <w:basedOn w:val="13"/>
    <w:qFormat/>
    <w:uiPriority w:val="0"/>
    <w:rPr>
      <w:rFonts w:hint="eastAsia" w:ascii="宋体" w:hAnsi="宋体" w:eastAsia="宋体" w:cs="宋体"/>
      <w:color w:val="000000"/>
      <w:sz w:val="24"/>
      <w:szCs w:val="24"/>
      <w:u w:val="none"/>
    </w:rPr>
  </w:style>
  <w:style w:type="character" w:customStyle="1" w:styleId="25">
    <w:name w:val="font01"/>
    <w:basedOn w:val="13"/>
    <w:qFormat/>
    <w:uiPriority w:val="0"/>
    <w:rPr>
      <w:rFonts w:hint="eastAsia" w:ascii="宋体" w:hAnsi="宋体" w:eastAsia="宋体" w:cs="宋体"/>
      <w:color w:val="000000"/>
      <w:sz w:val="24"/>
      <w:szCs w:val="24"/>
      <w:u w:val="none"/>
      <w:vertAlign w:val="subscript"/>
    </w:rPr>
  </w:style>
  <w:style w:type="character" w:customStyle="1" w:styleId="26">
    <w:name w:val="font31"/>
    <w:basedOn w:val="13"/>
    <w:qFormat/>
    <w:uiPriority w:val="0"/>
    <w:rPr>
      <w:rFonts w:hint="eastAsia" w:ascii="宋体" w:hAnsi="宋体" w:eastAsia="宋体" w:cs="宋体"/>
      <w:color w:val="000000"/>
      <w:sz w:val="24"/>
      <w:szCs w:val="24"/>
      <w:u w:val="none"/>
    </w:rPr>
  </w:style>
  <w:style w:type="character" w:customStyle="1" w:styleId="27">
    <w:name w:val="font21"/>
    <w:basedOn w:val="13"/>
    <w:qFormat/>
    <w:uiPriority w:val="0"/>
    <w:rPr>
      <w:rFonts w:hint="default" w:ascii="Times New Roman" w:hAnsi="Times New Roman" w:cs="Times New Roman"/>
      <w:color w:val="000000"/>
      <w:sz w:val="24"/>
      <w:szCs w:val="24"/>
      <w:u w:val="none"/>
    </w:rPr>
  </w:style>
  <w:style w:type="paragraph" w:customStyle="1" w:styleId="28">
    <w:name w:val="二级无标题条"/>
    <w:basedOn w:val="1"/>
    <w:qFormat/>
    <w:uiPriority w:val="99"/>
  </w:style>
  <w:style w:type="paragraph" w:styleId="29">
    <w:name w:val="List Paragraph"/>
    <w:basedOn w:val="1"/>
    <w:unhideWhenUsed/>
    <w:qFormat/>
    <w:uiPriority w:val="99"/>
    <w:pPr>
      <w:ind w:firstLine="420" w:firstLineChars="200"/>
    </w:pPr>
  </w:style>
  <w:style w:type="character" w:customStyle="1" w:styleId="30">
    <w:name w:val="正文文本缩进 Char"/>
    <w:basedOn w:val="13"/>
    <w:link w:val="3"/>
    <w:qFormat/>
    <w:uiPriority w:val="99"/>
    <w:rPr>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Legend (Beijing) Limited</Company>
  <Pages>5</Pages>
  <Words>441</Words>
  <Characters>2519</Characters>
  <Lines>20</Lines>
  <Paragraphs>5</Paragraphs>
  <TotalTime>30</TotalTime>
  <ScaleCrop>false</ScaleCrop>
  <LinksUpToDate>false</LinksUpToDate>
  <CharactersWithSpaces>2955</CharactersWithSpaces>
  <Application>WPS Office_11.8.2.9695_F1E327BC-269C-435d-A152-05C5408002CA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2023-06-07T10:40:00Z</dcterms:created>
  <dc:creator>Legend User</dc:creator>
  <cp:lastModifiedBy>uos</cp:lastModifiedBy>
  <cp:lastPrinted>2022-08-22T09:54:00Z</cp:lastPrinted>
  <dcterms:modified xsi:type="dcterms:W3CDTF">2026-03-31T15:05:50Z</dcterms:modified>
  <dc:title>××产品质量监督抽查实施细则</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2052-11.8.2.9695</vt:lpwstr>
  </property>
  <property fmtid="{D5CDD505-2E9C-101B-9397-08002B2CF9AE}" pid="3" name="ICV">
    <vt:lpwstr>8AD521F9BC134E188FD9404B809F2067_13</vt:lpwstr>
  </property>
</Properties>
</file>