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DD0E">
      <w:pPr>
        <w:widowControl/>
        <w:spacing w:line="503" w:lineRule="atLeast"/>
        <w:jc w:val="center"/>
        <w:rPr>
          <w:rFonts w:ascii="宋体" w:hAnsi="宋体" w:eastAsia="宋体" w:cs="宋体"/>
          <w:kern w:val="0"/>
          <w:sz w:val="24"/>
          <w:szCs w:val="24"/>
        </w:rPr>
      </w:pPr>
      <w:r>
        <w:rPr>
          <w:rFonts w:hint="eastAsia" w:ascii="黑体" w:hAnsi="黑体" w:eastAsia="黑体" w:cs="宋体"/>
          <w:kern w:val="0"/>
          <w:sz w:val="29"/>
          <w:szCs w:val="29"/>
        </w:rPr>
        <w:t>淮南市其他食品（</w:t>
      </w:r>
      <w:r>
        <w:rPr>
          <w:rFonts w:hint="eastAsia" w:ascii="黑体" w:hAnsi="黑体" w:eastAsia="黑体" w:cs="宋体"/>
          <w:kern w:val="0"/>
          <w:sz w:val="29"/>
          <w:szCs w:val="29"/>
          <w:lang w:val="en-US" w:eastAsia="zh-CN"/>
        </w:rPr>
        <w:t>甜酒曲</w:t>
      </w:r>
      <w:r>
        <w:rPr>
          <w:rFonts w:hint="eastAsia" w:ascii="黑体" w:hAnsi="黑体" w:eastAsia="黑体" w:cs="宋体"/>
          <w:kern w:val="0"/>
          <w:sz w:val="29"/>
          <w:szCs w:val="29"/>
        </w:rPr>
        <w:t>）生产许可审查方案</w:t>
      </w:r>
    </w:p>
    <w:p w14:paraId="46341F8A">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第一节</w:t>
      </w:r>
      <w:r>
        <w:rPr>
          <w:rFonts w:hint="eastAsia" w:ascii="宋体" w:hAnsi="宋体" w:eastAsia="宋体" w:cs="宋体"/>
          <w:kern w:val="0"/>
          <w:sz w:val="29"/>
          <w:szCs w:val="29"/>
        </w:rPr>
        <w:t> </w:t>
      </w:r>
      <w:r>
        <w:rPr>
          <w:rFonts w:hint="eastAsia" w:ascii="黑体" w:hAnsi="黑体" w:eastAsia="黑体" w:cs="宋体"/>
          <w:kern w:val="0"/>
          <w:sz w:val="29"/>
          <w:szCs w:val="29"/>
        </w:rPr>
        <w:t>总</w:t>
      </w:r>
      <w:r>
        <w:rPr>
          <w:rFonts w:hint="eastAsia" w:ascii="宋体" w:hAnsi="宋体" w:eastAsia="宋体" w:cs="宋体"/>
          <w:kern w:val="0"/>
          <w:sz w:val="29"/>
          <w:szCs w:val="29"/>
        </w:rPr>
        <w:t> </w:t>
      </w:r>
      <w:r>
        <w:rPr>
          <w:rFonts w:hint="eastAsia" w:ascii="黑体" w:hAnsi="黑体" w:eastAsia="黑体" w:cs="宋体"/>
          <w:kern w:val="0"/>
          <w:sz w:val="29"/>
          <w:szCs w:val="29"/>
        </w:rPr>
        <w:t>则</w:t>
      </w:r>
    </w:p>
    <w:p w14:paraId="3397D745">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第一条　</w:t>
      </w:r>
      <w:r>
        <w:rPr>
          <w:rFonts w:hint="eastAsia" w:ascii="仿宋_GB2312" w:hAnsi="宋体" w:eastAsia="仿宋_GB2312" w:cs="宋体"/>
          <w:kern w:val="0"/>
          <w:sz w:val="29"/>
          <w:szCs w:val="29"/>
        </w:rPr>
        <w:t>为做好</w:t>
      </w:r>
      <w:bookmarkStart w:id="0" w:name="OLE_LINK4"/>
      <w:bookmarkStart w:id="1" w:name="OLE_LINK3"/>
      <w:r>
        <w:rPr>
          <w:rFonts w:hint="eastAsia" w:ascii="仿宋_GB2312" w:hAnsi="宋体" w:eastAsia="仿宋_GB2312" w:cs="宋体"/>
          <w:kern w:val="0"/>
          <w:sz w:val="29"/>
          <w:szCs w:val="29"/>
        </w:rPr>
        <w:t>淮南市</w:t>
      </w:r>
      <w:bookmarkEnd w:id="0"/>
      <w:bookmarkEnd w:id="1"/>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生产许可审查工作，依据《中华人民共和国食品安全法》及其实施条例、《食品生产许可管理办法》等有关法律法规、规章，制定淮南市其他食品（</w:t>
      </w:r>
      <w:r>
        <w:rPr>
          <w:rFonts w:hint="eastAsia" w:ascii="黑体" w:hAnsi="黑体" w:eastAsia="黑体" w:cs="宋体"/>
          <w:kern w:val="0"/>
          <w:sz w:val="29"/>
          <w:szCs w:val="29"/>
          <w:lang w:val="en-US" w:eastAsia="zh-CN"/>
        </w:rPr>
        <w:t>甜酒曲</w:t>
      </w:r>
      <w:r>
        <w:rPr>
          <w:rFonts w:hint="eastAsia" w:ascii="仿宋_GB2312" w:hAnsi="宋体" w:eastAsia="仿宋_GB2312" w:cs="宋体"/>
          <w:kern w:val="0"/>
          <w:sz w:val="29"/>
          <w:szCs w:val="29"/>
        </w:rPr>
        <w:t>）生产许可审查方案（以下简称方案）。</w:t>
      </w:r>
    </w:p>
    <w:p w14:paraId="4A16F6D5">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第二条　</w:t>
      </w:r>
      <w:r>
        <w:rPr>
          <w:rFonts w:hint="eastAsia" w:ascii="仿宋_GB2312" w:hAnsi="宋体" w:eastAsia="仿宋_GB2312" w:cs="宋体"/>
          <w:kern w:val="0"/>
          <w:sz w:val="29"/>
          <w:szCs w:val="29"/>
        </w:rPr>
        <w:t>本方案应与《食品生产许可审查通则》结合使用，适用于淮南市</w:t>
      </w: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生产许可审查工作。</w:t>
      </w:r>
    </w:p>
    <w:p w14:paraId="45EC8AA8">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第三条　</w:t>
      </w:r>
      <w:r>
        <w:rPr>
          <w:rFonts w:hint="eastAsia" w:ascii="仿宋_GB2312" w:hAnsi="宋体" w:eastAsia="仿宋_GB2312" w:cs="宋体"/>
          <w:kern w:val="0"/>
          <w:sz w:val="29"/>
          <w:szCs w:val="29"/>
        </w:rPr>
        <w:t>本方案正文中引用的文件、标准通过引用成为本方案的内容。凡是引用文件、标准，其最新版本</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lang w:val="en-US" w:eastAsia="zh-CN"/>
        </w:rPr>
        <w:t>含修改单</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rPr>
        <w:t>适用于本方案。</w:t>
      </w:r>
    </w:p>
    <w:p w14:paraId="041F4129">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第二节</w:t>
      </w:r>
      <w:r>
        <w:rPr>
          <w:rFonts w:hint="eastAsia" w:ascii="宋体" w:hAnsi="宋体" w:eastAsia="宋体" w:cs="宋体"/>
          <w:kern w:val="0"/>
          <w:sz w:val="29"/>
          <w:szCs w:val="29"/>
        </w:rPr>
        <w:t> </w:t>
      </w:r>
      <w:r>
        <w:rPr>
          <w:rFonts w:hint="eastAsia" w:ascii="黑体" w:hAnsi="黑体" w:eastAsia="黑体" w:cs="宋体"/>
          <w:kern w:val="0"/>
          <w:sz w:val="29"/>
          <w:szCs w:val="29"/>
        </w:rPr>
        <w:t>许可范围</w:t>
      </w:r>
    </w:p>
    <w:p w14:paraId="01873910">
      <w:pPr>
        <w:widowControl/>
        <w:numPr>
          <w:ilvl w:val="0"/>
          <w:numId w:val="1"/>
        </w:numPr>
        <w:spacing w:line="503" w:lineRule="atLeast"/>
        <w:ind w:firstLine="58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rPr>
        <w:t>实施食品生产许</w:t>
      </w:r>
      <w:bookmarkStart w:id="2" w:name="OLE_LINK32"/>
      <w:bookmarkStart w:id="3" w:name="OLE_LINK31"/>
      <w:r>
        <w:rPr>
          <w:rFonts w:hint="eastAsia" w:ascii="仿宋_GB2312" w:hAnsi="宋体" w:eastAsia="仿宋_GB2312" w:cs="宋体"/>
          <w:kern w:val="0"/>
          <w:sz w:val="29"/>
          <w:szCs w:val="29"/>
        </w:rPr>
        <w:t>可</w:t>
      </w:r>
      <w:bookmarkStart w:id="4" w:name="OLE_LINK30"/>
      <w:bookmarkStart w:id="5" w:name="OLE_LINK27"/>
      <w:r>
        <w:rPr>
          <w:rFonts w:hint="eastAsia" w:ascii="仿宋_GB2312" w:hAnsi="宋体" w:eastAsia="仿宋_GB2312" w:cs="宋体"/>
          <w:kern w:val="0"/>
          <w:sz w:val="29"/>
          <w:szCs w:val="29"/>
        </w:rPr>
        <w:t>管理的</w:t>
      </w:r>
      <w:bookmarkEnd w:id="2"/>
      <w:bookmarkEnd w:id="3"/>
      <w:bookmarkEnd w:id="4"/>
      <w:bookmarkEnd w:id="5"/>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，是指以</w:t>
      </w:r>
      <w:r>
        <w:rPr>
          <w:rFonts w:hint="eastAsia" w:ascii="仿宋_GB2312" w:hAnsi="宋体" w:eastAsia="仿宋_GB2312" w:cs="宋体"/>
          <w:kern w:val="0"/>
          <w:sz w:val="29"/>
          <w:szCs w:val="29"/>
          <w:lang w:val="en-US" w:eastAsia="zh-CN"/>
        </w:rPr>
        <w:t>大米和玉米</w:t>
      </w:r>
      <w:r>
        <w:rPr>
          <w:rFonts w:hint="eastAsia" w:ascii="仿宋_GB2312" w:hAnsi="宋体" w:eastAsia="仿宋_GB2312" w:cs="宋体"/>
          <w:kern w:val="0"/>
          <w:sz w:val="29"/>
          <w:szCs w:val="29"/>
        </w:rPr>
        <w:t>为</w:t>
      </w:r>
      <w:r>
        <w:rPr>
          <w:rFonts w:hint="eastAsia" w:ascii="仿宋_GB2312" w:hAnsi="宋体" w:eastAsia="仿宋_GB2312" w:cs="宋体"/>
          <w:kern w:val="0"/>
          <w:sz w:val="29"/>
          <w:szCs w:val="29"/>
          <w:lang w:val="en-US" w:eastAsia="zh-CN"/>
        </w:rPr>
        <w:t>主要</w:t>
      </w:r>
      <w:r>
        <w:rPr>
          <w:rFonts w:hint="eastAsia" w:ascii="仿宋_GB2312" w:hAnsi="宋体" w:eastAsia="仿宋_GB2312" w:cs="宋体"/>
          <w:kern w:val="0"/>
          <w:sz w:val="29"/>
          <w:szCs w:val="29"/>
        </w:rPr>
        <w:t>原料</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lang w:val="en-US" w:eastAsia="zh-CN"/>
        </w:rPr>
        <w:t>添加或不添加麸皮等辅料</w:t>
      </w:r>
      <w:r>
        <w:rPr>
          <w:rFonts w:hint="eastAsia" w:ascii="仿宋_GB2312" w:hAnsi="宋体" w:eastAsia="仿宋_GB2312" w:cs="宋体"/>
          <w:kern w:val="0"/>
          <w:sz w:val="29"/>
          <w:szCs w:val="29"/>
        </w:rPr>
        <w:t>，经</w:t>
      </w:r>
      <w:r>
        <w:rPr>
          <w:rFonts w:hint="eastAsia" w:ascii="仿宋_GB2312" w:hAnsi="宋体" w:eastAsia="仿宋_GB2312" w:cs="宋体"/>
          <w:kern w:val="0"/>
          <w:sz w:val="29"/>
          <w:szCs w:val="29"/>
          <w:lang w:val="en-US" w:eastAsia="zh-CN"/>
        </w:rPr>
        <w:t>人工接种根霉属、酿酒酵母等一种或多种微生物或传统自然接种，经过通风培养、干燥、包装</w:t>
      </w:r>
      <w:r>
        <w:rPr>
          <w:rFonts w:hint="eastAsia" w:ascii="仿宋_GB2312" w:hAnsi="宋体" w:eastAsia="仿宋_GB2312" w:cs="宋体"/>
          <w:kern w:val="0"/>
          <w:sz w:val="29"/>
          <w:szCs w:val="29"/>
        </w:rPr>
        <w:t>等工艺制</w:t>
      </w:r>
      <w:r>
        <w:rPr>
          <w:rFonts w:hint="eastAsia" w:ascii="仿宋_GB2312" w:hAnsi="宋体" w:eastAsia="仿宋_GB2312" w:cs="宋体"/>
          <w:kern w:val="0"/>
          <w:sz w:val="29"/>
          <w:szCs w:val="29"/>
          <w:lang w:val="en-US" w:eastAsia="zh-CN"/>
        </w:rPr>
        <w:t>得的发酵剂</w:t>
      </w:r>
      <w:r>
        <w:rPr>
          <w:rFonts w:hint="eastAsia" w:ascii="仿宋_GB2312" w:hAnsi="宋体" w:eastAsia="仿宋_GB2312" w:cs="宋体"/>
          <w:kern w:val="0"/>
          <w:sz w:val="29"/>
          <w:szCs w:val="29"/>
        </w:rPr>
        <w:t>。</w:t>
      </w:r>
    </w:p>
    <w:p w14:paraId="72BD6C27">
      <w:pPr>
        <w:widowControl/>
        <w:numPr>
          <w:ilvl w:val="0"/>
          <w:numId w:val="0"/>
        </w:numPr>
        <w:spacing w:line="503" w:lineRule="atLeast"/>
        <w:ind w:firstLine="580" w:firstLineChars="200"/>
        <w:jc w:val="left"/>
        <w:rPr>
          <w:rFonts w:ascii="仿宋_GB2312" w:hAnsi="宋体" w:eastAsia="仿宋_GB2312" w:cs="宋体"/>
          <w:kern w:val="0"/>
          <w:sz w:val="29"/>
          <w:szCs w:val="29"/>
        </w:rPr>
      </w:pPr>
      <w:r>
        <w:rPr>
          <w:rFonts w:hint="eastAsia" w:ascii="仿宋_GB2312" w:hAnsi="宋体" w:eastAsia="仿宋_GB2312" w:cs="宋体"/>
          <w:kern w:val="0"/>
          <w:sz w:val="29"/>
          <w:szCs w:val="29"/>
        </w:rPr>
        <w:t>仅有包装场地、工序、设备，没有完整生产工艺条件的，不予生产许可。</w:t>
      </w:r>
    </w:p>
    <w:p w14:paraId="5154C7FB">
      <w:pPr>
        <w:widowControl/>
        <w:numPr>
          <w:ilvl w:val="0"/>
          <w:numId w:val="1"/>
        </w:numPr>
        <w:spacing w:line="503" w:lineRule="atLeast"/>
        <w:ind w:left="0" w:leftChars="0" w:firstLine="584" w:firstLineChars="0"/>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的申证食品类别为其他食品，其类别名称为其他食品，类别编号3101。在生产许可证上应当注明产品相应的食品类别、类别编号、类别名称及品种明细，即</w:t>
      </w:r>
      <w:bookmarkStart w:id="6" w:name="OLE_LINK21"/>
      <w:bookmarkStart w:id="7" w:name="OLE_LINK22"/>
      <w:r>
        <w:rPr>
          <w:rFonts w:hint="eastAsia" w:ascii="仿宋_GB2312" w:hAnsi="宋体" w:eastAsia="仿宋_GB2312" w:cs="宋体"/>
          <w:kern w:val="0"/>
          <w:sz w:val="29"/>
          <w:szCs w:val="29"/>
        </w:rPr>
        <w:t>其他食品</w:t>
      </w:r>
      <w:bookmarkEnd w:id="6"/>
      <w:bookmarkEnd w:id="7"/>
      <w:r>
        <w:rPr>
          <w:rFonts w:hint="eastAsia" w:ascii="仿宋_GB2312" w:hAnsi="宋体" w:eastAsia="仿宋_GB2312" w:cs="宋体"/>
          <w:kern w:val="0"/>
          <w:sz w:val="29"/>
          <w:szCs w:val="29"/>
        </w:rPr>
        <w:t>[其他食品（</w:t>
      </w: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）]。品种明细应当按终产品形态标明产品状态（固态）。</w:t>
      </w:r>
    </w:p>
    <w:p w14:paraId="5F33C633">
      <w:pPr>
        <w:widowControl/>
        <w:numPr>
          <w:ilvl w:val="0"/>
          <w:numId w:val="0"/>
        </w:numPr>
        <w:spacing w:line="503" w:lineRule="atLeast"/>
        <w:ind w:left="584" w:leftChars="0"/>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本产品不允许分装。</w:t>
      </w:r>
    </w:p>
    <w:p w14:paraId="2B1246DB">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第三节</w:t>
      </w:r>
      <w:r>
        <w:rPr>
          <w:rFonts w:hint="eastAsia" w:ascii="宋体" w:hAnsi="宋体" w:eastAsia="宋体" w:cs="宋体"/>
          <w:kern w:val="0"/>
          <w:sz w:val="29"/>
          <w:szCs w:val="29"/>
        </w:rPr>
        <w:t> </w:t>
      </w:r>
      <w:r>
        <w:rPr>
          <w:rFonts w:hint="eastAsia" w:ascii="黑体" w:hAnsi="黑体" w:eastAsia="黑体" w:cs="宋体"/>
          <w:kern w:val="0"/>
          <w:sz w:val="29"/>
          <w:szCs w:val="29"/>
        </w:rPr>
        <w:t>生产场所核查</w:t>
      </w:r>
    </w:p>
    <w:p w14:paraId="5BD22703">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第六条　</w:t>
      </w:r>
      <w:r>
        <w:rPr>
          <w:rFonts w:hint="eastAsia" w:ascii="仿宋_GB2312" w:hAnsi="宋体" w:eastAsia="仿宋_GB2312" w:cs="宋体"/>
          <w:kern w:val="0"/>
          <w:sz w:val="29"/>
          <w:szCs w:val="29"/>
        </w:rPr>
        <w:t>厂房选址和设计、内部建筑结构、辅助生产设施应当符合《食品安全国家标准 食品生产通用卫生规范》（GB 14881）的相关规定。</w:t>
      </w:r>
    </w:p>
    <w:p w14:paraId="35FD8820">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第七条　</w:t>
      </w:r>
      <w:r>
        <w:rPr>
          <w:rFonts w:hint="eastAsia" w:ascii="仿宋_GB2312" w:hAnsi="宋体" w:eastAsia="仿宋_GB2312" w:cs="宋体"/>
          <w:kern w:val="0"/>
          <w:sz w:val="29"/>
          <w:szCs w:val="29"/>
        </w:rPr>
        <w:t>生产车间及辅助设施的设置应按生产流程需要及卫生要求，有序合理布局，根据生产流程、生产操作需要和清洁度的要求进行隔离，避免交叉污染。车间内应区分清洁作业区、准清洁作业区和一般作业区，</w:t>
      </w: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生产车间及清洁作业区具体划分见表1。</w:t>
      </w:r>
    </w:p>
    <w:p w14:paraId="781FC8DC">
      <w:pPr>
        <w:widowControl/>
        <w:spacing w:line="503" w:lineRule="atLeast"/>
        <w:jc w:val="center"/>
        <w:rPr>
          <w:rFonts w:ascii="宋体" w:hAnsi="宋体" w:eastAsia="宋体" w:cs="宋体"/>
          <w:kern w:val="0"/>
          <w:sz w:val="24"/>
          <w:szCs w:val="24"/>
        </w:rPr>
      </w:pPr>
      <w:r>
        <w:rPr>
          <w:rFonts w:hint="eastAsia" w:ascii="仿宋_GB2312" w:hAnsi="宋体" w:eastAsia="仿宋_GB2312" w:cs="宋体"/>
          <w:kern w:val="0"/>
          <w:sz w:val="29"/>
          <w:szCs w:val="29"/>
        </w:rPr>
        <w:t>表1 </w:t>
      </w: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生产车间及清洁作业区划分</w:t>
      </w:r>
    </w:p>
    <w:tbl>
      <w:tblPr>
        <w:tblStyle w:val="7"/>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832"/>
        <w:gridCol w:w="1399"/>
        <w:gridCol w:w="1612"/>
        <w:gridCol w:w="2192"/>
        <w:gridCol w:w="2461"/>
      </w:tblGrid>
      <w:tr w14:paraId="5DF189D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832" w:type="dxa"/>
            <w:tcBorders>
              <w:top w:val="single" w:color="auto" w:sz="6" w:space="0"/>
              <w:left w:val="single" w:color="auto" w:sz="6" w:space="0"/>
              <w:bottom w:val="single" w:color="auto" w:sz="6" w:space="0"/>
              <w:right w:val="single" w:color="auto" w:sz="6" w:space="0"/>
            </w:tcBorders>
            <w:tcMar>
              <w:top w:w="0" w:type="dxa"/>
              <w:left w:w="95" w:type="dxa"/>
              <w:bottom w:w="0" w:type="dxa"/>
              <w:right w:w="95" w:type="dxa"/>
            </w:tcMar>
            <w:vAlign w:val="center"/>
          </w:tcPr>
          <w:p w14:paraId="3BBA9F33">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序号</w:t>
            </w:r>
          </w:p>
        </w:tc>
        <w:tc>
          <w:tcPr>
            <w:tcW w:w="1399" w:type="dxa"/>
            <w:tcBorders>
              <w:top w:val="single" w:color="auto" w:sz="6" w:space="0"/>
              <w:left w:val="nil"/>
              <w:bottom w:val="single" w:color="auto" w:sz="6" w:space="0"/>
              <w:right w:val="single" w:color="auto" w:sz="6" w:space="0"/>
            </w:tcBorders>
            <w:tcMar>
              <w:top w:w="0" w:type="dxa"/>
              <w:left w:w="95" w:type="dxa"/>
              <w:bottom w:w="0" w:type="dxa"/>
              <w:right w:w="95" w:type="dxa"/>
            </w:tcMar>
            <w:vAlign w:val="center"/>
          </w:tcPr>
          <w:p w14:paraId="3EBAEF54">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品种名称</w:t>
            </w:r>
          </w:p>
        </w:tc>
        <w:tc>
          <w:tcPr>
            <w:tcW w:w="1612" w:type="dxa"/>
            <w:tcBorders>
              <w:top w:val="single" w:color="auto" w:sz="6" w:space="0"/>
              <w:left w:val="nil"/>
              <w:bottom w:val="single" w:color="auto" w:sz="6" w:space="0"/>
              <w:right w:val="single" w:color="auto" w:sz="6" w:space="0"/>
            </w:tcBorders>
            <w:tcMar>
              <w:top w:w="0" w:type="dxa"/>
              <w:left w:w="95" w:type="dxa"/>
              <w:bottom w:w="0" w:type="dxa"/>
              <w:right w:w="95" w:type="dxa"/>
            </w:tcMar>
            <w:vAlign w:val="center"/>
          </w:tcPr>
          <w:p w14:paraId="6497826E">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清洁作业区</w:t>
            </w:r>
          </w:p>
        </w:tc>
        <w:tc>
          <w:tcPr>
            <w:tcW w:w="2192" w:type="dxa"/>
            <w:tcBorders>
              <w:top w:val="single" w:color="auto" w:sz="6" w:space="0"/>
              <w:left w:val="nil"/>
              <w:bottom w:val="single" w:color="auto" w:sz="6" w:space="0"/>
              <w:right w:val="single" w:color="auto" w:sz="6" w:space="0"/>
            </w:tcBorders>
            <w:tcMar>
              <w:top w:w="0" w:type="dxa"/>
              <w:left w:w="95" w:type="dxa"/>
              <w:bottom w:w="0" w:type="dxa"/>
              <w:right w:w="95" w:type="dxa"/>
            </w:tcMar>
            <w:vAlign w:val="center"/>
          </w:tcPr>
          <w:p w14:paraId="2536ED9D">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准清洁作业区</w:t>
            </w:r>
          </w:p>
        </w:tc>
        <w:tc>
          <w:tcPr>
            <w:tcW w:w="2461" w:type="dxa"/>
            <w:tcBorders>
              <w:top w:val="single" w:color="auto" w:sz="6" w:space="0"/>
              <w:left w:val="nil"/>
              <w:bottom w:val="single" w:color="auto" w:sz="6" w:space="0"/>
              <w:right w:val="single" w:color="auto" w:sz="6" w:space="0"/>
            </w:tcBorders>
            <w:tcMar>
              <w:top w:w="0" w:type="dxa"/>
              <w:left w:w="95" w:type="dxa"/>
              <w:bottom w:w="0" w:type="dxa"/>
              <w:right w:w="95" w:type="dxa"/>
            </w:tcMar>
            <w:vAlign w:val="center"/>
          </w:tcPr>
          <w:p w14:paraId="2586A75A">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一般作业区</w:t>
            </w:r>
          </w:p>
        </w:tc>
      </w:tr>
      <w:tr w14:paraId="138076F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832" w:type="dxa"/>
            <w:tcBorders>
              <w:top w:val="nil"/>
              <w:left w:val="single" w:color="auto" w:sz="6" w:space="0"/>
              <w:bottom w:val="single" w:color="auto" w:sz="6" w:space="0"/>
              <w:right w:val="single" w:color="auto" w:sz="6" w:space="0"/>
            </w:tcBorders>
            <w:tcMar>
              <w:top w:w="0" w:type="dxa"/>
              <w:left w:w="95" w:type="dxa"/>
              <w:bottom w:w="0" w:type="dxa"/>
              <w:right w:w="95" w:type="dxa"/>
            </w:tcMar>
            <w:vAlign w:val="center"/>
          </w:tcPr>
          <w:p w14:paraId="3707D5FF">
            <w:pPr>
              <w:widowControl/>
              <w:spacing w:line="367" w:lineRule="atLeast"/>
              <w:jc w:val="center"/>
              <w:rPr>
                <w:rFonts w:ascii="宋体" w:hAnsi="宋体" w:eastAsia="宋体" w:cs="宋体"/>
                <w:kern w:val="0"/>
                <w:sz w:val="24"/>
                <w:szCs w:val="24"/>
              </w:rPr>
            </w:pPr>
            <w:r>
              <w:rPr>
                <w:rFonts w:hint="eastAsia" w:ascii="仿宋_GB2312" w:hAnsi="宋体" w:eastAsia="仿宋_GB2312" w:cs="宋体"/>
                <w:kern w:val="0"/>
                <w:sz w:val="26"/>
                <w:szCs w:val="26"/>
              </w:rPr>
              <w:t>1</w:t>
            </w:r>
          </w:p>
        </w:tc>
        <w:tc>
          <w:tcPr>
            <w:tcW w:w="1399" w:type="dxa"/>
            <w:tcBorders>
              <w:top w:val="nil"/>
              <w:left w:val="nil"/>
              <w:bottom w:val="single" w:color="auto" w:sz="6" w:space="0"/>
              <w:right w:val="single" w:color="auto" w:sz="6" w:space="0"/>
            </w:tcBorders>
            <w:tcMar>
              <w:top w:w="0" w:type="dxa"/>
              <w:left w:w="95" w:type="dxa"/>
              <w:bottom w:w="0" w:type="dxa"/>
              <w:right w:w="95" w:type="dxa"/>
            </w:tcMar>
            <w:vAlign w:val="center"/>
          </w:tcPr>
          <w:p w14:paraId="6249113C">
            <w:pPr>
              <w:widowControl/>
              <w:spacing w:line="367" w:lineRule="atLeast"/>
              <w:jc w:val="center"/>
              <w:rPr>
                <w:rFonts w:ascii="宋体" w:hAnsi="宋体" w:eastAsia="宋体" w:cs="宋体"/>
                <w:kern w:val="0"/>
                <w:szCs w:val="21"/>
              </w:rPr>
            </w:pPr>
            <w:r>
              <w:rPr>
                <w:rFonts w:hint="eastAsia" w:ascii="仿宋_GB2312" w:hAnsi="宋体" w:eastAsia="仿宋_GB2312" w:cs="宋体"/>
                <w:kern w:val="0"/>
                <w:szCs w:val="21"/>
                <w:lang w:val="en-US" w:eastAsia="zh-CN"/>
              </w:rPr>
              <w:t>甜酒曲</w:t>
            </w:r>
            <w:r>
              <w:rPr>
                <w:rFonts w:hint="eastAsia" w:ascii="仿宋_GB2312" w:hAnsi="宋体" w:eastAsia="仿宋_GB2312" w:cs="宋体"/>
                <w:kern w:val="0"/>
                <w:szCs w:val="21"/>
              </w:rPr>
              <w:t>（固态）</w:t>
            </w:r>
          </w:p>
        </w:tc>
        <w:tc>
          <w:tcPr>
            <w:tcW w:w="1612" w:type="dxa"/>
            <w:tcBorders>
              <w:top w:val="nil"/>
              <w:left w:val="nil"/>
              <w:bottom w:val="single" w:color="auto" w:sz="6" w:space="0"/>
              <w:right w:val="single" w:color="auto" w:sz="6" w:space="0"/>
            </w:tcBorders>
            <w:tcMar>
              <w:top w:w="0" w:type="dxa"/>
              <w:left w:w="95" w:type="dxa"/>
              <w:bottom w:w="0" w:type="dxa"/>
              <w:right w:w="95" w:type="dxa"/>
            </w:tcMar>
            <w:vAlign w:val="center"/>
          </w:tcPr>
          <w:p w14:paraId="3C394BE7">
            <w:pPr>
              <w:widowControl/>
              <w:spacing w:line="367" w:lineRule="atLeast"/>
              <w:jc w:val="center"/>
              <w:rPr>
                <w:rFonts w:ascii="宋体" w:hAnsi="宋体" w:eastAsia="宋体" w:cs="宋体"/>
                <w:kern w:val="0"/>
                <w:szCs w:val="21"/>
              </w:rPr>
            </w:pPr>
            <w:r>
              <w:rPr>
                <w:rFonts w:hint="eastAsia" w:ascii="仿宋_GB2312" w:hAnsi="宋体" w:eastAsia="仿宋_GB2312" w:cs="宋体"/>
                <w:kern w:val="0"/>
                <w:szCs w:val="21"/>
              </w:rPr>
              <w:t>干</w:t>
            </w:r>
            <w:r>
              <w:rPr>
                <w:rFonts w:hint="eastAsia" w:ascii="仿宋_GB2312" w:hAnsi="宋体" w:eastAsia="仿宋_GB2312" w:cs="宋体"/>
                <w:kern w:val="0"/>
                <w:szCs w:val="21"/>
                <w:lang w:val="en-US" w:eastAsia="zh-CN"/>
              </w:rPr>
              <w:t>燥间</w:t>
            </w:r>
            <w:r>
              <w:rPr>
                <w:rFonts w:hint="eastAsia" w:ascii="仿宋_GB2312" w:hAnsi="宋体" w:eastAsia="仿宋_GB2312" w:cs="宋体"/>
                <w:kern w:val="0"/>
                <w:szCs w:val="21"/>
              </w:rPr>
              <w:t>、内包装间、半成品暂存间（如有需要）</w:t>
            </w:r>
          </w:p>
        </w:tc>
        <w:tc>
          <w:tcPr>
            <w:tcW w:w="2192" w:type="dxa"/>
            <w:tcBorders>
              <w:top w:val="nil"/>
              <w:left w:val="nil"/>
              <w:bottom w:val="single" w:color="auto" w:sz="6" w:space="0"/>
              <w:right w:val="single" w:color="auto" w:sz="6" w:space="0"/>
            </w:tcBorders>
            <w:tcMar>
              <w:top w:w="0" w:type="dxa"/>
              <w:left w:w="95" w:type="dxa"/>
              <w:bottom w:w="0" w:type="dxa"/>
              <w:right w:w="95" w:type="dxa"/>
            </w:tcMar>
            <w:vAlign w:val="center"/>
          </w:tcPr>
          <w:p w14:paraId="27701191">
            <w:pPr>
              <w:widowControl/>
              <w:spacing w:line="367" w:lineRule="atLeast"/>
              <w:jc w:val="left"/>
              <w:rPr>
                <w:rFonts w:hint="default" w:ascii="宋体" w:hAnsi="宋体" w:eastAsia="仿宋_GB2312" w:cs="宋体"/>
                <w:kern w:val="0"/>
                <w:szCs w:val="21"/>
                <w:lang w:val="en-US" w:eastAsia="zh-CN"/>
              </w:rPr>
            </w:pPr>
            <w:r>
              <w:rPr>
                <w:rFonts w:hint="eastAsia" w:ascii="仿宋_GB2312" w:hAnsi="宋体" w:eastAsia="仿宋_GB2312" w:cs="宋体"/>
                <w:kern w:val="0"/>
                <w:szCs w:val="21"/>
                <w:lang w:val="en-US" w:eastAsia="zh-CN"/>
              </w:rPr>
              <w:t>配</w:t>
            </w:r>
            <w:r>
              <w:rPr>
                <w:rFonts w:hint="eastAsia" w:ascii="仿宋_GB2312" w:hAnsi="宋体" w:eastAsia="仿宋_GB2312" w:cs="宋体"/>
                <w:kern w:val="0"/>
                <w:szCs w:val="21"/>
              </w:rPr>
              <w:t>料间、原辅料脱包清洁间</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混合搅拌间、制作成型间、发酵间</w:t>
            </w:r>
            <w:r>
              <w:rPr>
                <w:rFonts w:hint="eastAsia" w:ascii="仿宋_GB2312" w:hAnsi="宋体" w:eastAsia="仿宋_GB2312" w:cs="宋体"/>
                <w:kern w:val="0"/>
                <w:szCs w:val="21"/>
              </w:rPr>
              <w:t>、内包材</w:t>
            </w:r>
            <w:r>
              <w:rPr>
                <w:rFonts w:hint="eastAsia" w:ascii="仿宋_GB2312" w:hAnsi="宋体" w:eastAsia="仿宋_GB2312" w:cs="宋体"/>
                <w:kern w:val="0"/>
                <w:szCs w:val="21"/>
                <w:lang w:val="en-US" w:eastAsia="zh-CN"/>
              </w:rPr>
              <w:t>缓冲</w:t>
            </w:r>
            <w:r>
              <w:rPr>
                <w:rFonts w:hint="eastAsia" w:ascii="仿宋_GB2312" w:hAnsi="宋体" w:eastAsia="仿宋_GB2312" w:cs="宋体"/>
                <w:kern w:val="0"/>
                <w:szCs w:val="21"/>
              </w:rPr>
              <w:t>消毒间</w:t>
            </w:r>
          </w:p>
        </w:tc>
        <w:tc>
          <w:tcPr>
            <w:tcW w:w="2461" w:type="dxa"/>
            <w:tcBorders>
              <w:top w:val="nil"/>
              <w:left w:val="nil"/>
              <w:bottom w:val="single" w:color="auto" w:sz="6" w:space="0"/>
              <w:right w:val="single" w:color="auto" w:sz="6" w:space="0"/>
            </w:tcBorders>
            <w:tcMar>
              <w:top w:w="0" w:type="dxa"/>
              <w:left w:w="95" w:type="dxa"/>
              <w:bottom w:w="0" w:type="dxa"/>
              <w:right w:w="95" w:type="dxa"/>
            </w:tcMar>
            <w:vAlign w:val="center"/>
          </w:tcPr>
          <w:p w14:paraId="79668D95">
            <w:pPr>
              <w:widowControl/>
              <w:spacing w:line="367" w:lineRule="atLeast"/>
              <w:jc w:val="center"/>
              <w:rPr>
                <w:rFonts w:ascii="宋体" w:hAnsi="宋体" w:eastAsia="宋体" w:cs="宋体"/>
                <w:kern w:val="0"/>
                <w:szCs w:val="21"/>
              </w:rPr>
            </w:pPr>
            <w:r>
              <w:rPr>
                <w:rFonts w:ascii="仿宋_GB2312" w:hAnsi="宋体" w:eastAsia="仿宋_GB2312" w:cs="宋体"/>
                <w:kern w:val="0"/>
                <w:szCs w:val="21"/>
              </w:rPr>
              <w:t>原辅料仓库、包装材料仓库、成品仓库、外包装车间、化学品仓库</w:t>
            </w:r>
          </w:p>
        </w:tc>
      </w:tr>
    </w:tbl>
    <w:p w14:paraId="6BE9BD2B">
      <w:pPr>
        <w:widowControl/>
        <w:spacing w:line="503" w:lineRule="atLeast"/>
        <w:ind w:firstLine="584"/>
        <w:jc w:val="left"/>
        <w:rPr>
          <w:rFonts w:ascii="宋体" w:hAnsi="宋体" w:eastAsia="宋体" w:cs="宋体"/>
          <w:kern w:val="0"/>
          <w:sz w:val="24"/>
          <w:szCs w:val="24"/>
        </w:rPr>
      </w:pP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（固态）中的半成品暂存间，指裸露待包装的半成品贮存区域。</w:t>
      </w:r>
    </w:p>
    <w:p w14:paraId="635151E4">
      <w:pPr>
        <w:widowControl/>
        <w:spacing w:line="503" w:lineRule="atLeast"/>
        <w:ind w:firstLine="584"/>
        <w:jc w:val="left"/>
        <w:rPr>
          <w:rFonts w:ascii="仿宋_GB2312" w:hAnsi="宋体" w:eastAsia="仿宋_GB2312" w:cs="宋体"/>
          <w:kern w:val="0"/>
          <w:sz w:val="29"/>
          <w:szCs w:val="29"/>
        </w:rPr>
      </w:pPr>
      <w:r>
        <w:rPr>
          <w:rFonts w:hint="eastAsia" w:ascii="黑体" w:hAnsi="黑体" w:eastAsia="黑体" w:cs="宋体"/>
          <w:kern w:val="0"/>
          <w:sz w:val="29"/>
          <w:szCs w:val="29"/>
        </w:rPr>
        <w:t>第八条　</w:t>
      </w:r>
      <w:r>
        <w:rPr>
          <w:rFonts w:hint="eastAsia" w:ascii="仿宋_GB2312" w:hAnsi="宋体" w:eastAsia="仿宋_GB2312" w:cs="宋体"/>
          <w:kern w:val="0"/>
          <w:sz w:val="29"/>
          <w:szCs w:val="29"/>
        </w:rPr>
        <w:t>生产场所或生产车间入口处应设置更衣室，应配置足够数量的非手动式洗手设施、干手设施、消毒设施、换鞋</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rPr>
        <w:t>穿戴鞋套</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rPr>
        <w:t>设施或工作鞋靴消毒设施。临近洗手设施的显著位置应标示简明易懂的洗手方法。(一般作业区通常无此要求，准清洁作业区按照这个条件配置）。</w:t>
      </w:r>
    </w:p>
    <w:p w14:paraId="71BDBDAF">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第九条　</w:t>
      </w:r>
      <w:r>
        <w:rPr>
          <w:rFonts w:hint="eastAsia" w:ascii="仿宋_GB2312" w:hAnsi="宋体" w:eastAsia="仿宋_GB2312" w:cs="宋体"/>
          <w:kern w:val="0"/>
          <w:sz w:val="29"/>
          <w:szCs w:val="29"/>
        </w:rPr>
        <w:t>清洁作业区入口应设置二次更衣区，配置足够数量的非手动式洗手、干手</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rPr>
        <w:t>消毒设施，换鞋（穿戴鞋套）</w:t>
      </w:r>
      <w:r>
        <w:rPr>
          <w:rFonts w:hint="eastAsia" w:ascii="仿宋_GB2312" w:hAnsi="宋体" w:eastAsia="仿宋_GB2312" w:cs="宋体"/>
          <w:kern w:val="0"/>
          <w:sz w:val="29"/>
          <w:szCs w:val="29"/>
          <w:lang w:eastAsia="zh-CN"/>
        </w:rPr>
        <w:t>设施</w:t>
      </w:r>
      <w:r>
        <w:rPr>
          <w:rFonts w:hint="eastAsia" w:ascii="仿宋_GB2312" w:hAnsi="宋体" w:eastAsia="仿宋_GB2312" w:cs="宋体"/>
          <w:kern w:val="0"/>
          <w:sz w:val="29"/>
          <w:szCs w:val="29"/>
        </w:rPr>
        <w:t>或工作鞋靴消毒设施。临近洗手设施的显著位置应标示简明易懂的洗手方法。</w:t>
      </w:r>
    </w:p>
    <w:p w14:paraId="1A2BD347">
      <w:pPr>
        <w:widowControl/>
        <w:spacing w:line="503" w:lineRule="atLeast"/>
        <w:ind w:firstLine="584"/>
        <w:jc w:val="left"/>
        <w:rPr>
          <w:rFonts w:ascii="仿宋_GB2312" w:hAnsi="宋体" w:eastAsia="仿宋_GB2312" w:cs="宋体"/>
          <w:kern w:val="0"/>
          <w:sz w:val="29"/>
          <w:szCs w:val="29"/>
        </w:rPr>
      </w:pPr>
      <w:r>
        <w:rPr>
          <w:rFonts w:hint="eastAsia" w:ascii="黑体" w:hAnsi="黑体" w:eastAsia="黑体" w:cs="宋体"/>
          <w:kern w:val="0"/>
          <w:sz w:val="29"/>
          <w:szCs w:val="29"/>
        </w:rPr>
        <w:t>第十条　</w:t>
      </w:r>
      <w:r>
        <w:rPr>
          <w:rFonts w:hint="eastAsia" w:ascii="仿宋_GB2312" w:hAnsi="宋体" w:eastAsia="仿宋_GB2312" w:cs="宋体"/>
          <w:kern w:val="0"/>
          <w:sz w:val="29"/>
          <w:szCs w:val="29"/>
        </w:rPr>
        <w:t>清洁作业区和准清洁作业区出入应有合理的限制和控制，进入清洁作业区和准清洁作业区的原辅料、包装材料等应有清洁</w:t>
      </w:r>
      <w:r>
        <w:rPr>
          <w:rFonts w:hint="eastAsia" w:ascii="仿宋_GB2312" w:hAnsi="宋体" w:eastAsia="仿宋_GB2312" w:cs="宋体"/>
          <w:kern w:val="0"/>
          <w:sz w:val="29"/>
          <w:szCs w:val="29"/>
          <w:lang w:val="en-US" w:eastAsia="zh-CN"/>
        </w:rPr>
        <w:t>消毒</w:t>
      </w:r>
      <w:r>
        <w:rPr>
          <w:rFonts w:hint="eastAsia" w:ascii="仿宋_GB2312" w:hAnsi="宋体" w:eastAsia="仿宋_GB2312" w:cs="宋体"/>
          <w:kern w:val="0"/>
          <w:sz w:val="29"/>
          <w:szCs w:val="29"/>
        </w:rPr>
        <w:t>措施</w:t>
      </w:r>
      <w:r>
        <w:rPr>
          <w:rFonts w:hint="eastAsia" w:ascii="仿宋_GB2312" w:hAnsi="宋体" w:eastAsia="仿宋_GB2312" w:cs="宋体"/>
          <w:color w:val="0000FF"/>
          <w:kern w:val="0"/>
          <w:sz w:val="29"/>
          <w:szCs w:val="29"/>
        </w:rPr>
        <w:t>。</w:t>
      </w:r>
      <w:r>
        <w:rPr>
          <w:rFonts w:hint="eastAsia" w:ascii="仿宋_GB2312" w:hAnsi="宋体" w:eastAsia="仿宋_GB2312" w:cs="宋体"/>
          <w:kern w:val="0"/>
          <w:sz w:val="29"/>
          <w:szCs w:val="29"/>
        </w:rPr>
        <w:t>清洁作业区</w:t>
      </w:r>
      <w:r>
        <w:rPr>
          <w:rFonts w:hint="eastAsia" w:ascii="仿宋_GB2312" w:hAnsi="宋体" w:eastAsia="仿宋_GB2312" w:cs="宋体"/>
          <w:kern w:val="0"/>
          <w:sz w:val="29"/>
          <w:szCs w:val="29"/>
          <w:lang w:val="en-US" w:eastAsia="zh-CN"/>
        </w:rPr>
        <w:t>和</w:t>
      </w:r>
      <w:r>
        <w:rPr>
          <w:rFonts w:hint="eastAsia" w:ascii="仿宋_GB2312" w:hAnsi="宋体" w:eastAsia="仿宋_GB2312" w:cs="宋体"/>
          <w:kern w:val="0"/>
          <w:sz w:val="29"/>
          <w:szCs w:val="29"/>
        </w:rPr>
        <w:t>准清洁作业区应当定期采用紫外线照射或臭氧等方式对生产环境消毒。</w:t>
      </w:r>
    </w:p>
    <w:p w14:paraId="37014A1D">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第四节</w:t>
      </w:r>
      <w:r>
        <w:rPr>
          <w:rFonts w:hint="eastAsia" w:ascii="宋体" w:hAnsi="宋体" w:eastAsia="宋体" w:cs="宋体"/>
          <w:kern w:val="0"/>
          <w:sz w:val="29"/>
          <w:szCs w:val="29"/>
        </w:rPr>
        <w:t> </w:t>
      </w:r>
      <w:r>
        <w:rPr>
          <w:rFonts w:hint="eastAsia" w:ascii="黑体" w:hAnsi="黑体" w:eastAsia="黑体" w:cs="宋体"/>
          <w:kern w:val="0"/>
          <w:sz w:val="29"/>
          <w:szCs w:val="29"/>
        </w:rPr>
        <w:t>设备设施核查</w:t>
      </w:r>
    </w:p>
    <w:p w14:paraId="62BF6682">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第十一条　</w:t>
      </w:r>
      <w:r>
        <w:rPr>
          <w:rFonts w:hint="eastAsia" w:ascii="仿宋_GB2312" w:hAnsi="宋体" w:eastAsia="仿宋_GB2312" w:cs="宋体"/>
          <w:kern w:val="0"/>
          <w:sz w:val="29"/>
          <w:szCs w:val="29"/>
        </w:rPr>
        <w:t>企业应配备与生产能力相适应的生产设备，并按工艺流程有序排列，避免引起交叉污染。</w:t>
      </w:r>
    </w:p>
    <w:p w14:paraId="4D1185C9">
      <w:pPr>
        <w:widowControl/>
        <w:spacing w:line="503" w:lineRule="atLeast"/>
        <w:ind w:firstLine="584"/>
        <w:jc w:val="left"/>
        <w:rPr>
          <w:rFonts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配料</w:t>
      </w:r>
      <w:r>
        <w:rPr>
          <w:rFonts w:hint="eastAsia" w:ascii="仿宋_GB2312" w:hAnsi="宋体" w:eastAsia="仿宋_GB2312" w:cs="宋体"/>
          <w:kern w:val="0"/>
          <w:sz w:val="29"/>
          <w:szCs w:val="29"/>
        </w:rPr>
        <w:t>设备：</w:t>
      </w:r>
      <w:r>
        <w:rPr>
          <w:rFonts w:hint="eastAsia" w:ascii="仿宋_GB2312" w:hAnsi="宋体" w:eastAsia="仿宋_GB2312" w:cs="宋体"/>
          <w:kern w:val="0"/>
          <w:sz w:val="29"/>
          <w:szCs w:val="29"/>
          <w:lang w:val="en-US" w:eastAsia="zh-CN"/>
        </w:rPr>
        <w:t>电子秤等</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lang w:val="en-US" w:eastAsia="zh-CN"/>
        </w:rPr>
        <w:t>混合搅拌设备</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拌面机或其他混合搅拌类设备等</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lang w:val="en-US" w:eastAsia="zh-CN"/>
        </w:rPr>
        <w:t>制作成型</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成型机等；发酵设备</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发酵房间、培养架或其他类发酵设备等；干燥设备</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热风干房或其他干燥类设备等</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内包</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全自动或半自动包装机（不得全手动包装）、金属探测仪、</w:t>
      </w:r>
      <w:r>
        <w:rPr>
          <w:rFonts w:hint="eastAsia" w:ascii="仿宋_GB2312" w:hAnsi="宋体" w:eastAsia="仿宋_GB2312" w:cs="宋体"/>
          <w:kern w:val="0"/>
          <w:sz w:val="29"/>
          <w:szCs w:val="29"/>
        </w:rPr>
        <w:t>台秤等。</w:t>
      </w:r>
    </w:p>
    <w:p w14:paraId="4A62081D">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第十二条　</w:t>
      </w:r>
      <w:r>
        <w:rPr>
          <w:rFonts w:hint="eastAsia" w:ascii="仿宋_GB2312" w:hAnsi="宋体" w:eastAsia="仿宋_GB2312" w:cs="宋体"/>
          <w:kern w:val="0"/>
          <w:sz w:val="29"/>
          <w:szCs w:val="29"/>
        </w:rPr>
        <w:t>与原料、半成品、成品接触的设备与用具，应无毒、无味、抗腐蚀、不易脱落，并应易于清洁和保养。设备、工器具等与食品接触的表面应光滑、无吸收性、易于清洁保养和消毒，在正常生产条件下不会与食品、清洁剂和消毒剂发生反应，并应保持完好无损。</w:t>
      </w:r>
    </w:p>
    <w:p w14:paraId="4608C84E">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第十三条　</w:t>
      </w:r>
      <w:r>
        <w:rPr>
          <w:rFonts w:hint="eastAsia" w:ascii="仿宋_GB2312" w:hAnsi="宋体" w:eastAsia="仿宋_GB2312" w:cs="宋体"/>
          <w:kern w:val="0"/>
          <w:sz w:val="29"/>
          <w:szCs w:val="29"/>
        </w:rPr>
        <w:t>用于测定、控制、记录的监控设备，如压力表、温度计等，应定期检定</w:t>
      </w:r>
      <w:r>
        <w:rPr>
          <w:rFonts w:hint="eastAsia" w:ascii="仿宋_GB2312" w:hAnsi="宋体" w:eastAsia="仿宋_GB2312" w:cs="宋体"/>
          <w:kern w:val="0"/>
          <w:sz w:val="29"/>
          <w:szCs w:val="29"/>
          <w:lang w:eastAsia="zh-CN"/>
        </w:rPr>
        <w:t>或</w:t>
      </w:r>
      <w:r>
        <w:rPr>
          <w:rFonts w:hint="eastAsia" w:ascii="仿宋_GB2312" w:hAnsi="宋体" w:eastAsia="仿宋_GB2312" w:cs="宋体"/>
          <w:kern w:val="0"/>
          <w:sz w:val="29"/>
          <w:szCs w:val="29"/>
        </w:rPr>
        <w:t>校准、维护，确保准确有效。</w:t>
      </w:r>
    </w:p>
    <w:p w14:paraId="1A7AE07A">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第十四条　</w:t>
      </w:r>
      <w:r>
        <w:rPr>
          <w:rFonts w:hint="eastAsia" w:ascii="仿宋_GB2312" w:hAnsi="宋体" w:eastAsia="仿宋_GB2312" w:cs="宋体"/>
          <w:kern w:val="0"/>
          <w:sz w:val="29"/>
          <w:szCs w:val="29"/>
        </w:rPr>
        <w:t>生产加工用水的水质应符合</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lang w:val="en-US" w:eastAsia="zh-CN"/>
        </w:rPr>
        <w:t>生活饮用水卫生标准》</w:t>
      </w:r>
      <w:r>
        <w:rPr>
          <w:rFonts w:hint="eastAsia" w:ascii="仿宋_GB2312" w:hAnsi="宋体" w:eastAsia="仿宋_GB2312" w:cs="宋体"/>
          <w:kern w:val="0"/>
          <w:sz w:val="29"/>
          <w:szCs w:val="29"/>
        </w:rPr>
        <w:t>GB 5749的规定，对加工用水水质有特殊要求的应符合相应规定。</w:t>
      </w:r>
    </w:p>
    <w:p w14:paraId="1D35E575">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第十五条　</w:t>
      </w:r>
      <w:r>
        <w:rPr>
          <w:rFonts w:hint="eastAsia" w:ascii="仿宋_GB2312" w:hAnsi="宋体" w:eastAsia="仿宋_GB2312" w:cs="宋体"/>
          <w:kern w:val="0"/>
          <w:sz w:val="29"/>
          <w:szCs w:val="29"/>
        </w:rPr>
        <w:t>室内排水的流向应由清洁程度要求高的区域流向清洁程度要求低的区域，且应有防止逆流的设计。污水在排放前应经适当方式处理，以符合国家污水排放的相关规定。</w:t>
      </w:r>
    </w:p>
    <w:p w14:paraId="65D6D145">
      <w:pPr>
        <w:widowControl/>
        <w:spacing w:line="503" w:lineRule="atLeast"/>
        <w:ind w:firstLine="584"/>
        <w:jc w:val="left"/>
        <w:rPr>
          <w:rFonts w:hint="eastAsia" w:ascii="仿宋_GB2312" w:hAnsi="宋体" w:eastAsia="仿宋_GB2312" w:cs="宋体"/>
          <w:kern w:val="0"/>
          <w:sz w:val="29"/>
          <w:szCs w:val="29"/>
        </w:rPr>
      </w:pPr>
      <w:r>
        <w:rPr>
          <w:rFonts w:hint="eastAsia" w:ascii="黑体" w:hAnsi="黑体" w:eastAsia="黑体" w:cs="宋体"/>
          <w:kern w:val="0"/>
          <w:sz w:val="29"/>
          <w:szCs w:val="29"/>
        </w:rPr>
        <w:t>第十六条　</w:t>
      </w:r>
      <w:r>
        <w:rPr>
          <w:rFonts w:hint="eastAsia" w:ascii="仿宋_GB2312" w:hAnsi="宋体" w:eastAsia="仿宋_GB2312" w:cs="宋体"/>
          <w:kern w:val="0"/>
          <w:sz w:val="29"/>
          <w:szCs w:val="29"/>
        </w:rPr>
        <w:t>应配备设计合理、防止渗漏、易于清洁的存放废弃物的专用设施，废弃物定期清除。</w:t>
      </w:r>
    </w:p>
    <w:p w14:paraId="5C5C187E">
      <w:pPr>
        <w:widowControl/>
        <w:spacing w:line="503" w:lineRule="atLeast"/>
        <w:ind w:firstLine="584"/>
        <w:jc w:val="left"/>
        <w:rPr>
          <w:rFonts w:hint="default" w:ascii="仿宋_GB2312" w:hAnsi="宋体" w:eastAsia="黑体" w:cs="宋体"/>
          <w:kern w:val="0"/>
          <w:sz w:val="29"/>
          <w:szCs w:val="29"/>
          <w:lang w:val="en-US" w:eastAsia="zh-CN"/>
        </w:rPr>
      </w:pPr>
      <w:r>
        <w:rPr>
          <w:rFonts w:hint="eastAsia" w:ascii="黑体" w:hAnsi="黑体" w:eastAsia="黑体" w:cs="宋体"/>
          <w:kern w:val="0"/>
          <w:sz w:val="29"/>
          <w:szCs w:val="29"/>
        </w:rPr>
        <w:t>第十七条</w:t>
      </w:r>
      <w:r>
        <w:rPr>
          <w:rFonts w:hint="eastAsia" w:ascii="黑体" w:hAnsi="黑体" w:eastAsia="黑体" w:cs="宋体"/>
          <w:kern w:val="0"/>
          <w:sz w:val="29"/>
          <w:szCs w:val="29"/>
          <w:lang w:val="en-US" w:eastAsia="zh-CN"/>
        </w:rPr>
        <w:t xml:space="preserve"> </w:t>
      </w:r>
      <w:r>
        <w:rPr>
          <w:rFonts w:hint="eastAsia" w:ascii="仿宋_GB2312" w:hAnsi="宋体" w:eastAsia="仿宋_GB2312" w:cs="宋体"/>
          <w:kern w:val="0"/>
          <w:sz w:val="29"/>
          <w:szCs w:val="29"/>
          <w:lang w:val="en-US" w:eastAsia="zh-CN"/>
        </w:rPr>
        <w:t>应配备有相应的通风设施和照明设施、温控设施，设施应当符合</w:t>
      </w:r>
      <w:r>
        <w:rPr>
          <w:rFonts w:hint="eastAsia" w:ascii="仿宋_GB2312" w:hAnsi="宋体" w:eastAsia="仿宋_GB2312" w:cs="宋体"/>
          <w:kern w:val="0"/>
          <w:sz w:val="29"/>
          <w:szCs w:val="29"/>
        </w:rPr>
        <w:t>《食品安全国家标准 食品生产通用卫生规范》（GB 14881）的相关规定</w:t>
      </w:r>
    </w:p>
    <w:p w14:paraId="21F8A8EA">
      <w:pPr>
        <w:widowControl/>
        <w:spacing w:line="503" w:lineRule="atLeast"/>
        <w:ind w:firstLine="584"/>
        <w:rPr>
          <w:rFonts w:hint="eastAsia" w:ascii="仿宋_GB2312" w:hAnsi="宋体" w:eastAsia="仿宋_GB2312" w:cs="宋体"/>
          <w:kern w:val="0"/>
          <w:sz w:val="29"/>
          <w:szCs w:val="29"/>
        </w:rPr>
      </w:pPr>
      <w:r>
        <w:rPr>
          <w:rFonts w:hint="eastAsia" w:ascii="黑体" w:hAnsi="黑体" w:eastAsia="黑体" w:cs="宋体"/>
          <w:kern w:val="0"/>
          <w:sz w:val="29"/>
          <w:szCs w:val="29"/>
        </w:rPr>
        <w:t>第十</w:t>
      </w:r>
      <w:r>
        <w:rPr>
          <w:rFonts w:hint="eastAsia" w:ascii="黑体" w:hAnsi="黑体" w:eastAsia="黑体" w:cs="宋体"/>
          <w:kern w:val="0"/>
          <w:sz w:val="29"/>
          <w:szCs w:val="29"/>
          <w:lang w:val="en-US" w:eastAsia="zh-CN"/>
        </w:rPr>
        <w:t>八</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自行检验的企业</w:t>
      </w:r>
      <w:r>
        <w:rPr>
          <w:rFonts w:hint="eastAsia" w:ascii="仿宋_GB2312" w:hAnsi="宋体" w:eastAsia="仿宋_GB2312" w:cs="宋体"/>
          <w:kern w:val="0"/>
          <w:sz w:val="29"/>
          <w:szCs w:val="29"/>
        </w:rPr>
        <w:t>检验设备一般应具有：干燥箱、</w:t>
      </w:r>
      <w:r>
        <w:rPr>
          <w:rFonts w:hint="eastAsia" w:ascii="仿宋_GB2312" w:hAnsi="宋体" w:eastAsia="仿宋_GB2312" w:cs="宋体"/>
          <w:kern w:val="0"/>
          <w:sz w:val="29"/>
          <w:szCs w:val="29"/>
          <w:lang w:val="en-US" w:eastAsia="zh-CN"/>
        </w:rPr>
        <w:t>恒温水浴锅</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可调电炉</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25ml酸式和碱式滴定管、</w:t>
      </w:r>
      <w:r>
        <w:rPr>
          <w:rFonts w:hint="eastAsia" w:ascii="仿宋_GB2312" w:hAnsi="宋体" w:eastAsia="仿宋_GB2312" w:cs="宋体"/>
          <w:kern w:val="0"/>
          <w:sz w:val="29"/>
          <w:szCs w:val="29"/>
        </w:rPr>
        <w:t>0.1mg精度分析天平、0.1g精度天平，</w:t>
      </w:r>
      <w:r>
        <w:rPr>
          <w:rFonts w:hint="eastAsia" w:ascii="仿宋_GB2312" w:hAnsi="宋体" w:eastAsia="仿宋_GB2312" w:cs="宋体"/>
          <w:kern w:val="0"/>
          <w:sz w:val="29"/>
          <w:szCs w:val="29"/>
          <w:lang w:val="en-US" w:eastAsia="zh-CN"/>
        </w:rPr>
        <w:t>全玻璃蒸馏器、25ml附带温度计的密度瓶。</w:t>
      </w:r>
      <w:r>
        <w:rPr>
          <w:rFonts w:hint="eastAsia" w:ascii="仿宋_GB2312" w:hAnsi="宋体" w:eastAsia="仿宋_GB2312" w:cs="宋体"/>
          <w:kern w:val="0"/>
          <w:sz w:val="29"/>
          <w:szCs w:val="29"/>
        </w:rPr>
        <w:t>根</w:t>
      </w:r>
      <w:r>
        <w:rPr>
          <w:rFonts w:hint="eastAsia" w:ascii="仿宋_GB2312" w:hAnsi="宋体" w:eastAsia="仿宋_GB2312" w:cs="宋体"/>
          <w:kern w:val="0"/>
          <w:sz w:val="29"/>
          <w:szCs w:val="29"/>
        </w:rPr>
        <w:t>据出厂检验的特定</w:t>
      </w:r>
      <w:r>
        <w:rPr>
          <w:rFonts w:hint="eastAsia" w:ascii="仿宋_GB2312" w:hAnsi="宋体" w:eastAsia="仿宋_GB2312" w:cs="宋体"/>
          <w:kern w:val="0"/>
          <w:sz w:val="29"/>
          <w:szCs w:val="29"/>
          <w:lang w:val="en-US" w:eastAsia="zh-CN"/>
        </w:rPr>
        <w:t>其他</w:t>
      </w:r>
      <w:r>
        <w:rPr>
          <w:rFonts w:hint="eastAsia" w:ascii="仿宋_GB2312" w:hAnsi="宋体" w:eastAsia="仿宋_GB2312" w:cs="宋体"/>
          <w:kern w:val="0"/>
          <w:sz w:val="29"/>
          <w:szCs w:val="29"/>
        </w:rPr>
        <w:t>指标项目，还应配备</w:t>
      </w:r>
      <w:r>
        <w:rPr>
          <w:rFonts w:hint="eastAsia" w:ascii="仿宋_GB2312" w:hAnsi="宋体" w:eastAsia="仿宋_GB2312" w:cs="宋体"/>
          <w:kern w:val="0"/>
          <w:sz w:val="29"/>
          <w:szCs w:val="29"/>
          <w:lang w:val="en-US" w:eastAsia="zh-CN"/>
        </w:rPr>
        <w:t>与其</w:t>
      </w:r>
      <w:r>
        <w:rPr>
          <w:rFonts w:hint="eastAsia" w:ascii="仿宋_GB2312" w:hAnsi="宋体" w:eastAsia="仿宋_GB2312" w:cs="宋体"/>
          <w:kern w:val="0"/>
          <w:sz w:val="29"/>
          <w:szCs w:val="29"/>
        </w:rPr>
        <w:t>相应的</w:t>
      </w:r>
      <w:r>
        <w:rPr>
          <w:rFonts w:hint="eastAsia" w:ascii="仿宋_GB2312" w:hAnsi="宋体" w:eastAsia="仿宋_GB2312" w:cs="宋体"/>
          <w:kern w:val="0"/>
          <w:sz w:val="29"/>
          <w:szCs w:val="29"/>
          <w:lang w:val="en-US" w:eastAsia="zh-CN"/>
        </w:rPr>
        <w:t>检验设备</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lang w:val="en-US" w:eastAsia="zh-CN"/>
        </w:rPr>
        <w:t>并确保检验设备设施性能、精度满足检验要求</w:t>
      </w:r>
      <w:r>
        <w:rPr>
          <w:rFonts w:hint="eastAsia" w:ascii="仿宋_GB2312" w:hAnsi="宋体" w:eastAsia="仿宋_GB2312" w:cs="宋体"/>
          <w:kern w:val="0"/>
          <w:sz w:val="29"/>
          <w:szCs w:val="29"/>
        </w:rPr>
        <w:t>。</w:t>
      </w:r>
    </w:p>
    <w:p w14:paraId="09DF4D87">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第五节</w:t>
      </w:r>
      <w:r>
        <w:rPr>
          <w:rFonts w:hint="eastAsia" w:ascii="宋体" w:hAnsi="宋体" w:eastAsia="宋体" w:cs="宋体"/>
          <w:kern w:val="0"/>
          <w:sz w:val="29"/>
          <w:szCs w:val="29"/>
        </w:rPr>
        <w:t> </w:t>
      </w:r>
      <w:r>
        <w:rPr>
          <w:rFonts w:hint="eastAsia" w:ascii="黑体" w:hAnsi="黑体" w:eastAsia="黑体" w:cs="宋体"/>
          <w:kern w:val="0"/>
          <w:sz w:val="29"/>
          <w:szCs w:val="29"/>
        </w:rPr>
        <w:t>设备布局和工艺流程核查</w:t>
      </w:r>
    </w:p>
    <w:p w14:paraId="65556731">
      <w:pPr>
        <w:widowControl/>
        <w:spacing w:line="503" w:lineRule="atLeast"/>
        <w:ind w:firstLine="584"/>
        <w:rPr>
          <w:rFonts w:ascii="宋体" w:hAnsi="宋体" w:eastAsia="宋体" w:cs="宋体"/>
          <w:kern w:val="0"/>
          <w:sz w:val="24"/>
          <w:szCs w:val="24"/>
        </w:rPr>
      </w:pPr>
      <w:r>
        <w:rPr>
          <w:rFonts w:hint="eastAsia" w:ascii="黑体" w:hAnsi="黑体" w:eastAsia="黑体" w:cs="宋体"/>
          <w:kern w:val="0"/>
          <w:sz w:val="29"/>
          <w:szCs w:val="29"/>
        </w:rPr>
        <w:t>第十</w:t>
      </w:r>
      <w:r>
        <w:rPr>
          <w:rFonts w:hint="eastAsia" w:ascii="黑体" w:hAnsi="黑体" w:eastAsia="黑体" w:cs="宋体"/>
          <w:kern w:val="0"/>
          <w:sz w:val="29"/>
          <w:szCs w:val="29"/>
          <w:lang w:val="en-US" w:eastAsia="zh-CN"/>
        </w:rPr>
        <w:t>九</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设备布局应按工艺流程设计，工艺流程一般包括：</w:t>
      </w:r>
    </w:p>
    <w:p w14:paraId="19C360F3">
      <w:pPr>
        <w:widowControl/>
        <w:spacing w:line="503" w:lineRule="atLeast"/>
        <w:ind w:firstLine="584"/>
        <w:rPr>
          <w:rFonts w:ascii="宋体" w:hAnsi="宋体" w:eastAsia="宋体" w:cs="宋体"/>
          <w:kern w:val="0"/>
          <w:sz w:val="24"/>
          <w:szCs w:val="24"/>
        </w:rPr>
      </w:pPr>
      <w:bookmarkStart w:id="8" w:name="OLE_LINK20"/>
      <w:bookmarkStart w:id="9" w:name="OLE_LINK19"/>
      <w:r>
        <w:rPr>
          <w:rFonts w:hint="eastAsia" w:ascii="仿宋_GB2312" w:hAnsi="宋体" w:eastAsia="仿宋_GB2312" w:cs="宋体"/>
          <w:kern w:val="0"/>
          <w:sz w:val="29"/>
          <w:szCs w:val="29"/>
          <w:lang w:val="en-US" w:eastAsia="zh-CN"/>
        </w:rPr>
        <w:t>配料</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混合搅拌</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成型</w:t>
      </w:r>
      <w:r>
        <w:rPr>
          <w:rFonts w:hint="eastAsia" w:ascii="仿宋_GB2312" w:hAnsi="宋体" w:eastAsia="仿宋_GB2312" w:cs="宋体"/>
          <w:kern w:val="0"/>
          <w:sz w:val="29"/>
          <w:szCs w:val="29"/>
        </w:rPr>
        <w:t>、发酵、</w:t>
      </w:r>
      <w:r>
        <w:rPr>
          <w:rFonts w:hint="eastAsia" w:ascii="仿宋_GB2312" w:hAnsi="宋体" w:eastAsia="仿宋_GB2312" w:cs="宋体"/>
          <w:kern w:val="0"/>
          <w:sz w:val="29"/>
          <w:szCs w:val="29"/>
          <w:lang w:val="en-US" w:eastAsia="zh-CN"/>
        </w:rPr>
        <w:t>干燥</w:t>
      </w:r>
      <w:r>
        <w:rPr>
          <w:rFonts w:hint="eastAsia" w:ascii="仿宋_GB2312" w:hAnsi="宋体" w:eastAsia="仿宋_GB2312" w:cs="宋体"/>
          <w:kern w:val="0"/>
          <w:sz w:val="29"/>
          <w:szCs w:val="29"/>
        </w:rPr>
        <w:t>、内包装、外包装</w:t>
      </w:r>
      <w:bookmarkEnd w:id="8"/>
      <w:bookmarkEnd w:id="9"/>
      <w:r>
        <w:rPr>
          <w:rFonts w:hint="eastAsia" w:ascii="仿宋_GB2312" w:hAnsi="宋体" w:eastAsia="仿宋_GB2312" w:cs="宋体"/>
          <w:kern w:val="0"/>
          <w:sz w:val="29"/>
          <w:szCs w:val="29"/>
        </w:rPr>
        <w:t>。</w:t>
      </w:r>
    </w:p>
    <w:p w14:paraId="021587A7">
      <w:pPr>
        <w:widowControl/>
        <w:spacing w:line="503" w:lineRule="atLeast"/>
        <w:ind w:firstLine="584"/>
        <w:rPr>
          <w:rFonts w:ascii="宋体" w:hAnsi="宋体" w:eastAsia="宋体" w:cs="宋体"/>
          <w:kern w:val="0"/>
          <w:sz w:val="24"/>
          <w:szCs w:val="24"/>
        </w:rPr>
      </w:pPr>
      <w:r>
        <w:rPr>
          <w:rFonts w:hint="eastAsia" w:ascii="仿宋_GB2312" w:hAnsi="宋体" w:eastAsia="仿宋_GB2312" w:cs="宋体"/>
          <w:kern w:val="0"/>
          <w:sz w:val="29"/>
          <w:szCs w:val="29"/>
        </w:rPr>
        <w:t>具体产品按企业实际工艺流程生产，但其工艺流程必须科学合理，符合相关规定。</w:t>
      </w:r>
    </w:p>
    <w:p w14:paraId="664F3EF0">
      <w:pPr>
        <w:widowControl/>
        <w:spacing w:line="503" w:lineRule="atLeast"/>
        <w:ind w:firstLine="584"/>
        <w:rPr>
          <w:rFonts w:ascii="宋体" w:hAnsi="宋体" w:eastAsia="宋体" w:cs="宋体"/>
          <w:kern w:val="0"/>
          <w:sz w:val="24"/>
          <w:szCs w:val="24"/>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二十</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企业应明确影响产品质量的关键控制工序和环节，并对生产过程中的质量安全关键点进行控制，关键控制工序可设为：</w:t>
      </w:r>
    </w:p>
    <w:p w14:paraId="27C3EB72">
      <w:pPr>
        <w:widowControl/>
        <w:spacing w:line="503" w:lineRule="atLeast"/>
        <w:ind w:firstLine="584"/>
        <w:rPr>
          <w:rFonts w:ascii="仿宋_GB2312" w:hAnsi="宋体" w:eastAsia="仿宋_GB2312" w:cs="宋体"/>
          <w:kern w:val="0"/>
          <w:sz w:val="29"/>
          <w:szCs w:val="29"/>
        </w:rPr>
      </w:pPr>
      <w:r>
        <w:rPr>
          <w:rFonts w:hint="eastAsia" w:ascii="仿宋_GB2312" w:hAnsi="宋体" w:eastAsia="仿宋_GB2312" w:cs="宋体"/>
          <w:kern w:val="0"/>
          <w:sz w:val="29"/>
          <w:szCs w:val="29"/>
        </w:rPr>
        <w:t>原料验收、</w:t>
      </w:r>
      <w:r>
        <w:rPr>
          <w:rFonts w:hint="eastAsia" w:ascii="仿宋_GB2312" w:hAnsi="宋体" w:eastAsia="仿宋_GB2312" w:cs="宋体"/>
          <w:kern w:val="0"/>
          <w:sz w:val="29"/>
          <w:szCs w:val="29"/>
          <w:lang w:val="en-US" w:eastAsia="zh-CN"/>
        </w:rPr>
        <w:t>配料</w:t>
      </w:r>
      <w:r>
        <w:rPr>
          <w:rFonts w:hint="eastAsia" w:ascii="仿宋_GB2312" w:hAnsi="宋体" w:eastAsia="仿宋_GB2312" w:cs="宋体"/>
          <w:kern w:val="0"/>
          <w:sz w:val="29"/>
          <w:szCs w:val="29"/>
        </w:rPr>
        <w:t>、发酵、内包装等。</w:t>
      </w:r>
    </w:p>
    <w:p w14:paraId="1E551C2B">
      <w:pPr>
        <w:widowControl/>
        <w:spacing w:line="503" w:lineRule="atLeast"/>
        <w:ind w:firstLine="584"/>
        <w:rPr>
          <w:rFonts w:hint="eastAsia" w:ascii="仿宋_GB2312" w:hAnsi="宋体" w:eastAsia="仿宋_GB2312" w:cs="宋体"/>
          <w:kern w:val="0"/>
          <w:sz w:val="29"/>
          <w:szCs w:val="29"/>
        </w:rPr>
      </w:pPr>
      <w:r>
        <w:rPr>
          <w:rFonts w:hint="eastAsia" w:ascii="仿宋_GB2312" w:hAnsi="宋体" w:eastAsia="仿宋_GB2312" w:cs="宋体"/>
          <w:kern w:val="0"/>
          <w:sz w:val="29"/>
          <w:szCs w:val="29"/>
        </w:rPr>
        <w:t>原料验收：采购的食品原料应查验供货者的资质和产品合格证明文件。对不能提供产品合格证明文件的原料，企业应当依照食品安全标准进行检验。菌种必须符合国家有关标准或规定，菌种在投产使用前必须严格检验其特性，确保其活性，防止其他杂菌污染。发酵用菌种应根据菌种的特性在适宜温度下贮存，以保持菌种的活力。</w:t>
      </w:r>
    </w:p>
    <w:p w14:paraId="73C54C8F">
      <w:pPr>
        <w:widowControl/>
        <w:spacing w:line="503" w:lineRule="atLeast"/>
        <w:ind w:firstLine="584"/>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配料：</w:t>
      </w:r>
      <w:r>
        <w:rPr>
          <w:rFonts w:hint="eastAsia" w:ascii="仿宋_GB2312" w:hAnsi="宋体" w:eastAsia="仿宋_GB2312" w:cs="宋体"/>
          <w:kern w:val="0"/>
          <w:sz w:val="29"/>
          <w:szCs w:val="29"/>
        </w:rPr>
        <w:t>严格</w:t>
      </w:r>
      <w:r>
        <w:rPr>
          <w:rFonts w:hint="eastAsia" w:ascii="仿宋_GB2312" w:hAnsi="宋体" w:eastAsia="仿宋_GB2312" w:cs="宋体"/>
          <w:kern w:val="0"/>
          <w:sz w:val="29"/>
          <w:szCs w:val="29"/>
          <w:lang w:val="en-US" w:eastAsia="zh-CN"/>
        </w:rPr>
        <w:t>按照工艺配方要求，精确称量各原辅料;并记录好各原辅料的重量，严格规范填写配料记录。</w:t>
      </w:r>
    </w:p>
    <w:p w14:paraId="1336EB8E">
      <w:pPr>
        <w:widowControl/>
        <w:spacing w:line="503" w:lineRule="atLeast"/>
        <w:ind w:firstLine="584"/>
        <w:rPr>
          <w:rFonts w:ascii="仿宋_GB2312" w:hAnsi="宋体" w:eastAsia="仿宋_GB2312" w:cs="宋体"/>
          <w:kern w:val="0"/>
          <w:sz w:val="29"/>
          <w:szCs w:val="29"/>
        </w:rPr>
      </w:pPr>
      <w:r>
        <w:rPr>
          <w:rFonts w:hint="eastAsia" w:ascii="仿宋_GB2312" w:hAnsi="宋体" w:eastAsia="仿宋_GB2312" w:cs="宋体"/>
          <w:kern w:val="0"/>
          <w:sz w:val="29"/>
          <w:szCs w:val="29"/>
        </w:rPr>
        <w:t>发酵：严格监控发酵的工艺参数（如发酵温度、时间等）并记录，对于发酵过程中的相关指标进行验证并记录。</w:t>
      </w:r>
    </w:p>
    <w:p w14:paraId="653B1C5F">
      <w:pPr>
        <w:widowControl/>
        <w:spacing w:line="503" w:lineRule="atLeast"/>
        <w:ind w:firstLine="584"/>
        <w:rPr>
          <w:rFonts w:ascii="宋体" w:hAnsi="宋体" w:eastAsia="仿宋_GB2312" w:cs="宋体"/>
          <w:kern w:val="0"/>
          <w:sz w:val="24"/>
          <w:szCs w:val="24"/>
          <w:highlight w:val="yellow"/>
        </w:rPr>
      </w:pPr>
      <w:r>
        <w:rPr>
          <w:rFonts w:hint="eastAsia" w:ascii="仿宋_GB2312" w:hAnsi="宋体" w:eastAsia="仿宋_GB2312" w:cs="宋体"/>
          <w:kern w:val="0"/>
          <w:sz w:val="29"/>
          <w:szCs w:val="29"/>
        </w:rPr>
        <w:t>内包装：在产品包装前或包装后应设置异物控制措施，保证包装后的产品不含金属和其他异物。包装后的产品应进行密封性检查。</w:t>
      </w:r>
    </w:p>
    <w:p w14:paraId="338A7E86">
      <w:pPr>
        <w:widowControl/>
        <w:spacing w:line="503" w:lineRule="atLeast"/>
        <w:ind w:firstLine="584"/>
        <w:rPr>
          <w:rFonts w:ascii="宋体" w:hAnsi="宋体" w:eastAsia="宋体" w:cs="宋体"/>
          <w:kern w:val="0"/>
          <w:sz w:val="24"/>
          <w:szCs w:val="24"/>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一</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食品添加剂的使用范围和使用量应符合《食品安全国家标准 食品添加剂使用标准》（GB 2760）的规定。</w:t>
      </w:r>
    </w:p>
    <w:p w14:paraId="01F1D144">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第六节</w:t>
      </w:r>
      <w:r>
        <w:rPr>
          <w:rFonts w:hint="eastAsia" w:ascii="宋体" w:hAnsi="宋体" w:eastAsia="宋体" w:cs="宋体"/>
          <w:kern w:val="0"/>
          <w:sz w:val="29"/>
          <w:szCs w:val="29"/>
        </w:rPr>
        <w:t> </w:t>
      </w:r>
      <w:r>
        <w:rPr>
          <w:rFonts w:hint="eastAsia" w:ascii="黑体" w:hAnsi="黑体" w:eastAsia="黑体" w:cs="宋体"/>
          <w:kern w:val="0"/>
          <w:sz w:val="29"/>
          <w:szCs w:val="29"/>
        </w:rPr>
        <w:t>人员</w:t>
      </w:r>
      <w:r>
        <w:rPr>
          <w:rFonts w:hint="eastAsia" w:ascii="黑体" w:hAnsi="黑体" w:eastAsia="黑体" w:cs="宋体"/>
          <w:kern w:val="0"/>
          <w:sz w:val="29"/>
          <w:szCs w:val="29"/>
          <w:lang w:val="en-US" w:eastAsia="zh-CN"/>
        </w:rPr>
        <w:t>管理</w:t>
      </w:r>
    </w:p>
    <w:p w14:paraId="5C4FB067">
      <w:pPr>
        <w:widowControl/>
        <w:spacing w:line="503" w:lineRule="atLeast"/>
        <w:ind w:firstLine="584"/>
        <w:jc w:val="left"/>
        <w:rPr>
          <w:rFonts w:hint="eastAsia" w:ascii="仿宋_GB2312" w:hAnsi="宋体" w:eastAsia="仿宋_GB2312" w:cs="宋体"/>
          <w:kern w:val="0"/>
          <w:sz w:val="29"/>
          <w:szCs w:val="29"/>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二</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应符合《中华人民共和国食品安全法》、《食品生产许可审查通则》、《食品安全国家标准 食品生产</w:t>
      </w:r>
      <w:r>
        <w:rPr>
          <w:rFonts w:hint="eastAsia" w:ascii="仿宋_GB2312" w:hAnsi="宋体" w:eastAsia="仿宋_GB2312" w:cs="宋体"/>
          <w:kern w:val="0"/>
          <w:sz w:val="29"/>
          <w:szCs w:val="29"/>
          <w:lang w:val="en-US" w:eastAsia="zh-CN"/>
        </w:rPr>
        <w:t>通用卫生</w:t>
      </w:r>
      <w:r>
        <w:rPr>
          <w:rFonts w:hint="eastAsia" w:ascii="仿宋_GB2312" w:hAnsi="宋体" w:eastAsia="仿宋_GB2312" w:cs="宋体"/>
          <w:kern w:val="0"/>
          <w:sz w:val="29"/>
          <w:szCs w:val="29"/>
        </w:rPr>
        <w:t>规范》（GB 14881）等相关法律法规及国家标准的要求，人员健康应符合国家卫生行政部门有关规定。</w:t>
      </w:r>
    </w:p>
    <w:p w14:paraId="6D249F3F">
      <w:pPr>
        <w:widowControl/>
        <w:spacing w:line="503" w:lineRule="atLeast"/>
        <w:ind w:firstLine="58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 xml:space="preserve">企业应当建立培训考核制度，制定培训计划，培训的内容应当与岗位相适应。与质量安全相关岗位的人员应当定期培训和考核，不具备能力的不得上岗。 </w:t>
      </w:r>
    </w:p>
    <w:p w14:paraId="381DDA28">
      <w:pPr>
        <w:widowControl/>
        <w:spacing w:line="503" w:lineRule="atLeast"/>
        <w:ind w:firstLine="58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企业应当建立从业人员健康管理制度。从业人员上岗前，企业应当对其进行卫生培训，并应当严格遵守有关卫生制度</w:t>
      </w:r>
    </w:p>
    <w:p w14:paraId="26B9CD2B">
      <w:pPr>
        <w:widowControl/>
        <w:spacing w:line="503" w:lineRule="atLeast"/>
        <w:ind w:firstLine="584"/>
        <w:jc w:val="left"/>
        <w:rPr>
          <w:rFonts w:hint="eastAsia" w:ascii="仿宋_GB2312" w:hAnsi="宋体" w:eastAsia="仿宋_GB2312" w:cs="宋体"/>
          <w:kern w:val="0"/>
          <w:sz w:val="29"/>
          <w:szCs w:val="29"/>
        </w:rPr>
      </w:pPr>
    </w:p>
    <w:p w14:paraId="0CD29515">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第七节</w:t>
      </w:r>
      <w:r>
        <w:rPr>
          <w:rFonts w:hint="eastAsia" w:ascii="宋体" w:hAnsi="宋体" w:eastAsia="宋体" w:cs="宋体"/>
          <w:kern w:val="0"/>
          <w:sz w:val="29"/>
          <w:szCs w:val="29"/>
        </w:rPr>
        <w:t> </w:t>
      </w:r>
      <w:r>
        <w:rPr>
          <w:rFonts w:hint="eastAsia" w:ascii="黑体" w:hAnsi="黑体" w:eastAsia="黑体" w:cs="宋体"/>
          <w:kern w:val="0"/>
          <w:sz w:val="29"/>
          <w:szCs w:val="29"/>
        </w:rPr>
        <w:t>管理制度审查</w:t>
      </w:r>
    </w:p>
    <w:p w14:paraId="4E16E0FB">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三</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企业应制定并执行食品安全管理制度，相关制度应符合《中华人民共和国食品安全法》、《食品生产许可审查通则》、《食品安全国家标准 食品生产</w:t>
      </w:r>
      <w:r>
        <w:rPr>
          <w:rFonts w:hint="eastAsia" w:ascii="仿宋_GB2312" w:hAnsi="宋体" w:eastAsia="仿宋_GB2312" w:cs="宋体"/>
          <w:kern w:val="0"/>
          <w:sz w:val="29"/>
          <w:szCs w:val="29"/>
          <w:lang w:val="en-US" w:eastAsia="zh-CN"/>
        </w:rPr>
        <w:t>通用卫生</w:t>
      </w:r>
      <w:r>
        <w:rPr>
          <w:rFonts w:hint="eastAsia" w:ascii="仿宋_GB2312" w:hAnsi="宋体" w:eastAsia="仿宋_GB2312" w:cs="宋体"/>
          <w:kern w:val="0"/>
          <w:sz w:val="29"/>
          <w:szCs w:val="29"/>
        </w:rPr>
        <w:t>规范》（GB 14881）等相关法律法规及国家标准的要求。</w:t>
      </w:r>
    </w:p>
    <w:p w14:paraId="1E2AE322">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四</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应建立进货查验记录制度，企业应当建立食品原料、食品添加剂、食品相关产品进货查验记录制度，应当查验供货者的许可证和食品出厂检验合格证或者其他合格证明。如实记录食品原料、食品添加剂和食品包装材料等食品相关产品的名称、规格、数量、生产日期或者生产批号、保质期、进货日期以及供货者名称、地址、联系方式等内容，并保存相关凭证。</w:t>
      </w:r>
    </w:p>
    <w:p w14:paraId="10F8E268">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五</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应建立食品添加剂管理制度，应列明配料中使用的食品添加剂的使用依据和规定使用量；所使用的食品添加剂应符合相应产品标准及国务院卫生行政部门相关公告的规定。应指定专人采购、专人保管食品添加剂，并在符合食品添加剂贮存要求的场所设立专库或专柜存放食品添加剂，专柜上锁，并有明显标识。做好相应的采购、贮存及使用记录。</w:t>
      </w:r>
    </w:p>
    <w:p w14:paraId="02C78A56">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六</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企业应建立生产过程管理制度，对生产过程中原料验收、</w:t>
      </w:r>
      <w:r>
        <w:rPr>
          <w:rFonts w:hint="eastAsia" w:ascii="仿宋_GB2312" w:hAnsi="宋体" w:eastAsia="仿宋_GB2312" w:cs="宋体"/>
          <w:kern w:val="0"/>
          <w:sz w:val="29"/>
          <w:szCs w:val="29"/>
          <w:lang w:val="en-US" w:eastAsia="zh-CN"/>
        </w:rPr>
        <w:t>配料</w:t>
      </w:r>
      <w:r>
        <w:rPr>
          <w:rFonts w:hint="eastAsia" w:ascii="仿宋_GB2312" w:hAnsi="宋体" w:eastAsia="仿宋_GB2312" w:cs="宋体"/>
          <w:kern w:val="0"/>
          <w:sz w:val="29"/>
          <w:szCs w:val="29"/>
        </w:rPr>
        <w:t>、</w:t>
      </w:r>
      <w:r>
        <w:rPr>
          <w:rFonts w:hint="eastAsia" w:ascii="仿宋_GB2312" w:hAnsi="宋体" w:eastAsia="仿宋_GB2312" w:cs="宋体"/>
          <w:kern w:val="0"/>
          <w:sz w:val="29"/>
          <w:szCs w:val="29"/>
          <w:lang w:val="en-US" w:eastAsia="zh-CN"/>
        </w:rPr>
        <w:t>混合搅拌</w:t>
      </w:r>
      <w:r>
        <w:rPr>
          <w:rFonts w:hint="eastAsia" w:ascii="仿宋_GB2312" w:hAnsi="宋体" w:eastAsia="仿宋_GB2312" w:cs="宋体"/>
          <w:kern w:val="0"/>
          <w:sz w:val="29"/>
          <w:szCs w:val="29"/>
        </w:rPr>
        <w:t>、发酵、</w:t>
      </w:r>
      <w:r>
        <w:rPr>
          <w:rFonts w:hint="eastAsia" w:ascii="仿宋_GB2312" w:hAnsi="宋体" w:eastAsia="仿宋_GB2312" w:cs="宋体"/>
          <w:kern w:val="0"/>
          <w:sz w:val="29"/>
          <w:szCs w:val="29"/>
          <w:lang w:val="en-US" w:eastAsia="zh-CN"/>
        </w:rPr>
        <w:t>干燥</w:t>
      </w:r>
      <w:r>
        <w:rPr>
          <w:rFonts w:hint="eastAsia" w:ascii="仿宋_GB2312" w:hAnsi="宋体" w:eastAsia="仿宋_GB2312" w:cs="宋体"/>
          <w:kern w:val="0"/>
          <w:sz w:val="29"/>
          <w:szCs w:val="29"/>
        </w:rPr>
        <w:t>、内包装、外包装等环节质量安全进行管控，并做好相应记录。</w:t>
      </w:r>
    </w:p>
    <w:p w14:paraId="254DDB5C">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七</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企业应建立检验管理制度，包括对原辅料检验、过程检验、出厂检验的管理规定，确保产品符合相关标准要求，并妥善保存各项检验的原始记录和检验报告。</w:t>
      </w:r>
    </w:p>
    <w:p w14:paraId="5C902E70">
      <w:pPr>
        <w:widowControl/>
        <w:spacing w:line="503" w:lineRule="atLeast"/>
        <w:ind w:firstLine="584"/>
        <w:jc w:val="left"/>
        <w:rPr>
          <w:rFonts w:ascii="宋体" w:hAnsi="宋体" w:eastAsia="宋体" w:cs="宋体"/>
          <w:kern w:val="0"/>
          <w:sz w:val="24"/>
          <w:szCs w:val="24"/>
        </w:rPr>
      </w:pPr>
      <w:bookmarkStart w:id="10" w:name="OLE_LINK24"/>
      <w:bookmarkStart w:id="11" w:name="OLE_LINK23"/>
      <w:r>
        <w:rPr>
          <w:rFonts w:hint="eastAsia" w:ascii="仿宋_GB2312" w:hAnsi="宋体" w:eastAsia="仿宋_GB2312" w:cs="宋体"/>
          <w:kern w:val="0"/>
          <w:sz w:val="29"/>
          <w:szCs w:val="29"/>
          <w:lang w:val="en-US" w:eastAsia="zh-CN"/>
        </w:rPr>
        <w:t>（一）自行检验</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rPr>
        <w:t>其他食品（</w:t>
      </w: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w:t>
      </w:r>
      <w:bookmarkEnd w:id="10"/>
      <w:bookmarkEnd w:id="11"/>
      <w:r>
        <w:rPr>
          <w:rFonts w:hint="eastAsia" w:ascii="仿宋_GB2312" w:hAnsi="宋体" w:eastAsia="仿宋_GB2312" w:cs="宋体"/>
          <w:kern w:val="0"/>
          <w:sz w:val="29"/>
          <w:szCs w:val="29"/>
        </w:rPr>
        <w:t>生产企业检验能力至少满足感官要求、水分、</w:t>
      </w:r>
      <w:r>
        <w:rPr>
          <w:rFonts w:hint="eastAsia" w:ascii="仿宋_GB2312" w:hAnsi="宋体" w:eastAsia="仿宋_GB2312" w:cs="宋体"/>
          <w:kern w:val="0"/>
          <w:sz w:val="29"/>
          <w:szCs w:val="29"/>
          <w:lang w:val="en-US" w:eastAsia="zh-CN"/>
        </w:rPr>
        <w:t>糖化力（以葡萄糖计）、发酵酸度（以乳酸计）、酒化力</w:t>
      </w:r>
      <w:r>
        <w:rPr>
          <w:rFonts w:hint="eastAsia" w:ascii="仿宋_GB2312" w:hAnsi="宋体" w:eastAsia="仿宋_GB2312" w:cs="宋体"/>
          <w:kern w:val="0"/>
          <w:sz w:val="29"/>
          <w:szCs w:val="29"/>
        </w:rPr>
        <w:t>的项目检测。</w:t>
      </w:r>
    </w:p>
    <w:p w14:paraId="7C71AA2E">
      <w:pPr>
        <w:widowControl/>
        <w:spacing w:line="503" w:lineRule="atLeast"/>
        <w:ind w:firstLine="58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rPr>
        <w:t>企业可以使用快速检测方法及设备，但应保证检测结果准确。使用快速检测方法及设备做检验时，应定期与国家标准规定的检验方法比对或者验证。快速检测结果不合格时，应使用国家标准规定的检验方法进行确认。</w:t>
      </w:r>
    </w:p>
    <w:p w14:paraId="49D258DD">
      <w:pPr>
        <w:pStyle w:val="14"/>
        <w:ind w:firstLine="580" w:firstLineChars="200"/>
        <w:rPr>
          <w:rFonts w:hint="eastAsia"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（二）</w:t>
      </w:r>
      <w:r>
        <w:rPr>
          <w:rFonts w:hint="eastAsia" w:ascii="仿宋_GB2312" w:hAnsi="宋体" w:eastAsia="仿宋_GB2312" w:cs="宋体"/>
          <w:kern w:val="0"/>
          <w:sz w:val="29"/>
          <w:szCs w:val="29"/>
          <w:lang w:val="en-US" w:eastAsia="zh-CN" w:bidi="ar-SA"/>
        </w:rPr>
        <w:t>委托检验。不能自行检验的，可委托具有检验资质的第三方检测机构进行检验，并妥善保存检验报告。</w:t>
      </w:r>
    </w:p>
    <w:p w14:paraId="701DC56F">
      <w:pPr>
        <w:widowControl/>
        <w:spacing w:line="503" w:lineRule="atLeast"/>
        <w:ind w:firstLine="58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 xml:space="preserve">（三）检验记录。应当妥善保存各项检验的原始记录和检验报告，检验记录和报告保存期限不得少于产品保质期满后六个月；没有明确保质期的，保存期限不得少于二年。在线检测项目和自动检验项目的记录应当有数据采集和保存记录。 </w:t>
      </w:r>
    </w:p>
    <w:p w14:paraId="09795096">
      <w:pPr>
        <w:widowControl/>
        <w:spacing w:line="503" w:lineRule="atLeast"/>
        <w:ind w:firstLine="584"/>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四）产品留样。企业应当按规定保存每批出厂检验留存样品，产品留样间应当满足产品贮存条件要求，留样数量应当满足复检要求，产品留样保存期限不得少于产品保质期，对过期的产品留样进行科学处置，如实、完整记录留样及处置信息。</w:t>
      </w:r>
    </w:p>
    <w:p w14:paraId="3079E08F">
      <w:pPr>
        <w:widowControl/>
        <w:spacing w:line="503" w:lineRule="atLeast"/>
        <w:ind w:firstLine="58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无法以最小销售包装形式留样的产品，留样方式由企业自行确定，留样应当加贴可用于追溯的标签。</w:t>
      </w:r>
    </w:p>
    <w:p w14:paraId="2979FFA0">
      <w:pPr>
        <w:widowControl/>
        <w:spacing w:line="503" w:lineRule="atLeast"/>
        <w:ind w:firstLine="584"/>
        <w:jc w:val="left"/>
        <w:rPr>
          <w:rFonts w:hint="eastAsia" w:ascii="仿宋_GB2312" w:hAnsi="宋体" w:eastAsia="仿宋_GB2312" w:cs="宋体"/>
          <w:kern w:val="0"/>
          <w:sz w:val="29"/>
          <w:szCs w:val="29"/>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八</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应建立记录管理制度，对食品生产中采购、加工、贮存、检验、销售等环节详细记录。记录内容应完整、真实，确保对产品从原料采购到产品销售的所有环节都可进行有效追溯。鼓励企业采用先进技术手段如电子计算机信息系统进行产品追溯。</w:t>
      </w:r>
    </w:p>
    <w:p w14:paraId="2602494A">
      <w:pPr>
        <w:widowControl/>
        <w:spacing w:line="503" w:lineRule="atLeast"/>
        <w:ind w:firstLine="580" w:firstLineChars="200"/>
        <w:jc w:val="left"/>
        <w:rPr>
          <w:rFonts w:hint="eastAsia" w:ascii="仿宋_GB2312" w:hAnsi="宋体" w:eastAsia="仿宋_GB2312" w:cs="宋体"/>
          <w:kern w:val="0"/>
          <w:sz w:val="29"/>
          <w:szCs w:val="29"/>
        </w:rPr>
      </w:pPr>
      <w:r>
        <w:rPr>
          <w:rFonts w:hint="eastAsia" w:ascii="黑体" w:hAnsi="黑体" w:eastAsia="黑体" w:cs="宋体"/>
          <w:kern w:val="0"/>
          <w:sz w:val="29"/>
          <w:szCs w:val="29"/>
        </w:rPr>
        <w:t>第二十</w:t>
      </w:r>
      <w:r>
        <w:rPr>
          <w:rFonts w:hint="eastAsia" w:ascii="黑体" w:hAnsi="黑体" w:eastAsia="黑体" w:cs="宋体"/>
          <w:kern w:val="0"/>
          <w:sz w:val="29"/>
          <w:szCs w:val="29"/>
          <w:lang w:val="en-US" w:eastAsia="zh-CN"/>
        </w:rPr>
        <w:t>九</w:t>
      </w:r>
      <w:r>
        <w:rPr>
          <w:rFonts w:hint="eastAsia" w:ascii="黑体" w:hAnsi="黑体" w:eastAsia="黑体" w:cs="宋体"/>
          <w:kern w:val="0"/>
          <w:sz w:val="29"/>
          <w:szCs w:val="29"/>
        </w:rPr>
        <w:t>条</w:t>
      </w:r>
      <w:r>
        <w:rPr>
          <w:rFonts w:hint="eastAsia" w:ascii="黑体" w:hAnsi="黑体" w:eastAsia="黑体" w:cs="宋体"/>
          <w:kern w:val="0"/>
          <w:sz w:val="29"/>
          <w:szCs w:val="29"/>
          <w:lang w:val="en-US" w:eastAsia="zh-CN"/>
        </w:rPr>
        <w:t xml:space="preserve">  </w:t>
      </w:r>
      <w:r>
        <w:rPr>
          <w:rFonts w:hint="eastAsia" w:ascii="仿宋_GB2312" w:hAnsi="宋体" w:eastAsia="仿宋_GB2312" w:cs="宋体"/>
          <w:kern w:val="0"/>
          <w:sz w:val="29"/>
          <w:szCs w:val="29"/>
          <w:lang w:val="en-US" w:eastAsia="zh-CN"/>
        </w:rPr>
        <w:t xml:space="preserve">建立并执行清洁消毒制度。应当根据原料、产品和工艺的特点，选择适合的洗涤剂、消毒剂，针对生产设备和环境制定并执行清洁消毒制度，并做好相关记录，保证生产场所、 设备和设施等清洁卫生。 </w:t>
      </w:r>
    </w:p>
    <w:p w14:paraId="4771D52E">
      <w:pPr>
        <w:widowControl/>
        <w:spacing w:line="503" w:lineRule="atLeast"/>
        <w:ind w:firstLine="584"/>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洗涤剂、消毒剂的配制、使用方法应当符合相关规定。</w:t>
      </w:r>
    </w:p>
    <w:p w14:paraId="4BC3DE22">
      <w:pPr>
        <w:widowControl/>
        <w:spacing w:line="503" w:lineRule="atLeast"/>
        <w:ind w:firstLine="580" w:firstLineChars="200"/>
        <w:jc w:val="left"/>
        <w:rPr>
          <w:rFonts w:hint="eastAsia" w:ascii="仿宋_GB2312" w:hAnsi="宋体" w:eastAsia="仿宋_GB2312" w:cs="宋体"/>
          <w:kern w:val="0"/>
          <w:sz w:val="29"/>
          <w:szCs w:val="29"/>
          <w:lang w:val="en-US" w:eastAsia="zh-CN"/>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三十</w:t>
      </w:r>
      <w:r>
        <w:rPr>
          <w:rFonts w:hint="eastAsia" w:ascii="黑体" w:hAnsi="黑体" w:eastAsia="黑体" w:cs="宋体"/>
          <w:kern w:val="0"/>
          <w:sz w:val="29"/>
          <w:szCs w:val="29"/>
        </w:rPr>
        <w:t>条</w:t>
      </w:r>
      <w:r>
        <w:rPr>
          <w:rFonts w:hint="eastAsia" w:ascii="黑体" w:hAnsi="黑体" w:eastAsia="黑体" w:cs="宋体"/>
          <w:kern w:val="0"/>
          <w:sz w:val="29"/>
          <w:szCs w:val="29"/>
          <w:lang w:val="en-US" w:eastAsia="zh-CN"/>
        </w:rPr>
        <w:t xml:space="preserve">  </w:t>
      </w:r>
      <w:r>
        <w:rPr>
          <w:rFonts w:hint="eastAsia" w:ascii="仿宋_GB2312" w:hAnsi="宋体" w:eastAsia="仿宋_GB2312" w:cs="宋体"/>
          <w:kern w:val="0"/>
          <w:sz w:val="29"/>
          <w:szCs w:val="29"/>
          <w:lang w:val="en-US" w:eastAsia="zh-CN"/>
        </w:rPr>
        <w:t>建立并执行产品运输和交付管理制度。根据产品的特点和卫生要求，选择适宜的运输条件，明确产品交付相关要求。属于危险化学品、易制毒化学品、精神药品等对运输和交付有特殊要求的食品添加剂产品，应当符合国家相关部门的规定。</w:t>
      </w:r>
    </w:p>
    <w:p w14:paraId="1F6CE879">
      <w:pPr>
        <w:widowControl/>
        <w:spacing w:line="503" w:lineRule="atLeast"/>
        <w:ind w:firstLine="580" w:firstLineChars="200"/>
        <w:jc w:val="left"/>
        <w:rPr>
          <w:rFonts w:hint="eastAsia" w:ascii="仿宋_GB2312" w:hAnsi="宋体" w:eastAsia="仿宋_GB2312" w:cs="宋体"/>
          <w:kern w:val="0"/>
          <w:sz w:val="29"/>
          <w:szCs w:val="29"/>
          <w:lang w:val="en-US" w:eastAsia="zh-CN"/>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三十一</w:t>
      </w:r>
      <w:r>
        <w:rPr>
          <w:rFonts w:hint="eastAsia" w:ascii="黑体" w:hAnsi="黑体" w:eastAsia="黑体" w:cs="宋体"/>
          <w:kern w:val="0"/>
          <w:sz w:val="29"/>
          <w:szCs w:val="29"/>
        </w:rPr>
        <w:t>条</w:t>
      </w:r>
      <w:r>
        <w:rPr>
          <w:rFonts w:hint="eastAsia" w:ascii="黑体" w:hAnsi="黑体" w:eastAsia="黑体" w:cs="宋体"/>
          <w:kern w:val="0"/>
          <w:sz w:val="29"/>
          <w:szCs w:val="29"/>
          <w:lang w:val="en-US" w:eastAsia="zh-CN"/>
        </w:rPr>
        <w:t xml:space="preserve">  </w:t>
      </w:r>
      <w:r>
        <w:rPr>
          <w:rFonts w:hint="eastAsia" w:ascii="仿宋_GB2312" w:hAnsi="宋体" w:eastAsia="仿宋_GB2312" w:cs="宋体"/>
          <w:kern w:val="0"/>
          <w:sz w:val="29"/>
          <w:szCs w:val="29"/>
          <w:lang w:val="en-US" w:eastAsia="zh-CN"/>
        </w:rPr>
        <w:t>建立并执行食品安全自查制度。企业应当对甜酒曲生产安全状况进行检查评价，并规定自查频次。自查内容应当包括原料进货查验情况、生产过程控制情况、人员管理情况、检验管理情况、记录及文件管理情况等。</w:t>
      </w:r>
    </w:p>
    <w:p w14:paraId="55B76415">
      <w:pPr>
        <w:keepNext w:val="0"/>
        <w:keepLines w:val="0"/>
        <w:widowControl/>
        <w:suppressLineNumbers w:val="0"/>
        <w:ind w:firstLine="580" w:firstLineChars="200"/>
        <w:jc w:val="left"/>
        <w:rPr>
          <w:rFonts w:hint="eastAsia" w:ascii="仿宋_GB2312" w:hAnsi="宋体" w:eastAsia="仿宋_GB2312" w:cs="宋体"/>
          <w:kern w:val="0"/>
          <w:sz w:val="29"/>
          <w:szCs w:val="29"/>
          <w:lang w:val="en-US" w:eastAsia="zh-CN"/>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三十二</w:t>
      </w:r>
      <w:r>
        <w:rPr>
          <w:rFonts w:hint="eastAsia" w:ascii="黑体" w:hAnsi="黑体" w:eastAsia="黑体" w:cs="宋体"/>
          <w:kern w:val="0"/>
          <w:sz w:val="29"/>
          <w:szCs w:val="29"/>
        </w:rPr>
        <w:t>条</w:t>
      </w:r>
      <w:r>
        <w:rPr>
          <w:rFonts w:hint="eastAsia" w:ascii="黑体" w:hAnsi="黑体" w:eastAsia="黑体" w:cs="宋体"/>
          <w:kern w:val="0"/>
          <w:sz w:val="29"/>
          <w:szCs w:val="29"/>
          <w:lang w:val="en-US" w:eastAsia="zh-CN"/>
        </w:rPr>
        <w:t xml:space="preserve">  </w:t>
      </w:r>
      <w:r>
        <w:rPr>
          <w:rFonts w:hint="eastAsia" w:ascii="仿宋_GB2312" w:hAnsi="宋体" w:eastAsia="仿宋_GB2312" w:cs="宋体"/>
          <w:kern w:val="0"/>
          <w:sz w:val="29"/>
          <w:szCs w:val="29"/>
          <w:lang w:val="en-US" w:eastAsia="zh-CN"/>
        </w:rPr>
        <w:t>建立并执行不合格品管理及不安全产品召回制度。对在验收和生产过程中发现的不合格原料、半成品和成品，企业应当采取标示、贮存和处置措施。不合格品应当与合格品分开放置并明显标记，如实、完整记录不合格品保存和处理情况。企业应当对召回的产品采取补救、无害化处置、销毁 等措施，如实记录召回和处置情况，并向所在地县级市场监管部门报告。</w:t>
      </w:r>
    </w:p>
    <w:p w14:paraId="220D3A1D">
      <w:pPr>
        <w:keepNext w:val="0"/>
        <w:keepLines w:val="0"/>
        <w:widowControl/>
        <w:suppressLineNumbers w:val="0"/>
        <w:ind w:firstLine="580" w:firstLineChars="200"/>
        <w:jc w:val="left"/>
        <w:rPr>
          <w:rFonts w:hint="eastAsia" w:ascii="仿宋_GB2312" w:hAnsi="宋体" w:eastAsia="仿宋_GB2312" w:cs="宋体"/>
          <w:kern w:val="0"/>
          <w:sz w:val="29"/>
          <w:szCs w:val="29"/>
          <w:lang w:val="en-US" w:eastAsia="zh-CN"/>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三十三</w:t>
      </w:r>
      <w:r>
        <w:rPr>
          <w:rFonts w:hint="eastAsia" w:ascii="黑体" w:hAnsi="黑体" w:eastAsia="黑体" w:cs="宋体"/>
          <w:kern w:val="0"/>
          <w:sz w:val="29"/>
          <w:szCs w:val="29"/>
        </w:rPr>
        <w:t>条</w:t>
      </w:r>
      <w:r>
        <w:rPr>
          <w:rFonts w:hint="eastAsia" w:ascii="黑体" w:hAnsi="黑体" w:eastAsia="黑体" w:cs="宋体"/>
          <w:kern w:val="0"/>
          <w:sz w:val="29"/>
          <w:szCs w:val="29"/>
          <w:lang w:val="en-US" w:eastAsia="zh-CN"/>
        </w:rPr>
        <w:t xml:space="preserve"> </w:t>
      </w:r>
      <w:r>
        <w:rPr>
          <w:rFonts w:hint="eastAsia" w:ascii="仿宋_GB2312" w:hAnsi="宋体" w:eastAsia="仿宋_GB2312" w:cs="宋体"/>
          <w:kern w:val="0"/>
          <w:sz w:val="29"/>
          <w:szCs w:val="29"/>
          <w:lang w:val="en-US" w:eastAsia="zh-CN"/>
        </w:rPr>
        <w:t xml:space="preserve">企业应当建立并执行下列制度： </w:t>
      </w:r>
    </w:p>
    <w:p w14:paraId="40EC67E1">
      <w:pPr>
        <w:keepNext w:val="0"/>
        <w:keepLines w:val="0"/>
        <w:widowControl/>
        <w:suppressLineNumbers w:val="0"/>
        <w:ind w:firstLine="580" w:firstLineChars="200"/>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 xml:space="preserve">（一）建立并执行日管控、周排查、月调度工作机制。企业 </w:t>
      </w:r>
    </w:p>
    <w:p w14:paraId="59900591">
      <w:pPr>
        <w:keepNext w:val="0"/>
        <w:keepLines w:val="0"/>
        <w:widowControl/>
        <w:suppressLineNumbers w:val="0"/>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 xml:space="preserve">应当结合所生产产品的特点，制定《食品安全风险管控清单》， 并根据《食品安全风险管控清单》做好日管控、周排查、月调度 工作。食品安全员开展日管控工作，食品安全总监或者食品安全员 开展周排查工作，主要负责人开展月调度工作。  </w:t>
      </w:r>
    </w:p>
    <w:p w14:paraId="4E554D67">
      <w:pPr>
        <w:keepNext w:val="0"/>
        <w:keepLines w:val="0"/>
        <w:widowControl/>
        <w:suppressLineNumbers w:val="0"/>
        <w:ind w:firstLine="580" w:firstLineChars="200"/>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 xml:space="preserve">（二）建立并执行生产和检验设备设施管理制度。明确生产、 </w:t>
      </w:r>
    </w:p>
    <w:p w14:paraId="7E7A6FB3">
      <w:pPr>
        <w:keepNext w:val="0"/>
        <w:keepLines w:val="0"/>
        <w:widowControl/>
        <w:suppressLineNumbers w:val="0"/>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 xml:space="preserve">检验设备设施管理责任，制定设备设施使用、清洁、维护保养、维修等操作规程以及设备检定或校准要求，并保存相关记录。 </w:t>
      </w:r>
    </w:p>
    <w:p w14:paraId="3114ADC8">
      <w:pPr>
        <w:keepNext w:val="0"/>
        <w:keepLines w:val="0"/>
        <w:widowControl/>
        <w:suppressLineNumbers w:val="0"/>
        <w:ind w:firstLine="580" w:firstLineChars="200"/>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 xml:space="preserve">（三）建立并执行食品安全事故处置制度。企业应当按照法 </w:t>
      </w:r>
    </w:p>
    <w:p w14:paraId="44B7A05C">
      <w:pPr>
        <w:keepNext w:val="0"/>
        <w:keepLines w:val="0"/>
        <w:widowControl/>
        <w:suppressLineNumbers w:val="0"/>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 xml:space="preserve">律法规要求建立食品安全事故处置方案，定期检查本企业各项食 品安全防范措施的落实情况，及时消除事故隐患。 </w:t>
      </w:r>
    </w:p>
    <w:p w14:paraId="57491DC6">
      <w:pPr>
        <w:keepNext w:val="0"/>
        <w:keepLines w:val="0"/>
        <w:widowControl/>
        <w:suppressLineNumbers w:val="0"/>
        <w:ind w:firstLine="580" w:firstLineChars="200"/>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 xml:space="preserve">（四）建立并执行虫害控制制度。应当根据情况制定预防虫 </w:t>
      </w:r>
    </w:p>
    <w:p w14:paraId="7736BA78">
      <w:pPr>
        <w:keepNext w:val="0"/>
        <w:keepLines w:val="0"/>
        <w:widowControl/>
        <w:suppressLineNumbers w:val="0"/>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 xml:space="preserve">害控制程序，采取有效措施防止虫害侵入及孳生。 </w:t>
      </w:r>
    </w:p>
    <w:p w14:paraId="7781914D">
      <w:pPr>
        <w:keepNext w:val="0"/>
        <w:keepLines w:val="0"/>
        <w:widowControl/>
        <w:suppressLineNumbers w:val="0"/>
        <w:ind w:firstLine="580" w:firstLineChars="200"/>
        <w:jc w:val="left"/>
        <w:rPr>
          <w:rFonts w:hint="eastAsia" w:ascii="仿宋_GB2312" w:hAnsi="宋体" w:eastAsia="黑体" w:cs="宋体"/>
          <w:kern w:val="0"/>
          <w:sz w:val="29"/>
          <w:szCs w:val="29"/>
          <w:lang w:val="en-US" w:eastAsia="zh-CN"/>
        </w:rPr>
      </w:pPr>
      <w:r>
        <w:rPr>
          <w:rFonts w:hint="eastAsia" w:ascii="仿宋_GB2312" w:hAnsi="宋体" w:eastAsia="仿宋_GB2312" w:cs="宋体"/>
          <w:kern w:val="0"/>
          <w:sz w:val="29"/>
          <w:szCs w:val="29"/>
          <w:lang w:val="en-US" w:eastAsia="zh-CN"/>
        </w:rPr>
        <w:t>（五）其他法律法规规定需要建立的制度</w:t>
      </w:r>
      <w:r>
        <w:rPr>
          <w:rFonts w:ascii="仿宋_GB2312" w:hAnsi="仿宋_GB2312" w:eastAsia="仿宋_GB2312" w:cs="仿宋_GB2312"/>
          <w:color w:val="000000"/>
          <w:kern w:val="0"/>
          <w:sz w:val="31"/>
          <w:szCs w:val="31"/>
          <w:lang w:val="en-US" w:eastAsia="zh-CN" w:bidi="ar"/>
        </w:rPr>
        <w:t>。</w:t>
      </w:r>
    </w:p>
    <w:p w14:paraId="5FA2EF05">
      <w:pPr>
        <w:widowControl/>
        <w:spacing w:line="503" w:lineRule="atLeast"/>
        <w:jc w:val="center"/>
        <w:outlineLvl w:val="2"/>
        <w:rPr>
          <w:rFonts w:hint="eastAsia" w:ascii="黑体" w:hAnsi="黑体" w:eastAsia="黑体" w:cs="宋体"/>
          <w:kern w:val="0"/>
          <w:sz w:val="29"/>
          <w:szCs w:val="29"/>
        </w:rPr>
      </w:pPr>
    </w:p>
    <w:p w14:paraId="20F024D7">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第八节</w:t>
      </w:r>
      <w:r>
        <w:rPr>
          <w:rFonts w:hint="eastAsia" w:ascii="宋体" w:hAnsi="宋体" w:eastAsia="宋体" w:cs="宋体"/>
          <w:kern w:val="0"/>
          <w:sz w:val="29"/>
          <w:szCs w:val="29"/>
        </w:rPr>
        <w:t> </w:t>
      </w:r>
      <w:r>
        <w:rPr>
          <w:rFonts w:hint="eastAsia" w:ascii="黑体" w:hAnsi="黑体" w:eastAsia="黑体" w:cs="宋体"/>
          <w:kern w:val="0"/>
          <w:sz w:val="29"/>
          <w:szCs w:val="29"/>
        </w:rPr>
        <w:t>试制产品检验</w:t>
      </w:r>
    </w:p>
    <w:p w14:paraId="4B11EE8D">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三十四</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企业按所申报其他食品（</w:t>
      </w: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）的品种和执行标准，分别从同一规格、同一批次的试制产品中抽取样品检验。</w:t>
      </w:r>
    </w:p>
    <w:p w14:paraId="577F297E">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三十五</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企业应对提供的检验报告真实性负责；检验项目按产品适用的食品安全国家标准、行业标准、企业标准及国务院卫生行政部门的相关公告要求进行。</w:t>
      </w:r>
    </w:p>
    <w:p w14:paraId="15EB503B">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第九节</w:t>
      </w:r>
      <w:r>
        <w:rPr>
          <w:rFonts w:hint="eastAsia" w:ascii="宋体" w:hAnsi="宋体" w:eastAsia="宋体" w:cs="宋体"/>
          <w:kern w:val="0"/>
          <w:sz w:val="29"/>
          <w:szCs w:val="29"/>
        </w:rPr>
        <w:t> </w:t>
      </w:r>
      <w:r>
        <w:rPr>
          <w:rFonts w:hint="eastAsia" w:ascii="黑体" w:hAnsi="黑体" w:eastAsia="黑体" w:cs="宋体"/>
          <w:kern w:val="0"/>
          <w:sz w:val="29"/>
          <w:szCs w:val="29"/>
        </w:rPr>
        <w:t>附</w:t>
      </w:r>
      <w:r>
        <w:rPr>
          <w:rFonts w:hint="eastAsia" w:ascii="宋体" w:hAnsi="宋体" w:eastAsia="宋体" w:cs="宋体"/>
          <w:kern w:val="0"/>
          <w:sz w:val="29"/>
          <w:szCs w:val="29"/>
        </w:rPr>
        <w:t> </w:t>
      </w:r>
      <w:r>
        <w:rPr>
          <w:rFonts w:hint="eastAsia" w:ascii="黑体" w:hAnsi="黑体" w:eastAsia="黑体" w:cs="宋体"/>
          <w:kern w:val="0"/>
          <w:sz w:val="29"/>
          <w:szCs w:val="29"/>
        </w:rPr>
        <w:t>则</w:t>
      </w:r>
    </w:p>
    <w:p w14:paraId="420C372E">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三十六</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本</w:t>
      </w:r>
      <w:r>
        <w:rPr>
          <w:rFonts w:hint="eastAsia" w:ascii="仿宋_GB2312" w:hAnsi="宋体" w:eastAsia="仿宋_GB2312" w:cs="宋体"/>
          <w:kern w:val="0"/>
          <w:sz w:val="29"/>
          <w:szCs w:val="29"/>
          <w:lang w:val="en-US" w:eastAsia="zh-CN"/>
        </w:rPr>
        <w:t>方案</w:t>
      </w:r>
      <w:r>
        <w:rPr>
          <w:rFonts w:hint="eastAsia" w:ascii="仿宋_GB2312" w:hAnsi="宋体" w:eastAsia="仿宋_GB2312" w:cs="宋体"/>
          <w:kern w:val="0"/>
          <w:sz w:val="29"/>
          <w:szCs w:val="29"/>
        </w:rPr>
        <w:t>由淮南市场监督管理局负责解释。</w:t>
      </w:r>
    </w:p>
    <w:p w14:paraId="650ED6E4">
      <w:pPr>
        <w:widowControl/>
        <w:spacing w:line="503" w:lineRule="atLeast"/>
        <w:ind w:firstLine="584"/>
        <w:jc w:val="left"/>
        <w:rPr>
          <w:rFonts w:hint="eastAsia" w:ascii="仿宋_GB2312" w:hAnsi="宋体" w:eastAsia="仿宋_GB2312" w:cs="宋体"/>
          <w:kern w:val="0"/>
          <w:sz w:val="29"/>
          <w:szCs w:val="29"/>
        </w:rPr>
      </w:pPr>
      <w:r>
        <w:rPr>
          <w:rFonts w:hint="eastAsia" w:ascii="黑体" w:hAnsi="黑体" w:eastAsia="黑体" w:cs="宋体"/>
          <w:kern w:val="0"/>
          <w:sz w:val="29"/>
          <w:szCs w:val="29"/>
        </w:rPr>
        <w:t>第</w:t>
      </w:r>
      <w:r>
        <w:rPr>
          <w:rFonts w:hint="eastAsia" w:ascii="黑体" w:hAnsi="黑体" w:eastAsia="黑体" w:cs="宋体"/>
          <w:kern w:val="0"/>
          <w:sz w:val="29"/>
          <w:szCs w:val="29"/>
          <w:lang w:val="en-US" w:eastAsia="zh-CN"/>
        </w:rPr>
        <w:t>三十七</w:t>
      </w:r>
      <w:r>
        <w:rPr>
          <w:rFonts w:hint="eastAsia" w:ascii="黑体" w:hAnsi="黑体" w:eastAsia="黑体" w:cs="宋体"/>
          <w:kern w:val="0"/>
          <w:sz w:val="29"/>
          <w:szCs w:val="29"/>
        </w:rPr>
        <w:t>条　</w:t>
      </w:r>
      <w:r>
        <w:rPr>
          <w:rFonts w:hint="eastAsia" w:ascii="仿宋_GB2312" w:hAnsi="宋体" w:eastAsia="仿宋_GB2312" w:cs="宋体"/>
          <w:kern w:val="0"/>
          <w:sz w:val="29"/>
          <w:szCs w:val="29"/>
        </w:rPr>
        <w:t>本</w:t>
      </w:r>
      <w:r>
        <w:rPr>
          <w:rFonts w:hint="eastAsia" w:ascii="仿宋_GB2312" w:hAnsi="宋体" w:eastAsia="仿宋_GB2312" w:cs="宋体"/>
          <w:kern w:val="0"/>
          <w:sz w:val="29"/>
          <w:szCs w:val="29"/>
          <w:lang w:val="en-US" w:eastAsia="zh-CN"/>
        </w:rPr>
        <w:t>方案</w:t>
      </w:r>
      <w:r>
        <w:rPr>
          <w:rFonts w:hint="eastAsia" w:ascii="仿宋_GB2312" w:hAnsi="宋体" w:eastAsia="仿宋_GB2312" w:cs="宋体"/>
          <w:kern w:val="0"/>
          <w:sz w:val="29"/>
          <w:szCs w:val="29"/>
        </w:rPr>
        <w:t>自发布之日起施行,相关法律法规及公告若有更新，按照最新要求执行。</w:t>
      </w:r>
    </w:p>
    <w:p w14:paraId="23666A04">
      <w:pPr>
        <w:widowControl/>
        <w:spacing w:line="503" w:lineRule="atLeast"/>
        <w:ind w:firstLine="584"/>
        <w:jc w:val="left"/>
        <w:rPr>
          <w:rFonts w:ascii="宋体" w:hAnsi="宋体" w:eastAsia="宋体" w:cs="宋体"/>
          <w:kern w:val="0"/>
          <w:sz w:val="24"/>
          <w:szCs w:val="24"/>
        </w:rPr>
      </w:pPr>
    </w:p>
    <w:p w14:paraId="2CD7E00D">
      <w:pPr>
        <w:widowControl/>
        <w:spacing w:line="503" w:lineRule="atLeast"/>
        <w:ind w:firstLine="584"/>
        <w:jc w:val="left"/>
        <w:rPr>
          <w:rFonts w:ascii="宋体" w:hAnsi="宋体" w:eastAsia="宋体" w:cs="宋体"/>
          <w:kern w:val="0"/>
          <w:sz w:val="24"/>
          <w:szCs w:val="24"/>
        </w:rPr>
      </w:pPr>
      <w:r>
        <w:rPr>
          <w:rFonts w:hint="eastAsia" w:ascii="仿宋_GB2312" w:hAnsi="宋体" w:eastAsia="仿宋_GB2312" w:cs="宋体"/>
          <w:kern w:val="0"/>
          <w:sz w:val="29"/>
          <w:szCs w:val="29"/>
        </w:rPr>
        <w:t>附件</w:t>
      </w:r>
      <w:r>
        <w:rPr>
          <w:rFonts w:hint="eastAsia" w:ascii="仿宋_GB2312" w:hAnsi="宋体" w:eastAsia="仿宋_GB2312" w:cs="宋体"/>
          <w:spacing w:val="-14"/>
          <w:kern w:val="0"/>
          <w:sz w:val="29"/>
          <w:szCs w:val="29"/>
        </w:rPr>
        <w:t>：</w:t>
      </w:r>
      <w:r>
        <w:rPr>
          <w:rFonts w:hint="eastAsia" w:ascii="仿宋_GB2312" w:hAnsi="宋体" w:eastAsia="仿宋_GB2312" w:cs="宋体"/>
          <w:kern w:val="0"/>
          <w:sz w:val="29"/>
          <w:szCs w:val="29"/>
        </w:rPr>
        <w:t>1.</w:t>
      </w:r>
      <w:bookmarkStart w:id="12" w:name="OLE_LINK28"/>
      <w:bookmarkStart w:id="13" w:name="OLE_LINK29"/>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涉及的主要标准</w:t>
      </w:r>
      <w:bookmarkEnd w:id="12"/>
      <w:bookmarkEnd w:id="13"/>
    </w:p>
    <w:p w14:paraId="4A913932">
      <w:pPr>
        <w:widowControl/>
        <w:numPr>
          <w:ilvl w:val="0"/>
          <w:numId w:val="2"/>
        </w:numPr>
        <w:spacing w:line="503" w:lineRule="atLeast"/>
        <w:ind w:firstLine="145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涉及的检验项目与方法</w:t>
      </w:r>
    </w:p>
    <w:p w14:paraId="5684EE63">
      <w:pPr>
        <w:widowControl/>
        <w:numPr>
          <w:ilvl w:val="0"/>
          <w:numId w:val="0"/>
        </w:numPr>
        <w:spacing w:line="503" w:lineRule="atLeast"/>
        <w:jc w:val="left"/>
        <w:rPr>
          <w:rFonts w:hint="eastAsia" w:ascii="仿宋_GB2312" w:hAnsi="宋体" w:eastAsia="仿宋_GB2312" w:cs="宋体"/>
          <w:kern w:val="0"/>
          <w:sz w:val="29"/>
          <w:szCs w:val="29"/>
        </w:rPr>
      </w:pPr>
    </w:p>
    <w:p w14:paraId="110CEDB5">
      <w:pPr>
        <w:widowControl/>
        <w:numPr>
          <w:ilvl w:val="0"/>
          <w:numId w:val="0"/>
        </w:numPr>
        <w:spacing w:line="503" w:lineRule="atLeast"/>
        <w:jc w:val="left"/>
        <w:rPr>
          <w:rFonts w:hint="eastAsia" w:ascii="仿宋_GB2312" w:hAnsi="宋体" w:eastAsia="仿宋_GB2312" w:cs="宋体"/>
          <w:kern w:val="0"/>
          <w:sz w:val="29"/>
          <w:szCs w:val="29"/>
        </w:rPr>
      </w:pPr>
    </w:p>
    <w:p w14:paraId="359FC6F2">
      <w:pPr>
        <w:widowControl/>
        <w:numPr>
          <w:ilvl w:val="0"/>
          <w:numId w:val="0"/>
        </w:numPr>
        <w:spacing w:line="503" w:lineRule="atLeast"/>
        <w:jc w:val="left"/>
        <w:rPr>
          <w:rFonts w:hint="eastAsia" w:ascii="仿宋_GB2312" w:hAnsi="宋体" w:eastAsia="仿宋_GB2312" w:cs="宋体"/>
          <w:kern w:val="0"/>
          <w:sz w:val="29"/>
          <w:szCs w:val="29"/>
        </w:rPr>
      </w:pPr>
    </w:p>
    <w:p w14:paraId="571449EF">
      <w:pPr>
        <w:widowControl/>
        <w:numPr>
          <w:ilvl w:val="0"/>
          <w:numId w:val="0"/>
        </w:numPr>
        <w:spacing w:line="503" w:lineRule="atLeast"/>
        <w:jc w:val="left"/>
        <w:rPr>
          <w:rFonts w:hint="eastAsia" w:ascii="仿宋_GB2312" w:hAnsi="宋体" w:eastAsia="仿宋_GB2312" w:cs="宋体"/>
          <w:kern w:val="0"/>
          <w:sz w:val="29"/>
          <w:szCs w:val="29"/>
        </w:rPr>
      </w:pPr>
    </w:p>
    <w:p w14:paraId="3D803C65">
      <w:pPr>
        <w:widowControl/>
        <w:numPr>
          <w:ilvl w:val="0"/>
          <w:numId w:val="0"/>
        </w:numPr>
        <w:spacing w:line="503" w:lineRule="atLeast"/>
        <w:jc w:val="left"/>
        <w:rPr>
          <w:rFonts w:hint="eastAsia" w:ascii="仿宋_GB2312" w:hAnsi="宋体" w:eastAsia="仿宋_GB2312" w:cs="宋体"/>
          <w:kern w:val="0"/>
          <w:sz w:val="29"/>
          <w:szCs w:val="29"/>
        </w:rPr>
      </w:pPr>
    </w:p>
    <w:p w14:paraId="1D3E11A4">
      <w:pPr>
        <w:widowControl/>
        <w:numPr>
          <w:ilvl w:val="0"/>
          <w:numId w:val="0"/>
        </w:numPr>
        <w:spacing w:line="503" w:lineRule="atLeast"/>
        <w:jc w:val="left"/>
        <w:rPr>
          <w:rFonts w:hint="eastAsia" w:ascii="仿宋_GB2312" w:hAnsi="宋体" w:eastAsia="仿宋_GB2312" w:cs="宋体"/>
          <w:kern w:val="0"/>
          <w:sz w:val="29"/>
          <w:szCs w:val="29"/>
        </w:rPr>
      </w:pPr>
    </w:p>
    <w:p w14:paraId="648C1038">
      <w:pPr>
        <w:widowControl/>
        <w:numPr>
          <w:ilvl w:val="0"/>
          <w:numId w:val="0"/>
        </w:numPr>
        <w:spacing w:line="503" w:lineRule="atLeast"/>
        <w:jc w:val="left"/>
        <w:rPr>
          <w:rFonts w:hint="eastAsia" w:ascii="仿宋_GB2312" w:hAnsi="宋体" w:eastAsia="仿宋_GB2312" w:cs="宋体"/>
          <w:kern w:val="0"/>
          <w:sz w:val="29"/>
          <w:szCs w:val="29"/>
        </w:rPr>
      </w:pPr>
    </w:p>
    <w:p w14:paraId="33A71963">
      <w:pPr>
        <w:rPr>
          <w:rFonts w:ascii="仿宋_GB2312" w:hAnsi="宋体" w:eastAsia="仿宋_GB2312" w:cs="宋体"/>
          <w:kern w:val="0"/>
          <w:sz w:val="29"/>
          <w:szCs w:val="29"/>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涉及的主要标准：</w:t>
      </w:r>
    </w:p>
    <w:tbl>
      <w:tblPr>
        <w:tblStyle w:val="7"/>
        <w:tblpPr w:leftFromText="180" w:rightFromText="180" w:vertAnchor="text" w:tblpY="1"/>
        <w:tblOverlap w:val="never"/>
        <w:tblW w:w="805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4"/>
        <w:gridCol w:w="1634"/>
        <w:gridCol w:w="5748"/>
      </w:tblGrid>
      <w:tr w14:paraId="564929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AB49A97">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序号</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803B5D9">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标准号</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3609633">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标准名称</w:t>
            </w:r>
          </w:p>
        </w:tc>
      </w:tr>
      <w:tr w14:paraId="3D3BF7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8"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66CED4A">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1</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B82F3FB">
            <w:pPr>
              <w:widowControl/>
              <w:wordWrap w:val="0"/>
              <w:spacing w:line="326" w:lineRule="atLeast"/>
              <w:jc w:val="left"/>
              <w:rPr>
                <w:rFonts w:hint="default" w:ascii="仿宋_GB2312" w:hAnsi="宋体" w:eastAsia="仿宋_GB2312" w:cs="宋体"/>
                <w:kern w:val="0"/>
                <w:sz w:val="29"/>
                <w:szCs w:val="29"/>
                <w:lang w:val="en-US" w:eastAsia="zh-CN"/>
              </w:rPr>
            </w:pPr>
            <w:bookmarkStart w:id="14" w:name="OLE_LINK34"/>
            <w:bookmarkStart w:id="15" w:name="OLE_LINK35"/>
            <w:r>
              <w:rPr>
                <w:rFonts w:hint="eastAsia" w:ascii="仿宋_GB2312" w:hAnsi="宋体" w:eastAsia="仿宋_GB2312" w:cs="宋体"/>
                <w:kern w:val="0"/>
                <w:sz w:val="29"/>
                <w:szCs w:val="29"/>
              </w:rPr>
              <w:t xml:space="preserve">QB/T </w:t>
            </w:r>
            <w:bookmarkEnd w:id="14"/>
            <w:bookmarkEnd w:id="15"/>
            <w:r>
              <w:rPr>
                <w:rFonts w:hint="eastAsia" w:ascii="仿宋_GB2312" w:hAnsi="宋体" w:eastAsia="仿宋_GB2312" w:cs="宋体"/>
                <w:kern w:val="0"/>
                <w:sz w:val="29"/>
                <w:szCs w:val="29"/>
                <w:lang w:val="en-US" w:eastAsia="zh-CN"/>
              </w:rPr>
              <w:t>4577</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7320A31">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甜酒曲</w:t>
            </w:r>
          </w:p>
        </w:tc>
      </w:tr>
      <w:tr w14:paraId="22FDD8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3"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1F37766">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2</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E47614B">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GB/T 191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89B7F8D">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包装储运图示标志</w:t>
            </w:r>
          </w:p>
        </w:tc>
      </w:tr>
      <w:tr w14:paraId="174803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6"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D44A284">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3</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688ED71">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2760</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4222513">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食品添加剂使用标准</w:t>
            </w:r>
          </w:p>
        </w:tc>
      </w:tr>
      <w:tr w14:paraId="100AF7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31B8D9F">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4</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003536A">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2761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A3DA587">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食品中真菌毒素限量</w:t>
            </w:r>
          </w:p>
        </w:tc>
      </w:tr>
      <w:tr w14:paraId="6790E0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051FD0D">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5</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95F320C">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2762</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0B47692">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食品中污染物限量</w:t>
            </w:r>
          </w:p>
        </w:tc>
      </w:tr>
      <w:tr w14:paraId="259207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1B655C7">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6</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FDE1E04">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2763</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38BAB40">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食品中农药最大残留限量</w:t>
            </w:r>
          </w:p>
        </w:tc>
      </w:tr>
      <w:tr w14:paraId="66CFC6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1"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68D204E">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7</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259822E">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4806.1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126603E">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食品接触材料及制品通用安全要求</w:t>
            </w:r>
          </w:p>
        </w:tc>
      </w:tr>
      <w:tr w14:paraId="4D431C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5"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679BA1D">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8</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CE4DFB7">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4806.7</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150FEEA">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食品接触用塑料材料及制品</w:t>
            </w:r>
          </w:p>
        </w:tc>
      </w:tr>
      <w:tr w14:paraId="692EE5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AA5EF30">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9</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524BFD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7718</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25712B9">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预包装食品标签通则</w:t>
            </w:r>
          </w:p>
        </w:tc>
      </w:tr>
      <w:tr w14:paraId="02862B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E4A24CD">
            <w:pPr>
              <w:widowControl/>
              <w:wordWrap w:val="0"/>
              <w:spacing w:line="326" w:lineRule="atLeast"/>
              <w:jc w:val="left"/>
              <w:rPr>
                <w:rFonts w:hint="eastAsia" w:ascii="仿宋_GB2312" w:hAnsi="宋体" w:eastAsia="仿宋_GB2312" w:cs="宋体"/>
                <w:kern w:val="0"/>
                <w:sz w:val="29"/>
                <w:szCs w:val="29"/>
                <w:lang w:eastAsia="zh-CN"/>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0</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1F97120">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14881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88A841D">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食品生产通用卫生规范</w:t>
            </w:r>
          </w:p>
        </w:tc>
      </w:tr>
      <w:tr w14:paraId="0BDFEB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5"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950BB68">
            <w:pPr>
              <w:widowControl/>
              <w:wordWrap w:val="0"/>
              <w:spacing w:line="326" w:lineRule="atLeast"/>
              <w:jc w:val="left"/>
              <w:rPr>
                <w:rFonts w:hint="eastAsia" w:ascii="仿宋_GB2312" w:hAnsi="宋体" w:eastAsia="仿宋_GB2312" w:cs="宋体"/>
                <w:kern w:val="0"/>
                <w:sz w:val="29"/>
                <w:szCs w:val="29"/>
                <w:lang w:eastAsia="zh-CN"/>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1</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D8895A4">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GB 5749</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65D72F3">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生活饮用水卫生标准</w:t>
            </w:r>
          </w:p>
        </w:tc>
      </w:tr>
      <w:tr w14:paraId="5170F6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9"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8BEFB52">
            <w:pPr>
              <w:widowControl/>
              <w:wordWrap w:val="0"/>
              <w:spacing w:line="326" w:lineRule="atLeast"/>
              <w:jc w:val="left"/>
              <w:rPr>
                <w:rFonts w:hint="eastAsia" w:ascii="仿宋_GB2312" w:hAnsi="宋体" w:eastAsia="仿宋_GB2312" w:cs="宋体"/>
                <w:kern w:val="0"/>
                <w:sz w:val="29"/>
                <w:szCs w:val="29"/>
                <w:lang w:eastAsia="zh-CN"/>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2</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F773545">
            <w:pPr>
              <w:widowControl/>
              <w:wordWrap w:val="0"/>
              <w:spacing w:line="326" w:lineRule="atLeast"/>
              <w:jc w:val="left"/>
              <w:rPr>
                <w:rFonts w:hint="default" w:ascii="仿宋_GB2312" w:hAnsi="宋体" w:eastAsia="仿宋_GB2312" w:cs="宋体"/>
                <w:kern w:val="0"/>
                <w:sz w:val="29"/>
                <w:szCs w:val="29"/>
                <w:lang w:val="en-US" w:eastAsia="zh-CN"/>
              </w:rPr>
            </w:pPr>
            <w:r>
              <w:rPr>
                <w:rFonts w:ascii="仿宋_GB2312" w:hAnsi="宋体" w:eastAsia="仿宋_GB2312" w:cs="宋体"/>
                <w:kern w:val="0"/>
                <w:sz w:val="29"/>
                <w:szCs w:val="29"/>
              </w:rPr>
              <w:t>GB/T</w:t>
            </w:r>
            <w:r>
              <w:rPr>
                <w:rFonts w:hint="eastAsia" w:ascii="仿宋_GB2312" w:hAnsi="宋体" w:eastAsia="仿宋_GB2312" w:cs="宋体"/>
                <w:kern w:val="0"/>
                <w:sz w:val="29"/>
                <w:szCs w:val="29"/>
                <w:lang w:val="en-US" w:eastAsia="zh-CN"/>
              </w:rPr>
              <w:t>1354</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58D10EF">
            <w:pPr>
              <w:widowControl/>
              <w:wordWrap w:val="0"/>
              <w:spacing w:line="326" w:lineRule="atLeast"/>
              <w:jc w:val="left"/>
              <w:rPr>
                <w:rFonts w:hint="eastAsia" w:ascii="仿宋_GB2312" w:hAnsi="宋体" w:eastAsia="仿宋_GB2312" w:cs="宋体"/>
                <w:kern w:val="0"/>
                <w:sz w:val="29"/>
                <w:szCs w:val="29"/>
                <w:lang w:eastAsia="zh-CN"/>
              </w:rPr>
            </w:pPr>
            <w:r>
              <w:rPr>
                <w:rFonts w:ascii="仿宋_GB2312" w:hAnsi="宋体" w:eastAsia="仿宋_GB2312" w:cs="宋体"/>
                <w:kern w:val="0"/>
                <w:sz w:val="29"/>
                <w:szCs w:val="29"/>
              </w:rPr>
              <w:t xml:space="preserve"> </w:t>
            </w:r>
            <w:r>
              <w:rPr>
                <w:rFonts w:hint="eastAsia" w:ascii="仿宋_GB2312" w:hAnsi="宋体" w:eastAsia="仿宋_GB2312" w:cs="宋体"/>
                <w:kern w:val="0"/>
                <w:sz w:val="29"/>
                <w:szCs w:val="29"/>
                <w:lang w:val="en-US" w:eastAsia="zh-CN"/>
              </w:rPr>
              <w:t>大米</w:t>
            </w:r>
          </w:p>
        </w:tc>
      </w:tr>
      <w:tr w14:paraId="42243F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8BBF77B">
            <w:pPr>
              <w:widowControl/>
              <w:wordWrap w:val="0"/>
              <w:spacing w:line="326" w:lineRule="atLeast"/>
              <w:jc w:val="left"/>
              <w:rPr>
                <w:rFonts w:hint="eastAsia" w:ascii="仿宋_GB2312" w:hAnsi="宋体" w:eastAsia="仿宋_GB2312" w:cs="宋体"/>
                <w:kern w:val="0"/>
                <w:sz w:val="29"/>
                <w:szCs w:val="29"/>
                <w:lang w:eastAsia="zh-CN"/>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3</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227F21D">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28050</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B852221">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预包装食品营养标签通则</w:t>
            </w:r>
          </w:p>
        </w:tc>
      </w:tr>
      <w:tr w14:paraId="026CFF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2"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DE5F52A">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14</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1047E37">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31639</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1121ECB">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 xml:space="preserve"> 食品安全国家标准 食品加工用菌种制剂</w:t>
            </w:r>
          </w:p>
        </w:tc>
      </w:tr>
      <w:tr w14:paraId="127DEF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2"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76051C6">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15</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B030A53">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GB/T 10463</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D5C39C3">
            <w:pPr>
              <w:widowControl/>
              <w:wordWrap w:val="0"/>
              <w:spacing w:line="326" w:lineRule="atLeast"/>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玉米粉</w:t>
            </w:r>
          </w:p>
        </w:tc>
      </w:tr>
    </w:tbl>
    <w:p w14:paraId="0F068D70">
      <w:pPr>
        <w:widowControl/>
        <w:wordWrap w:val="0"/>
        <w:spacing w:line="326" w:lineRule="atLeast"/>
        <w:jc w:val="left"/>
        <w:rPr>
          <w:rFonts w:hint="eastAsia" w:ascii="仿宋_GB2312" w:hAnsi="宋体" w:eastAsia="仿宋_GB2312" w:cs="宋体"/>
          <w:kern w:val="0"/>
          <w:sz w:val="29"/>
          <w:szCs w:val="29"/>
        </w:rPr>
      </w:pPr>
    </w:p>
    <w:p w14:paraId="792411C8">
      <w:pPr>
        <w:widowControl/>
        <w:wordWrap w:val="0"/>
        <w:spacing w:line="326" w:lineRule="atLeast"/>
        <w:jc w:val="left"/>
        <w:rPr>
          <w:rFonts w:hint="eastAsia" w:ascii="仿宋_GB2312" w:hAnsi="宋体" w:eastAsia="仿宋_GB2312" w:cs="宋体"/>
          <w:kern w:val="0"/>
          <w:sz w:val="29"/>
          <w:szCs w:val="29"/>
        </w:rPr>
      </w:pPr>
      <w:bookmarkStart w:id="16" w:name="_GoBack"/>
      <w:bookmarkEnd w:id="16"/>
    </w:p>
    <w:p w14:paraId="1A10242A">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2、</w:t>
      </w:r>
      <w:r>
        <w:rPr>
          <w:rFonts w:hint="eastAsia" w:ascii="仿宋_GB2312" w:hAnsi="宋体" w:eastAsia="仿宋_GB2312" w:cs="宋体"/>
          <w:kern w:val="0"/>
          <w:sz w:val="29"/>
          <w:szCs w:val="29"/>
          <w:lang w:val="en-US" w:eastAsia="zh-CN"/>
        </w:rPr>
        <w:t>甜酒曲</w:t>
      </w:r>
      <w:r>
        <w:rPr>
          <w:rFonts w:hint="eastAsia" w:ascii="仿宋_GB2312" w:hAnsi="宋体" w:eastAsia="仿宋_GB2312" w:cs="宋体"/>
          <w:kern w:val="0"/>
          <w:sz w:val="29"/>
          <w:szCs w:val="29"/>
        </w:rPr>
        <w:t>涉及的检验项目与方法</w:t>
      </w:r>
    </w:p>
    <w:tbl>
      <w:tblPr>
        <w:tblStyle w:val="7"/>
        <w:tblW w:w="805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6"/>
        <w:gridCol w:w="3485"/>
        <w:gridCol w:w="3715"/>
      </w:tblGrid>
      <w:tr w14:paraId="73D698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D80D8E1">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序号</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5167C64">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检验项目</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7609E70">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方法标准</w:t>
            </w:r>
          </w:p>
        </w:tc>
      </w:tr>
      <w:tr w14:paraId="66EA81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753D660">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1</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12A732B">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感官要求</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7731CF4">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rPr>
              <w:t xml:space="preserve">QB/T </w:t>
            </w:r>
            <w:r>
              <w:rPr>
                <w:rFonts w:hint="eastAsia" w:ascii="仿宋_GB2312" w:hAnsi="宋体" w:eastAsia="仿宋_GB2312" w:cs="宋体"/>
                <w:kern w:val="0"/>
                <w:sz w:val="29"/>
                <w:szCs w:val="29"/>
                <w:lang w:val="en-US" w:eastAsia="zh-CN"/>
              </w:rPr>
              <w:t>4577</w:t>
            </w:r>
          </w:p>
        </w:tc>
      </w:tr>
      <w:tr w14:paraId="659308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72A113D">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2</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34E78F7">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水分</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796158D">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5009.3</w:t>
            </w:r>
          </w:p>
        </w:tc>
      </w:tr>
      <w:tr w14:paraId="78924E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563208B">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3</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FCBF385">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糖化力（以葡萄糖计）</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2DBA9D0">
            <w:pPr>
              <w:widowControl/>
              <w:wordWrap w:val="0"/>
              <w:spacing w:line="326" w:lineRule="atLeast"/>
              <w:jc w:val="left"/>
              <w:rPr>
                <w:rFonts w:hint="default" w:ascii="仿宋_GB2312" w:hAnsi="宋体" w:eastAsia="仿宋_GB2312" w:cs="宋体"/>
                <w:kern w:val="0"/>
                <w:sz w:val="29"/>
                <w:szCs w:val="29"/>
                <w:lang w:val="en-US"/>
              </w:rPr>
            </w:pPr>
            <w:r>
              <w:rPr>
                <w:rFonts w:hint="eastAsia" w:ascii="仿宋_GB2312" w:hAnsi="宋体" w:eastAsia="仿宋_GB2312" w:cs="宋体"/>
                <w:kern w:val="0"/>
                <w:sz w:val="29"/>
                <w:szCs w:val="29"/>
              </w:rPr>
              <w:t xml:space="preserve">QB/T </w:t>
            </w:r>
            <w:r>
              <w:rPr>
                <w:rFonts w:hint="eastAsia" w:ascii="仿宋_GB2312" w:hAnsi="宋体" w:eastAsia="仿宋_GB2312" w:cs="宋体"/>
                <w:kern w:val="0"/>
                <w:sz w:val="29"/>
                <w:szCs w:val="29"/>
                <w:lang w:val="en-US" w:eastAsia="zh-CN"/>
              </w:rPr>
              <w:t>4577附录A</w:t>
            </w:r>
          </w:p>
        </w:tc>
      </w:tr>
      <w:tr w14:paraId="1375A8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F3256CC">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4</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CC3CB59">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lang w:val="en-US" w:eastAsia="zh-CN"/>
              </w:rPr>
              <w:t>发酵酸度（以乳酸计）、</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448AC96">
            <w:pPr>
              <w:widowControl/>
              <w:wordWrap w:val="0"/>
              <w:spacing w:line="326" w:lineRule="atLeast"/>
              <w:jc w:val="left"/>
              <w:rPr>
                <w:rFonts w:hint="default" w:ascii="仿宋_GB2312" w:hAnsi="宋体" w:eastAsia="仿宋_GB2312" w:cs="宋体"/>
                <w:kern w:val="0"/>
                <w:sz w:val="29"/>
                <w:szCs w:val="29"/>
                <w:lang w:val="en-US"/>
              </w:rPr>
            </w:pPr>
            <w:r>
              <w:rPr>
                <w:rFonts w:hint="eastAsia" w:ascii="仿宋_GB2312" w:hAnsi="宋体" w:eastAsia="仿宋_GB2312" w:cs="宋体"/>
                <w:kern w:val="0"/>
                <w:sz w:val="29"/>
                <w:szCs w:val="29"/>
              </w:rPr>
              <w:t xml:space="preserve">QB/T </w:t>
            </w:r>
            <w:r>
              <w:rPr>
                <w:rFonts w:hint="eastAsia" w:ascii="仿宋_GB2312" w:hAnsi="宋体" w:eastAsia="仿宋_GB2312" w:cs="宋体"/>
                <w:kern w:val="0"/>
                <w:sz w:val="29"/>
                <w:szCs w:val="29"/>
                <w:lang w:val="en-US" w:eastAsia="zh-CN"/>
              </w:rPr>
              <w:t>4577附录B</w:t>
            </w:r>
          </w:p>
        </w:tc>
      </w:tr>
      <w:tr w14:paraId="3D968F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78537C0">
            <w:pPr>
              <w:widowControl/>
              <w:wordWrap w:val="0"/>
              <w:spacing w:line="326" w:lineRule="atLeast"/>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5</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0F48916">
            <w:pPr>
              <w:widowControl/>
              <w:wordWrap w:val="0"/>
              <w:spacing w:line="326" w:lineRule="atLeast"/>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酒化力</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1AE7B2A">
            <w:pPr>
              <w:widowControl/>
              <w:wordWrap w:val="0"/>
              <w:spacing w:line="326" w:lineRule="atLeast"/>
              <w:jc w:val="left"/>
              <w:rPr>
                <w:rFonts w:hint="default" w:ascii="仿宋_GB2312" w:hAnsi="宋体" w:eastAsia="仿宋_GB2312" w:cs="宋体"/>
                <w:kern w:val="0"/>
                <w:sz w:val="29"/>
                <w:szCs w:val="29"/>
                <w:lang w:val="en-US"/>
              </w:rPr>
            </w:pPr>
            <w:r>
              <w:rPr>
                <w:rFonts w:hint="eastAsia" w:ascii="仿宋_GB2312" w:hAnsi="宋体" w:eastAsia="仿宋_GB2312" w:cs="宋体"/>
                <w:kern w:val="0"/>
                <w:sz w:val="29"/>
                <w:szCs w:val="29"/>
              </w:rPr>
              <w:t xml:space="preserve">QB/T </w:t>
            </w:r>
            <w:r>
              <w:rPr>
                <w:rFonts w:hint="eastAsia" w:ascii="仿宋_GB2312" w:hAnsi="宋体" w:eastAsia="仿宋_GB2312" w:cs="宋体"/>
                <w:kern w:val="0"/>
                <w:sz w:val="29"/>
                <w:szCs w:val="29"/>
                <w:lang w:val="en-US" w:eastAsia="zh-CN"/>
              </w:rPr>
              <w:t>4577附录C</w:t>
            </w:r>
          </w:p>
        </w:tc>
      </w:tr>
      <w:tr w14:paraId="75B5DA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66B66E3">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5</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43DC7E7">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铅</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90532B1">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5009.12</w:t>
            </w:r>
          </w:p>
        </w:tc>
      </w:tr>
      <w:tr w14:paraId="671C91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6055003">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6</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24DFEBA">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总砷</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7BB4D16">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 xml:space="preserve">GB </w:t>
            </w:r>
            <w:r>
              <w:rPr>
                <w:rFonts w:hint="eastAsia" w:ascii="仿宋_GB2312" w:hAnsi="宋体" w:eastAsia="仿宋_GB2312" w:cs="宋体"/>
                <w:kern w:val="0"/>
                <w:sz w:val="29"/>
                <w:szCs w:val="29"/>
              </w:rPr>
              <w:t>5009.11</w:t>
            </w:r>
          </w:p>
        </w:tc>
      </w:tr>
      <w:tr w14:paraId="66EF51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74E2FA1">
            <w:pPr>
              <w:widowControl/>
              <w:wordWrap w:val="0"/>
              <w:spacing w:line="326" w:lineRule="atLeast"/>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7</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C19643F">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金黄色葡萄球菌</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85B014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4789.</w:t>
            </w:r>
            <w:r>
              <w:rPr>
                <w:rFonts w:hint="eastAsia" w:ascii="仿宋_GB2312" w:hAnsi="宋体" w:eastAsia="仿宋_GB2312" w:cs="宋体"/>
                <w:kern w:val="0"/>
                <w:sz w:val="29"/>
                <w:szCs w:val="29"/>
              </w:rPr>
              <w:t>10</w:t>
            </w:r>
          </w:p>
        </w:tc>
      </w:tr>
      <w:tr w14:paraId="3DCAF0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248B58C">
            <w:pPr>
              <w:widowControl/>
              <w:wordWrap w:val="0"/>
              <w:spacing w:line="326" w:lineRule="atLeast"/>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8</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2DB914A">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沙门氏菌</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624B67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4789.</w:t>
            </w:r>
            <w:r>
              <w:rPr>
                <w:rFonts w:hint="eastAsia" w:ascii="仿宋_GB2312" w:hAnsi="宋体" w:eastAsia="仿宋_GB2312" w:cs="宋体"/>
                <w:kern w:val="0"/>
                <w:sz w:val="29"/>
                <w:szCs w:val="29"/>
              </w:rPr>
              <w:t>4</w:t>
            </w:r>
          </w:p>
        </w:tc>
      </w:tr>
      <w:tr w14:paraId="52CA31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54F243A">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9</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E4BA56D">
            <w:pPr>
              <w:widowControl/>
              <w:wordWrap w:val="0"/>
              <w:spacing w:line="326" w:lineRule="atLeast"/>
              <w:jc w:val="left"/>
              <w:rPr>
                <w:rFonts w:hint="eastAsia"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净含量</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0B1044E">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JJF 1070</w:t>
            </w:r>
          </w:p>
        </w:tc>
      </w:tr>
    </w:tbl>
    <w:p w14:paraId="4D6CEA4D">
      <w:pPr>
        <w:widowControl/>
        <w:wordWrap w:val="0"/>
        <w:spacing w:line="326" w:lineRule="atLeast"/>
        <w:jc w:val="left"/>
        <w:rPr>
          <w:rFonts w:ascii="仿宋_GB2312" w:hAnsi="宋体" w:eastAsia="仿宋_GB2312" w:cs="宋体"/>
          <w:kern w:val="0"/>
          <w:sz w:val="29"/>
          <w:szCs w:val="29"/>
        </w:rPr>
      </w:pPr>
    </w:p>
    <w:p w14:paraId="686F0822">
      <w:pPr>
        <w:rPr>
          <w:rFonts w:ascii="仿宋_GB2312" w:hAnsi="宋体" w:eastAsia="仿宋_GB2312" w:cs="宋体"/>
          <w:kern w:val="0"/>
          <w:sz w:val="29"/>
          <w:szCs w:val="29"/>
        </w:rPr>
      </w:pPr>
    </w:p>
    <w:p w14:paraId="0BCFC7E9">
      <w:pPr>
        <w:rPr>
          <w:rFonts w:ascii="仿宋_GB2312" w:hAnsi="宋体" w:eastAsia="仿宋_GB2312" w:cs="宋体"/>
          <w:kern w:val="0"/>
          <w:sz w:val="29"/>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87BA6"/>
    <w:multiLevelType w:val="singleLevel"/>
    <w:tmpl w:val="22187BA6"/>
    <w:lvl w:ilvl="0" w:tentative="0">
      <w:start w:val="2"/>
      <w:numFmt w:val="decimal"/>
      <w:suff w:val="space"/>
      <w:lvlText w:val="%1."/>
      <w:lvlJc w:val="left"/>
    </w:lvl>
  </w:abstractNum>
  <w:abstractNum w:abstractNumId="1">
    <w:nsid w:val="38D97A3D"/>
    <w:multiLevelType w:val="singleLevel"/>
    <w:tmpl w:val="38D97A3D"/>
    <w:lvl w:ilvl="0" w:tentative="0">
      <w:start w:val="4"/>
      <w:numFmt w:val="chineseCounting"/>
      <w:suff w:val="nothing"/>
      <w:lvlText w:val="第%1条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57"/>
    <w:rsid w:val="00034515"/>
    <w:rsid w:val="00037294"/>
    <w:rsid w:val="000F02A3"/>
    <w:rsid w:val="001320BA"/>
    <w:rsid w:val="00145DBE"/>
    <w:rsid w:val="001542D8"/>
    <w:rsid w:val="00185D3B"/>
    <w:rsid w:val="001B0D42"/>
    <w:rsid w:val="00212157"/>
    <w:rsid w:val="002901E8"/>
    <w:rsid w:val="002F0FAE"/>
    <w:rsid w:val="00334B7D"/>
    <w:rsid w:val="00374BF3"/>
    <w:rsid w:val="003860ED"/>
    <w:rsid w:val="003F2630"/>
    <w:rsid w:val="00422914"/>
    <w:rsid w:val="004775BB"/>
    <w:rsid w:val="004B20E3"/>
    <w:rsid w:val="004B6364"/>
    <w:rsid w:val="004C660C"/>
    <w:rsid w:val="004D3898"/>
    <w:rsid w:val="00523064"/>
    <w:rsid w:val="00526A52"/>
    <w:rsid w:val="00547A86"/>
    <w:rsid w:val="00591735"/>
    <w:rsid w:val="005C5C72"/>
    <w:rsid w:val="005E531D"/>
    <w:rsid w:val="00607938"/>
    <w:rsid w:val="006253F5"/>
    <w:rsid w:val="0065766B"/>
    <w:rsid w:val="00662129"/>
    <w:rsid w:val="0067624F"/>
    <w:rsid w:val="00696FF4"/>
    <w:rsid w:val="006A55B5"/>
    <w:rsid w:val="006C009C"/>
    <w:rsid w:val="007A24BB"/>
    <w:rsid w:val="008625B7"/>
    <w:rsid w:val="0087121C"/>
    <w:rsid w:val="008C4D9C"/>
    <w:rsid w:val="008D56E9"/>
    <w:rsid w:val="008E2AFB"/>
    <w:rsid w:val="008F5121"/>
    <w:rsid w:val="00A2536A"/>
    <w:rsid w:val="00AD5DB8"/>
    <w:rsid w:val="00B019DB"/>
    <w:rsid w:val="00B4210D"/>
    <w:rsid w:val="00B92F83"/>
    <w:rsid w:val="00BB1A33"/>
    <w:rsid w:val="00BD6F47"/>
    <w:rsid w:val="00BE31D5"/>
    <w:rsid w:val="00BE4EF9"/>
    <w:rsid w:val="00C0714F"/>
    <w:rsid w:val="00C169B6"/>
    <w:rsid w:val="00C23301"/>
    <w:rsid w:val="00C26DE3"/>
    <w:rsid w:val="00C72E61"/>
    <w:rsid w:val="00C85425"/>
    <w:rsid w:val="00CA7261"/>
    <w:rsid w:val="00CD20F4"/>
    <w:rsid w:val="00CF7570"/>
    <w:rsid w:val="00D06388"/>
    <w:rsid w:val="00D349E1"/>
    <w:rsid w:val="00D431D9"/>
    <w:rsid w:val="00D56A09"/>
    <w:rsid w:val="00D6513A"/>
    <w:rsid w:val="00D6530E"/>
    <w:rsid w:val="00DC7BE6"/>
    <w:rsid w:val="00DF40C2"/>
    <w:rsid w:val="00E02E40"/>
    <w:rsid w:val="00E479AF"/>
    <w:rsid w:val="00E62C3F"/>
    <w:rsid w:val="00E9154F"/>
    <w:rsid w:val="00ED3CC2"/>
    <w:rsid w:val="00F517BC"/>
    <w:rsid w:val="00F55C7E"/>
    <w:rsid w:val="00F813C0"/>
    <w:rsid w:val="00F82DC8"/>
    <w:rsid w:val="00FC1401"/>
    <w:rsid w:val="00FC735F"/>
    <w:rsid w:val="00FD151F"/>
    <w:rsid w:val="00FD5799"/>
    <w:rsid w:val="0198718D"/>
    <w:rsid w:val="06657B0B"/>
    <w:rsid w:val="09E85885"/>
    <w:rsid w:val="0A2C5771"/>
    <w:rsid w:val="0C142961"/>
    <w:rsid w:val="0D09758C"/>
    <w:rsid w:val="0DA769D7"/>
    <w:rsid w:val="10C742C2"/>
    <w:rsid w:val="125E7733"/>
    <w:rsid w:val="128F74B0"/>
    <w:rsid w:val="155D6E00"/>
    <w:rsid w:val="16133C89"/>
    <w:rsid w:val="16A10D7E"/>
    <w:rsid w:val="1F695116"/>
    <w:rsid w:val="24810E94"/>
    <w:rsid w:val="26051A69"/>
    <w:rsid w:val="287A1E5A"/>
    <w:rsid w:val="298E0456"/>
    <w:rsid w:val="2B3E783B"/>
    <w:rsid w:val="2CE7748E"/>
    <w:rsid w:val="2FC13AF8"/>
    <w:rsid w:val="313A375D"/>
    <w:rsid w:val="32FD564D"/>
    <w:rsid w:val="35FE7E3B"/>
    <w:rsid w:val="37556088"/>
    <w:rsid w:val="38344966"/>
    <w:rsid w:val="387D5164"/>
    <w:rsid w:val="38C07B43"/>
    <w:rsid w:val="3A193CDD"/>
    <w:rsid w:val="3DB69A69"/>
    <w:rsid w:val="3F21793C"/>
    <w:rsid w:val="3F323A93"/>
    <w:rsid w:val="3FDC35BD"/>
    <w:rsid w:val="41504F94"/>
    <w:rsid w:val="41AF76B3"/>
    <w:rsid w:val="41BA37B7"/>
    <w:rsid w:val="46E521A9"/>
    <w:rsid w:val="486353A0"/>
    <w:rsid w:val="4ACE5945"/>
    <w:rsid w:val="4C312167"/>
    <w:rsid w:val="4E6B7D45"/>
    <w:rsid w:val="4EB433AE"/>
    <w:rsid w:val="52E55A8A"/>
    <w:rsid w:val="55913747"/>
    <w:rsid w:val="574A1184"/>
    <w:rsid w:val="57E170A8"/>
    <w:rsid w:val="5BE60EAA"/>
    <w:rsid w:val="5C0D023A"/>
    <w:rsid w:val="5CD62924"/>
    <w:rsid w:val="61E60198"/>
    <w:rsid w:val="62557EAA"/>
    <w:rsid w:val="66001A9C"/>
    <w:rsid w:val="665739E6"/>
    <w:rsid w:val="6A6E6715"/>
    <w:rsid w:val="6AE81244"/>
    <w:rsid w:val="6BD93F35"/>
    <w:rsid w:val="6BF37065"/>
    <w:rsid w:val="6DAC1945"/>
    <w:rsid w:val="6DAF1888"/>
    <w:rsid w:val="6E0214E2"/>
    <w:rsid w:val="6EFC0941"/>
    <w:rsid w:val="6F576573"/>
    <w:rsid w:val="70FC6C6A"/>
    <w:rsid w:val="73A42012"/>
    <w:rsid w:val="77562083"/>
    <w:rsid w:val="77F35409"/>
    <w:rsid w:val="790E452B"/>
    <w:rsid w:val="7BCB31C0"/>
    <w:rsid w:val="7E6059FB"/>
    <w:rsid w:val="7E8E708E"/>
    <w:rsid w:val="7EC78A54"/>
    <w:rsid w:val="7F325529"/>
    <w:rsid w:val="7F546B4E"/>
    <w:rsid w:val="FFFFE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标题 3 Char"/>
    <w:basedOn w:val="9"/>
    <w:link w:val="2"/>
    <w:qFormat/>
    <w:uiPriority w:val="9"/>
    <w:rPr>
      <w:rFonts w:ascii="宋体" w:hAnsi="宋体" w:eastAsia="宋体" w:cs="宋体"/>
      <w:b/>
      <w:bCs/>
      <w:kern w:val="0"/>
      <w:sz w:val="27"/>
      <w:szCs w:val="27"/>
    </w:rPr>
  </w:style>
  <w:style w:type="character" w:customStyle="1" w:styleId="13">
    <w:name w:val="批注框文本 Char"/>
    <w:basedOn w:val="9"/>
    <w:link w:val="3"/>
    <w:semiHidden/>
    <w:qFormat/>
    <w:uiPriority w:val="99"/>
    <w:rPr>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5142</Words>
  <Characters>5331</Characters>
  <Lines>33</Lines>
  <Paragraphs>9</Paragraphs>
  <TotalTime>1</TotalTime>
  <ScaleCrop>false</ScaleCrop>
  <LinksUpToDate>false</LinksUpToDate>
  <CharactersWithSpaces>5448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2025-11-25T16:48:00Z</dcterms:created>
  <dc:creator>pc</dc:creator>
  <cp:lastModifiedBy>秦时明月</cp:lastModifiedBy>
  <dcterms:modified xsi:type="dcterms:W3CDTF">2026-07-12T06:06:05Z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E298FD4B0D37BF1E00466F6931F3013C</vt:lpwstr>
  </property>
  <property fmtid="{D5CDD505-2E9C-101B-9397-08002B2CF9AE}" pid="4" name="KSOTemplateDocerSaveRecord">
    <vt:lpwstr>eyJoZGlkIjoiMzcyODMxYTE0ZTc0ZGU3Y2QwODc3MzYzN2Q1YmNiM2EiLCJ1c2VySWQiOiI2ODg1Mzk5NzcifQ==</vt:lpwstr>
  </property>
</Properties>
</file>