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AEBFAFD">
      <w:pPr>
        <w:widowControl/>
        <w:spacing w:line="503" w:lineRule="atLeast"/>
        <w:jc w:val="center"/>
        <w:rPr>
          <w:rFonts w:cs="宋体" w:asciiTheme="minorEastAsia" w:hAnsiTheme="minorEastAsia"/>
          <w:kern w:val="0"/>
          <w:sz w:val="44"/>
          <w:szCs w:val="44"/>
        </w:rPr>
      </w:pPr>
      <w:r>
        <w:rPr>
          <w:rFonts w:hint="eastAsia" w:cs="宋体" w:asciiTheme="minorEastAsia" w:hAnsiTheme="minorEastAsia"/>
          <w:kern w:val="0"/>
          <w:sz w:val="44"/>
          <w:szCs w:val="44"/>
        </w:rPr>
        <w:t>淮南市其他食品（酵母制品）生产许可审查方案</w:t>
      </w:r>
    </w:p>
    <w:p w14:paraId="7D8C9350">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第一节</w:t>
      </w:r>
      <w:r>
        <w:rPr>
          <w:rFonts w:hint="eastAsia" w:ascii="宋体" w:hAnsi="宋体" w:eastAsia="宋体" w:cs="宋体"/>
          <w:kern w:val="0"/>
          <w:sz w:val="29"/>
          <w:szCs w:val="29"/>
        </w:rPr>
        <w:t> </w:t>
      </w:r>
      <w:r>
        <w:rPr>
          <w:rFonts w:hint="eastAsia" w:ascii="黑体" w:hAnsi="黑体" w:eastAsia="黑体" w:cs="宋体"/>
          <w:kern w:val="0"/>
          <w:sz w:val="29"/>
          <w:szCs w:val="29"/>
        </w:rPr>
        <w:t>总</w:t>
      </w:r>
      <w:r>
        <w:rPr>
          <w:rFonts w:hint="eastAsia" w:ascii="宋体" w:hAnsi="宋体" w:eastAsia="宋体" w:cs="宋体"/>
          <w:kern w:val="0"/>
          <w:sz w:val="29"/>
          <w:szCs w:val="29"/>
        </w:rPr>
        <w:t> </w:t>
      </w:r>
      <w:r>
        <w:rPr>
          <w:rFonts w:hint="eastAsia" w:ascii="黑体" w:hAnsi="黑体" w:eastAsia="黑体" w:cs="宋体"/>
          <w:kern w:val="0"/>
          <w:sz w:val="29"/>
          <w:szCs w:val="29"/>
        </w:rPr>
        <w:t>则</w:t>
      </w:r>
    </w:p>
    <w:p w14:paraId="3354FDB4">
      <w:pPr>
        <w:pStyle w:val="14"/>
        <w:ind w:firstLine="0" w:firstLineChars="0"/>
        <w:rPr>
          <w:rFonts w:ascii="仿宋_GB2312" w:eastAsia="仿宋_GB2312" w:cs="仿宋_GB2312" w:hAnsiTheme="majorEastAsia"/>
          <w:sz w:val="32"/>
          <w:szCs w:val="32"/>
        </w:rPr>
      </w:pPr>
      <w:r>
        <w:rPr>
          <w:rFonts w:hint="eastAsia" w:ascii="黑体" w:hAnsi="黑体" w:eastAsia="黑体" w:cs="宋体"/>
          <w:kern w:val="0"/>
          <w:sz w:val="29"/>
          <w:szCs w:val="29"/>
        </w:rPr>
        <w:t>第一条　</w:t>
      </w:r>
      <w:r>
        <w:rPr>
          <w:rFonts w:hint="eastAsia" w:ascii="仿宋_GB2312" w:hAnsi="宋体" w:eastAsia="仿宋_GB2312" w:cs="宋体"/>
          <w:kern w:val="0"/>
          <w:sz w:val="29"/>
          <w:szCs w:val="29"/>
        </w:rPr>
        <w:t>为做好</w:t>
      </w:r>
      <w:bookmarkStart w:id="0" w:name="OLE_LINK3"/>
      <w:bookmarkStart w:id="1" w:name="OLE_LINK4"/>
      <w:r>
        <w:rPr>
          <w:rFonts w:hint="eastAsia" w:ascii="仿宋_GB2312" w:hAnsi="宋体" w:eastAsia="仿宋_GB2312" w:cs="宋体"/>
          <w:kern w:val="0"/>
          <w:sz w:val="29"/>
          <w:szCs w:val="29"/>
        </w:rPr>
        <w:t>淮南市</w:t>
      </w:r>
      <w:bookmarkEnd w:id="0"/>
      <w:bookmarkEnd w:id="1"/>
      <w:r>
        <w:rPr>
          <w:rFonts w:hint="eastAsia" w:ascii="仿宋_GB2312" w:hAnsi="宋体" w:eastAsia="仿宋_GB2312" w:cs="宋体"/>
          <w:kern w:val="0"/>
          <w:sz w:val="29"/>
          <w:szCs w:val="29"/>
        </w:rPr>
        <w:t>酵母制品生产许可审查工作，依据《中华人</w:t>
      </w:r>
      <w:bookmarkStart w:id="10" w:name="_GoBack"/>
      <w:bookmarkEnd w:id="10"/>
      <w:r>
        <w:rPr>
          <w:rFonts w:hint="eastAsia" w:ascii="仿宋_GB2312" w:hAnsi="宋体" w:eastAsia="仿宋_GB2312" w:cs="宋体"/>
          <w:kern w:val="0"/>
          <w:sz w:val="29"/>
          <w:szCs w:val="29"/>
        </w:rPr>
        <w:t>民共和国食品安全法》及其实施条例、《食品生产许可管理办法》等有关法律法规、规章，制定淮南市其他食品（</w:t>
      </w:r>
      <w:r>
        <w:rPr>
          <w:rFonts w:hint="eastAsia" w:ascii="黑体" w:hAnsi="黑体" w:eastAsia="黑体" w:cs="宋体"/>
          <w:kern w:val="0"/>
          <w:sz w:val="29"/>
          <w:szCs w:val="29"/>
        </w:rPr>
        <w:t>酵母制品</w:t>
      </w:r>
      <w:r>
        <w:rPr>
          <w:rFonts w:hint="eastAsia" w:ascii="仿宋_GB2312" w:hAnsi="宋体" w:eastAsia="仿宋_GB2312" w:cs="宋体"/>
          <w:kern w:val="0"/>
          <w:sz w:val="29"/>
          <w:szCs w:val="29"/>
        </w:rPr>
        <w:t>）生产许可审查方案（以下简称方案）。</w:t>
      </w:r>
    </w:p>
    <w:p w14:paraId="7B084590">
      <w:pPr>
        <w:pStyle w:val="14"/>
        <w:ind w:firstLine="0" w:firstLineChars="0"/>
        <w:rPr>
          <w:rFonts w:ascii="仿宋_GB2312" w:hAnsi="宋体" w:eastAsia="仿宋_GB2312" w:cs="宋体"/>
          <w:kern w:val="0"/>
          <w:sz w:val="29"/>
          <w:szCs w:val="29"/>
        </w:rPr>
      </w:pPr>
      <w:r>
        <w:rPr>
          <w:rFonts w:hint="eastAsia" w:ascii="黑体" w:hAnsi="黑体" w:eastAsia="黑体" w:cs="宋体"/>
          <w:kern w:val="0"/>
          <w:sz w:val="29"/>
          <w:szCs w:val="29"/>
        </w:rPr>
        <w:t>第二条　</w:t>
      </w:r>
      <w:r>
        <w:rPr>
          <w:rFonts w:hint="eastAsia" w:ascii="仿宋_GB2312" w:hAnsi="宋体" w:eastAsia="仿宋_GB2312" w:cs="宋体"/>
          <w:kern w:val="0"/>
          <w:sz w:val="29"/>
          <w:szCs w:val="29"/>
        </w:rPr>
        <w:t>本方案应与《食品生产许可审查通则》结合使用，适用于淮南市酵母制品生产许可审查工作。</w:t>
      </w:r>
    </w:p>
    <w:p w14:paraId="4C6DF641">
      <w:pPr>
        <w:pStyle w:val="14"/>
        <w:ind w:firstLine="0" w:firstLineChars="0"/>
        <w:rPr>
          <w:rFonts w:ascii="仿宋_GB2312" w:hAnsi="宋体" w:eastAsia="仿宋_GB2312" w:cs="宋体"/>
          <w:kern w:val="0"/>
          <w:sz w:val="29"/>
          <w:szCs w:val="29"/>
        </w:rPr>
      </w:pPr>
      <w:r>
        <w:rPr>
          <w:rFonts w:hint="eastAsia" w:ascii="黑体" w:hAnsi="黑体" w:eastAsia="黑体" w:cs="宋体"/>
          <w:kern w:val="0"/>
          <w:sz w:val="29"/>
          <w:szCs w:val="29"/>
        </w:rPr>
        <w:t xml:space="preserve">第三条 </w:t>
      </w:r>
      <w:r>
        <w:rPr>
          <w:rFonts w:hint="eastAsia" w:ascii="仿宋_GB2312" w:hAnsi="宋体" w:eastAsia="仿宋_GB2312" w:cs="宋体"/>
          <w:kern w:val="0"/>
          <w:sz w:val="29"/>
          <w:szCs w:val="29"/>
        </w:rPr>
        <w:t>本方案正文中引用的文件、标准通过引用成为本方案的内容。凡是引用文件、标准，其最新版本（含修改单）适用于本方案。</w:t>
      </w:r>
    </w:p>
    <w:p w14:paraId="401241CF">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第二节</w:t>
      </w:r>
      <w:r>
        <w:rPr>
          <w:rFonts w:hint="eastAsia" w:ascii="宋体" w:hAnsi="宋体" w:eastAsia="宋体" w:cs="宋体"/>
          <w:kern w:val="0"/>
          <w:sz w:val="29"/>
          <w:szCs w:val="29"/>
        </w:rPr>
        <w:t> </w:t>
      </w:r>
      <w:r>
        <w:rPr>
          <w:rFonts w:hint="eastAsia" w:ascii="黑体" w:hAnsi="黑体" w:eastAsia="黑体" w:cs="宋体"/>
          <w:kern w:val="0"/>
          <w:sz w:val="29"/>
          <w:szCs w:val="29"/>
        </w:rPr>
        <w:t>许可范围</w:t>
      </w:r>
    </w:p>
    <w:p w14:paraId="05F1352E">
      <w:pPr>
        <w:pStyle w:val="14"/>
        <w:ind w:firstLine="0" w:firstLineChars="0"/>
        <w:rPr>
          <w:rFonts w:ascii="仿宋_GB2312" w:hAnsi="宋体" w:eastAsia="仿宋_GB2312" w:cs="宋体"/>
          <w:kern w:val="0"/>
          <w:sz w:val="29"/>
          <w:szCs w:val="29"/>
        </w:rPr>
      </w:pPr>
      <w:r>
        <w:rPr>
          <w:rFonts w:hint="eastAsia" w:ascii="黑体" w:hAnsi="黑体" w:eastAsia="黑体" w:cs="宋体"/>
          <w:kern w:val="0"/>
          <w:sz w:val="29"/>
          <w:szCs w:val="29"/>
        </w:rPr>
        <w:t xml:space="preserve">第四条 </w:t>
      </w:r>
      <w:r>
        <w:rPr>
          <w:rFonts w:hint="eastAsia" w:ascii="仿宋_GB2312" w:hAnsi="宋体" w:eastAsia="仿宋_GB2312" w:cs="宋体"/>
          <w:kern w:val="0"/>
          <w:sz w:val="29"/>
          <w:szCs w:val="29"/>
        </w:rPr>
        <w:t>实施食品生产许</w:t>
      </w:r>
      <w:bookmarkStart w:id="2" w:name="OLE_LINK31"/>
      <w:bookmarkStart w:id="3" w:name="OLE_LINK32"/>
      <w:r>
        <w:rPr>
          <w:rFonts w:hint="eastAsia" w:ascii="仿宋_GB2312" w:hAnsi="宋体" w:eastAsia="仿宋_GB2312" w:cs="宋体"/>
          <w:kern w:val="0"/>
          <w:sz w:val="29"/>
          <w:szCs w:val="29"/>
        </w:rPr>
        <w:t>可</w:t>
      </w:r>
      <w:bookmarkStart w:id="4" w:name="OLE_LINK30"/>
      <w:bookmarkStart w:id="5" w:name="OLE_LINK27"/>
      <w:r>
        <w:rPr>
          <w:rFonts w:hint="eastAsia" w:ascii="仿宋_GB2312" w:hAnsi="宋体" w:eastAsia="仿宋_GB2312" w:cs="宋体"/>
          <w:kern w:val="0"/>
          <w:sz w:val="29"/>
          <w:szCs w:val="29"/>
        </w:rPr>
        <w:t>管理的</w:t>
      </w:r>
      <w:bookmarkEnd w:id="2"/>
      <w:bookmarkEnd w:id="3"/>
      <w:bookmarkEnd w:id="4"/>
      <w:bookmarkEnd w:id="5"/>
      <w:r>
        <w:rPr>
          <w:rFonts w:hint="eastAsia" w:ascii="仿宋_GB2312" w:hAnsi="宋体" w:eastAsia="仿宋_GB2312" w:cs="宋体"/>
          <w:kern w:val="0"/>
          <w:sz w:val="29"/>
          <w:szCs w:val="29"/>
        </w:rPr>
        <w:t>酵母制品按生产工艺和标准可分为酵母水解物、其他酵母制品二类产品品种。</w:t>
      </w:r>
    </w:p>
    <w:p w14:paraId="383F36F6">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一）酵母水解物：以食用葡萄糖原料为主要碳源,加入氮源、磷源等适宜细胞生长的发酵用营养物质,接种酵母菌种,经发酵培养、分离、过滤清洗、干燥等工序制成的酵母类产品。再以食品加工用酵母为主要原料，在酵母自身的酶或外加食品加工用酶的作用下，经酶解自溶、浓缩或干燥等工艺，制得的含酵母全细胞成分的产品，属于食品配料。</w:t>
      </w:r>
    </w:p>
    <w:p w14:paraId="55239F65">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二）其他酵母制品：以食用葡萄糖或甘蔗糖蜜等为主要碳源，经发酵培养、分离、清洗、浓缩、干燥后得到的酵母菌体为原料，采用机械破壁、使酵母细胞内容物充分释放，经浓缩、干燥等工序制得的酵母类产品。该类产品可根据产品用途选择是否经萃取、过滤、烘干等工序进行深加工，属于食品配料。</w:t>
      </w:r>
    </w:p>
    <w:p w14:paraId="26FBC8E7">
      <w:pPr>
        <w:pStyle w:val="14"/>
        <w:ind w:firstLine="580"/>
        <w:rPr>
          <w:rFonts w:ascii="仿宋_GB2312" w:eastAsia="仿宋_GB2312" w:cs="仿宋" w:hAnsiTheme="majorEastAsia"/>
          <w:sz w:val="32"/>
          <w:szCs w:val="32"/>
        </w:rPr>
      </w:pPr>
      <w:r>
        <w:rPr>
          <w:rFonts w:hint="eastAsia" w:ascii="仿宋_GB2312" w:hAnsi="宋体" w:eastAsia="仿宋_GB2312" w:cs="宋体"/>
          <w:kern w:val="0"/>
          <w:sz w:val="29"/>
          <w:szCs w:val="29"/>
        </w:rPr>
        <w:t>仅有包装场地、工序、设备，没有完整生产工艺条件的，不予生产许可。</w:t>
      </w:r>
    </w:p>
    <w:p w14:paraId="63DBC027">
      <w:pPr>
        <w:widowControl/>
        <w:spacing w:line="503" w:lineRule="atLeast"/>
        <w:jc w:val="left"/>
        <w:rPr>
          <w:rFonts w:ascii="仿宋_GB2312" w:hAnsi="宋体" w:eastAsia="仿宋_GB2312" w:cs="宋体"/>
          <w:kern w:val="0"/>
          <w:sz w:val="29"/>
          <w:szCs w:val="29"/>
        </w:rPr>
      </w:pPr>
      <w:bookmarkStart w:id="6" w:name="OLE_LINK13"/>
      <w:bookmarkStart w:id="7" w:name="OLE_LINK12"/>
      <w:r>
        <w:rPr>
          <w:rFonts w:hint="eastAsia" w:ascii="黑体" w:hAnsi="黑体" w:eastAsia="黑体" w:cs="宋体"/>
          <w:kern w:val="0"/>
          <w:sz w:val="29"/>
          <w:szCs w:val="29"/>
        </w:rPr>
        <w:t xml:space="preserve">第五条 </w:t>
      </w:r>
      <w:bookmarkEnd w:id="6"/>
      <w:bookmarkEnd w:id="7"/>
      <w:r>
        <w:rPr>
          <w:rFonts w:hint="eastAsia" w:ascii="仿宋_GB2312" w:hAnsi="宋体" w:eastAsia="仿宋_GB2312" w:cs="宋体"/>
          <w:kern w:val="0"/>
          <w:sz w:val="29"/>
          <w:szCs w:val="29"/>
        </w:rPr>
        <w:t>酵母制品的申证食品类别为其他食品，其类别名称为其他食品，类别编号3101。在生产许可证上应当注明产品相应的食品类别、类别编号、类别名称及品种明细，即</w:t>
      </w:r>
      <w:bookmarkStart w:id="8" w:name="OLE_LINK22"/>
      <w:bookmarkStart w:id="9" w:name="OLE_LINK21"/>
      <w:r>
        <w:rPr>
          <w:rFonts w:hint="eastAsia" w:ascii="仿宋_GB2312" w:hAnsi="宋体" w:eastAsia="仿宋_GB2312" w:cs="宋体"/>
          <w:kern w:val="0"/>
          <w:sz w:val="29"/>
          <w:szCs w:val="29"/>
        </w:rPr>
        <w:t>其他食品</w:t>
      </w:r>
      <w:bookmarkEnd w:id="8"/>
      <w:bookmarkEnd w:id="9"/>
      <w:r>
        <w:rPr>
          <w:rFonts w:hint="eastAsia" w:ascii="仿宋_GB2312" w:hAnsi="宋体" w:eastAsia="仿宋_GB2312" w:cs="宋体"/>
          <w:kern w:val="0"/>
          <w:sz w:val="29"/>
          <w:szCs w:val="29"/>
        </w:rPr>
        <w:t>[其他食品：酵母制品（酵母水解物、其他酵母制品）]。</w:t>
      </w:r>
    </w:p>
    <w:p w14:paraId="6B9BD023">
      <w:pPr>
        <w:pStyle w:val="14"/>
        <w:ind w:firstLine="580"/>
        <w:rPr>
          <w:rFonts w:ascii="仿宋_GB2312" w:hAnsi="宋体" w:eastAsia="仿宋_GB2312" w:cs="宋体"/>
          <w:kern w:val="0"/>
          <w:sz w:val="29"/>
          <w:szCs w:val="29"/>
        </w:rPr>
      </w:pPr>
      <w:r>
        <w:rPr>
          <w:rFonts w:hint="eastAsia" w:ascii="仿宋_GB2312" w:hAnsi="宋体" w:eastAsia="仿宋_GB2312" w:cs="宋体"/>
          <w:kern w:val="0"/>
          <w:sz w:val="29"/>
          <w:szCs w:val="29"/>
        </w:rPr>
        <w:t>本产品不允许分装。</w:t>
      </w:r>
    </w:p>
    <w:p w14:paraId="3AF96118">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第三节</w:t>
      </w:r>
      <w:r>
        <w:rPr>
          <w:rFonts w:hint="eastAsia" w:ascii="宋体" w:hAnsi="宋体" w:eastAsia="宋体" w:cs="宋体"/>
          <w:kern w:val="0"/>
          <w:sz w:val="29"/>
          <w:szCs w:val="29"/>
        </w:rPr>
        <w:t> </w:t>
      </w:r>
      <w:r>
        <w:rPr>
          <w:rFonts w:hint="eastAsia" w:ascii="黑体" w:hAnsi="黑体" w:eastAsia="黑体" w:cs="宋体"/>
          <w:kern w:val="0"/>
          <w:sz w:val="29"/>
          <w:szCs w:val="29"/>
        </w:rPr>
        <w:t>生产场所</w:t>
      </w:r>
    </w:p>
    <w:p w14:paraId="32DB6EA9">
      <w:pPr>
        <w:widowControl/>
        <w:spacing w:line="503" w:lineRule="atLeast"/>
        <w:jc w:val="left"/>
        <w:rPr>
          <w:rFonts w:ascii="宋体" w:hAnsi="宋体" w:eastAsia="宋体" w:cs="宋体"/>
          <w:kern w:val="0"/>
          <w:sz w:val="24"/>
          <w:szCs w:val="24"/>
        </w:rPr>
      </w:pPr>
      <w:r>
        <w:rPr>
          <w:rFonts w:hint="eastAsia" w:ascii="黑体" w:hAnsi="黑体" w:eastAsia="黑体" w:cs="宋体"/>
          <w:kern w:val="0"/>
          <w:sz w:val="29"/>
          <w:szCs w:val="29"/>
        </w:rPr>
        <w:t>第六条　</w:t>
      </w:r>
      <w:r>
        <w:rPr>
          <w:rFonts w:hint="eastAsia" w:ascii="仿宋_GB2312" w:hAnsi="宋体" w:eastAsia="仿宋_GB2312" w:cs="宋体"/>
          <w:kern w:val="0"/>
          <w:sz w:val="29"/>
          <w:szCs w:val="29"/>
        </w:rPr>
        <w:t>厂房选址和设计、内部建筑结构、辅助生产设施应当符合《食品安全国家标准 食品生产通用卫生规范》（GB 14881）的相关规定。</w:t>
      </w:r>
    </w:p>
    <w:p w14:paraId="695EC0A1">
      <w:pPr>
        <w:pStyle w:val="14"/>
        <w:ind w:firstLine="0" w:firstLineChars="0"/>
        <w:rPr>
          <w:rFonts w:ascii="仿宋_GB2312" w:hAnsi="宋体" w:eastAsia="仿宋_GB2312" w:cs="宋体"/>
          <w:kern w:val="0"/>
          <w:sz w:val="29"/>
          <w:szCs w:val="29"/>
        </w:rPr>
      </w:pPr>
      <w:r>
        <w:rPr>
          <w:rFonts w:hint="eastAsia" w:ascii="黑体" w:hAnsi="黑体" w:eastAsia="黑体" w:cs="宋体"/>
          <w:kern w:val="0"/>
          <w:sz w:val="29"/>
          <w:szCs w:val="29"/>
        </w:rPr>
        <w:t xml:space="preserve">第七条 </w:t>
      </w:r>
      <w:r>
        <w:rPr>
          <w:rFonts w:hint="eastAsia" w:ascii="仿宋_GB2312" w:hAnsi="宋体" w:eastAsia="仿宋_GB2312" w:cs="宋体"/>
          <w:kern w:val="0"/>
          <w:sz w:val="29"/>
          <w:szCs w:val="29"/>
        </w:rPr>
        <w:t>生产车间及辅助设施的设置应按生产流程需要及卫生要求，有序合理布局，根据生产流程、生产操作需要和清洁度的要求进行隔离，避免交叉污染。车间内应区分清洁作业区、准清洁作业区和一般作业区，酵母制品生产车间及清洁作业区具体划分见表1。</w:t>
      </w:r>
    </w:p>
    <w:p w14:paraId="271983B5">
      <w:pPr>
        <w:pStyle w:val="14"/>
        <w:ind w:firstLine="0" w:firstLineChars="0"/>
        <w:rPr>
          <w:rFonts w:ascii="仿宋_GB2312" w:hAnsi="宋体" w:eastAsia="仿宋_GB2312" w:cs="宋体"/>
          <w:kern w:val="0"/>
          <w:sz w:val="29"/>
          <w:szCs w:val="29"/>
        </w:rPr>
      </w:pPr>
    </w:p>
    <w:p w14:paraId="1B662A97">
      <w:pPr>
        <w:pStyle w:val="14"/>
        <w:ind w:firstLine="0" w:firstLineChars="0"/>
        <w:rPr>
          <w:rFonts w:ascii="仿宋_GB2312" w:hAnsi="宋体" w:eastAsia="仿宋_GB2312" w:cs="宋体"/>
          <w:kern w:val="0"/>
          <w:sz w:val="29"/>
          <w:szCs w:val="29"/>
        </w:rPr>
      </w:pPr>
    </w:p>
    <w:p w14:paraId="11895A53">
      <w:pPr>
        <w:pStyle w:val="14"/>
        <w:ind w:firstLine="0" w:firstLineChars="0"/>
        <w:rPr>
          <w:rFonts w:ascii="仿宋_GB2312" w:hAnsi="宋体" w:eastAsia="仿宋_GB2312" w:cs="宋体"/>
          <w:kern w:val="0"/>
          <w:sz w:val="29"/>
          <w:szCs w:val="29"/>
        </w:rPr>
      </w:pPr>
    </w:p>
    <w:p w14:paraId="32F0C0CC">
      <w:pPr>
        <w:pStyle w:val="14"/>
        <w:ind w:firstLine="0" w:firstLineChars="0"/>
        <w:rPr>
          <w:rFonts w:ascii="仿宋_GB2312" w:hAnsi="仿宋_GB2312" w:eastAsia="仿宋_GB2312" w:cs="仿宋_GB2312"/>
          <w:sz w:val="32"/>
          <w:szCs w:val="32"/>
        </w:rPr>
      </w:pPr>
    </w:p>
    <w:p w14:paraId="78215132">
      <w:pPr>
        <w:widowControl/>
        <w:spacing w:line="503" w:lineRule="atLeast"/>
        <w:jc w:val="center"/>
        <w:rPr>
          <w:rFonts w:ascii="仿宋_GB2312" w:hAnsi="宋体" w:eastAsia="仿宋_GB2312" w:cs="宋体"/>
          <w:kern w:val="0"/>
          <w:sz w:val="29"/>
          <w:szCs w:val="29"/>
        </w:rPr>
      </w:pPr>
      <w:r>
        <w:rPr>
          <w:rFonts w:hint="eastAsia" w:ascii="仿宋_GB2312" w:hAnsi="宋体" w:eastAsia="仿宋_GB2312" w:cs="宋体"/>
          <w:kern w:val="0"/>
          <w:sz w:val="29"/>
          <w:szCs w:val="29"/>
        </w:rPr>
        <w:t>表1 酵母制品生产车间及清洁作业区划分</w:t>
      </w:r>
    </w:p>
    <w:tbl>
      <w:tblPr>
        <w:tblStyle w:val="8"/>
        <w:tblW w:w="0" w:type="auto"/>
        <w:jc w:val="center"/>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Layout w:type="autofit"/>
        <w:tblCellMar>
          <w:top w:w="0" w:type="dxa"/>
          <w:left w:w="0" w:type="dxa"/>
          <w:bottom w:w="0" w:type="dxa"/>
          <w:right w:w="0" w:type="dxa"/>
        </w:tblCellMar>
      </w:tblPr>
      <w:tblGrid>
        <w:gridCol w:w="832"/>
        <w:gridCol w:w="1399"/>
        <w:gridCol w:w="1612"/>
        <w:gridCol w:w="2192"/>
        <w:gridCol w:w="2461"/>
      </w:tblGrid>
      <w:tr w14:paraId="4EF6D7E9">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48" w:hRule="atLeast"/>
          <w:jc w:val="center"/>
        </w:trPr>
        <w:tc>
          <w:tcPr>
            <w:tcW w:w="832" w:type="dxa"/>
            <w:tcBorders>
              <w:top w:val="single" w:color="auto" w:sz="6" w:space="0"/>
              <w:left w:val="single" w:color="auto" w:sz="6" w:space="0"/>
              <w:bottom w:val="single" w:color="auto" w:sz="6" w:space="0"/>
              <w:right w:val="single" w:color="auto" w:sz="6" w:space="0"/>
            </w:tcBorders>
            <w:tcMar>
              <w:top w:w="0" w:type="dxa"/>
              <w:left w:w="95" w:type="dxa"/>
              <w:bottom w:w="0" w:type="dxa"/>
              <w:right w:w="95" w:type="dxa"/>
            </w:tcMar>
            <w:vAlign w:val="center"/>
          </w:tcPr>
          <w:p w14:paraId="7C3A2459">
            <w:pPr>
              <w:widowControl/>
              <w:spacing w:line="367" w:lineRule="atLeast"/>
              <w:jc w:val="center"/>
              <w:rPr>
                <w:rFonts w:ascii="黑体" w:hAnsi="黑体" w:eastAsia="黑体" w:cs="仿宋_GB2312"/>
                <w:sz w:val="26"/>
                <w:szCs w:val="26"/>
              </w:rPr>
            </w:pPr>
            <w:r>
              <w:rPr>
                <w:rFonts w:hint="eastAsia" w:ascii="黑体" w:hAnsi="黑体" w:eastAsia="黑体" w:cs="仿宋_GB2312"/>
                <w:sz w:val="26"/>
                <w:szCs w:val="26"/>
              </w:rPr>
              <w:t>序号</w:t>
            </w:r>
          </w:p>
        </w:tc>
        <w:tc>
          <w:tcPr>
            <w:tcW w:w="1399"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4A1EF554">
            <w:pPr>
              <w:widowControl/>
              <w:spacing w:line="367" w:lineRule="atLeast"/>
              <w:jc w:val="center"/>
              <w:rPr>
                <w:rFonts w:ascii="黑体" w:hAnsi="黑体" w:eastAsia="黑体" w:cs="仿宋_GB2312"/>
                <w:sz w:val="26"/>
                <w:szCs w:val="26"/>
              </w:rPr>
            </w:pPr>
            <w:r>
              <w:rPr>
                <w:rFonts w:hint="eastAsia" w:ascii="黑体" w:hAnsi="黑体" w:eastAsia="黑体" w:cs="仿宋_GB2312"/>
                <w:sz w:val="26"/>
                <w:szCs w:val="26"/>
              </w:rPr>
              <w:t>品种名称</w:t>
            </w:r>
          </w:p>
        </w:tc>
        <w:tc>
          <w:tcPr>
            <w:tcW w:w="1612"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4D634406">
            <w:pPr>
              <w:widowControl/>
              <w:spacing w:line="367" w:lineRule="atLeast"/>
              <w:jc w:val="center"/>
              <w:rPr>
                <w:rFonts w:ascii="黑体" w:hAnsi="黑体" w:eastAsia="黑体" w:cs="仿宋_GB2312"/>
                <w:sz w:val="26"/>
                <w:szCs w:val="26"/>
              </w:rPr>
            </w:pPr>
            <w:r>
              <w:rPr>
                <w:rFonts w:hint="eastAsia" w:ascii="黑体" w:hAnsi="黑体" w:eastAsia="黑体" w:cs="仿宋_GB2312"/>
                <w:sz w:val="26"/>
                <w:szCs w:val="26"/>
              </w:rPr>
              <w:t>一般作业区</w:t>
            </w:r>
          </w:p>
        </w:tc>
        <w:tc>
          <w:tcPr>
            <w:tcW w:w="2192"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1B0EF0D6">
            <w:pPr>
              <w:widowControl/>
              <w:spacing w:line="367" w:lineRule="atLeast"/>
              <w:jc w:val="center"/>
              <w:rPr>
                <w:rFonts w:ascii="黑体" w:hAnsi="黑体" w:eastAsia="黑体" w:cs="仿宋_GB2312"/>
                <w:sz w:val="26"/>
                <w:szCs w:val="26"/>
              </w:rPr>
            </w:pPr>
            <w:r>
              <w:rPr>
                <w:rFonts w:hint="eastAsia" w:ascii="黑体" w:hAnsi="黑体" w:eastAsia="黑体" w:cs="仿宋_GB2312"/>
                <w:sz w:val="26"/>
                <w:szCs w:val="26"/>
              </w:rPr>
              <w:t>准清洁作业区</w:t>
            </w:r>
          </w:p>
        </w:tc>
        <w:tc>
          <w:tcPr>
            <w:tcW w:w="2461"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072AF105">
            <w:pPr>
              <w:widowControl/>
              <w:spacing w:line="367" w:lineRule="atLeast"/>
              <w:jc w:val="center"/>
              <w:rPr>
                <w:rFonts w:ascii="黑体" w:hAnsi="黑体" w:eastAsia="黑体" w:cs="仿宋_GB2312"/>
                <w:sz w:val="26"/>
                <w:szCs w:val="26"/>
              </w:rPr>
            </w:pPr>
            <w:r>
              <w:rPr>
                <w:rFonts w:hint="eastAsia" w:ascii="黑体" w:hAnsi="黑体" w:eastAsia="黑体" w:cs="仿宋_GB2312"/>
                <w:sz w:val="26"/>
                <w:szCs w:val="26"/>
              </w:rPr>
              <w:t>清洁作业区</w:t>
            </w:r>
          </w:p>
        </w:tc>
      </w:tr>
      <w:tr w14:paraId="4EF87EC0">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48" w:hRule="atLeast"/>
          <w:jc w:val="center"/>
        </w:trPr>
        <w:tc>
          <w:tcPr>
            <w:tcW w:w="832" w:type="dxa"/>
            <w:tcBorders>
              <w:top w:val="single" w:color="auto" w:sz="6" w:space="0"/>
              <w:left w:val="single" w:color="auto" w:sz="6" w:space="0"/>
              <w:bottom w:val="single" w:color="auto" w:sz="6" w:space="0"/>
              <w:right w:val="single" w:color="auto" w:sz="6" w:space="0"/>
            </w:tcBorders>
            <w:tcMar>
              <w:top w:w="0" w:type="dxa"/>
              <w:left w:w="95" w:type="dxa"/>
              <w:bottom w:w="0" w:type="dxa"/>
              <w:right w:w="95" w:type="dxa"/>
            </w:tcMar>
            <w:vAlign w:val="center"/>
          </w:tcPr>
          <w:p w14:paraId="20A86568">
            <w:pPr>
              <w:widowControl/>
              <w:spacing w:line="367" w:lineRule="atLeast"/>
              <w:jc w:val="center"/>
              <w:rPr>
                <w:rFonts w:ascii="仿宋_GB2312" w:hAnsi="仿宋_GB2312" w:eastAsia="仿宋_GB2312" w:cs="仿宋_GB2312"/>
                <w:sz w:val="26"/>
                <w:szCs w:val="26"/>
              </w:rPr>
            </w:pPr>
            <w:r>
              <w:rPr>
                <w:rFonts w:hint="eastAsia" w:ascii="仿宋_GB2312" w:hAnsi="仿宋_GB2312" w:eastAsia="仿宋_GB2312" w:cs="仿宋_GB2312"/>
                <w:sz w:val="26"/>
                <w:szCs w:val="26"/>
              </w:rPr>
              <w:t>1</w:t>
            </w:r>
          </w:p>
        </w:tc>
        <w:tc>
          <w:tcPr>
            <w:tcW w:w="1399"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6E317E23">
            <w:pPr>
              <w:widowControl/>
              <w:spacing w:line="367" w:lineRule="atLeast"/>
              <w:jc w:val="center"/>
              <w:rPr>
                <w:rFonts w:ascii="仿宋_GB2312" w:hAnsi="仿宋_GB2312" w:eastAsia="仿宋_GB2312" w:cs="仿宋_GB2312"/>
                <w:szCs w:val="21"/>
              </w:rPr>
            </w:pPr>
            <w:r>
              <w:rPr>
                <w:rFonts w:hint="eastAsia" w:ascii="仿宋_GB2312" w:hAnsi="Arial" w:eastAsia="仿宋_GB2312" w:cs="Arial"/>
                <w:kern w:val="0"/>
                <w:szCs w:val="21"/>
              </w:rPr>
              <w:t>酵母水解物</w:t>
            </w:r>
          </w:p>
        </w:tc>
        <w:tc>
          <w:tcPr>
            <w:tcW w:w="1612"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3801780A">
            <w:pPr>
              <w:widowControl/>
              <w:spacing w:line="240" w:lineRule="atLeast"/>
              <w:jc w:val="left"/>
              <w:rPr>
                <w:rFonts w:ascii="仿宋_GB2312" w:hAnsi="Arial" w:eastAsia="仿宋_GB2312" w:cs="Arial"/>
                <w:kern w:val="0"/>
                <w:szCs w:val="21"/>
              </w:rPr>
            </w:pPr>
            <w:r>
              <w:rPr>
                <w:rFonts w:hint="eastAsia" w:ascii="仿宋_GB2312" w:hAnsi="Arial" w:eastAsia="仿宋_GB2312" w:cs="Arial"/>
                <w:kern w:val="0"/>
                <w:szCs w:val="21"/>
              </w:rPr>
              <w:t>原料外包装清洁间、原料/包材/成品仓库、外包装间、废弃物暂存间</w:t>
            </w:r>
          </w:p>
        </w:tc>
        <w:tc>
          <w:tcPr>
            <w:tcW w:w="2192"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6D1CE851">
            <w:pPr>
              <w:widowControl/>
              <w:spacing w:line="367" w:lineRule="atLeast"/>
              <w:jc w:val="center"/>
              <w:rPr>
                <w:rFonts w:ascii="仿宋_GB2312" w:hAnsi="仿宋_GB2312" w:eastAsia="仿宋_GB2312" w:cs="仿宋_GB2312"/>
                <w:szCs w:val="21"/>
              </w:rPr>
            </w:pPr>
            <w:r>
              <w:rPr>
                <w:rFonts w:hint="eastAsia" w:ascii="仿宋_GB2312" w:hAnsi="Arial" w:eastAsia="仿宋_GB2312" w:cs="Arial"/>
                <w:kern w:val="0"/>
                <w:szCs w:val="21"/>
              </w:rPr>
              <w:t>菌种发酵区、酵母清洗分离区、浓缩干燥区、配料称量区（若生产区域为全程密闭容器及管道生产，可视为一般作业区）</w:t>
            </w:r>
          </w:p>
        </w:tc>
        <w:tc>
          <w:tcPr>
            <w:tcW w:w="2461" w:type="dxa"/>
            <w:tcBorders>
              <w:top w:val="single" w:color="auto" w:sz="6" w:space="0"/>
              <w:left w:val="nil"/>
              <w:bottom w:val="single" w:color="auto" w:sz="6" w:space="0"/>
              <w:right w:val="single" w:color="auto" w:sz="6" w:space="0"/>
            </w:tcBorders>
            <w:tcMar>
              <w:top w:w="0" w:type="dxa"/>
              <w:left w:w="95" w:type="dxa"/>
              <w:bottom w:w="0" w:type="dxa"/>
              <w:right w:w="95" w:type="dxa"/>
            </w:tcMar>
            <w:vAlign w:val="center"/>
          </w:tcPr>
          <w:p w14:paraId="4F49BC5B">
            <w:pPr>
              <w:widowControl/>
              <w:spacing w:line="367" w:lineRule="atLeast"/>
              <w:jc w:val="center"/>
              <w:rPr>
                <w:rFonts w:ascii="仿宋_GB2312" w:hAnsi="仿宋_GB2312" w:eastAsia="仿宋_GB2312" w:cs="仿宋_GB2312"/>
                <w:szCs w:val="21"/>
              </w:rPr>
            </w:pPr>
            <w:r>
              <w:rPr>
                <w:rFonts w:hint="eastAsia" w:ascii="仿宋_GB2312" w:hAnsi="Arial" w:eastAsia="仿宋_GB2312" w:cs="Arial"/>
                <w:kern w:val="0"/>
                <w:szCs w:val="21"/>
              </w:rPr>
              <w:t>内包装灌装车间、消毒后内包材存放间</w:t>
            </w:r>
          </w:p>
        </w:tc>
      </w:tr>
      <w:tr w14:paraId="246A2D76">
        <w:tblPrEx>
          <w:tblBorders>
            <w:top w:val="outset" w:color="333333" w:sz="6" w:space="0"/>
            <w:left w:val="outset" w:color="333333" w:sz="6" w:space="0"/>
            <w:bottom w:val="outset" w:color="333333" w:sz="6" w:space="0"/>
            <w:right w:val="outset" w:color="333333" w:sz="6" w:space="0"/>
            <w:insideH w:val="none" w:color="auto" w:sz="0" w:space="0"/>
            <w:insideV w:val="none" w:color="auto" w:sz="0" w:space="0"/>
          </w:tblBorders>
          <w:tblCellMar>
            <w:top w:w="0" w:type="dxa"/>
            <w:left w:w="0" w:type="dxa"/>
            <w:bottom w:w="0" w:type="dxa"/>
            <w:right w:w="0" w:type="dxa"/>
          </w:tblCellMar>
        </w:tblPrEx>
        <w:trPr>
          <w:trHeight w:val="448" w:hRule="atLeast"/>
          <w:jc w:val="center"/>
        </w:trPr>
        <w:tc>
          <w:tcPr>
            <w:tcW w:w="832" w:type="dxa"/>
            <w:tcBorders>
              <w:top w:val="nil"/>
              <w:left w:val="single" w:color="auto" w:sz="6" w:space="0"/>
              <w:bottom w:val="single" w:color="auto" w:sz="6" w:space="0"/>
              <w:right w:val="single" w:color="auto" w:sz="6" w:space="0"/>
            </w:tcBorders>
            <w:tcMar>
              <w:top w:w="0" w:type="dxa"/>
              <w:left w:w="95" w:type="dxa"/>
              <w:bottom w:w="0" w:type="dxa"/>
              <w:right w:w="95" w:type="dxa"/>
            </w:tcMar>
            <w:vAlign w:val="center"/>
          </w:tcPr>
          <w:p w14:paraId="0D9F1071">
            <w:pPr>
              <w:widowControl/>
              <w:spacing w:line="367" w:lineRule="atLeast"/>
              <w:jc w:val="center"/>
              <w:rPr>
                <w:rFonts w:ascii="仿宋_GB2312" w:hAnsi="仿宋_GB2312" w:eastAsia="仿宋_GB2312" w:cs="仿宋_GB2312"/>
                <w:sz w:val="26"/>
                <w:szCs w:val="26"/>
              </w:rPr>
            </w:pPr>
            <w:r>
              <w:rPr>
                <w:rFonts w:hint="eastAsia" w:ascii="仿宋_GB2312" w:hAnsi="仿宋_GB2312" w:eastAsia="仿宋_GB2312" w:cs="仿宋_GB2312"/>
                <w:sz w:val="26"/>
                <w:szCs w:val="26"/>
              </w:rPr>
              <w:t>2</w:t>
            </w:r>
          </w:p>
        </w:tc>
        <w:tc>
          <w:tcPr>
            <w:tcW w:w="1399" w:type="dxa"/>
            <w:tcBorders>
              <w:top w:val="nil"/>
              <w:left w:val="nil"/>
              <w:bottom w:val="single" w:color="auto" w:sz="6" w:space="0"/>
              <w:right w:val="single" w:color="auto" w:sz="6" w:space="0"/>
            </w:tcBorders>
            <w:tcMar>
              <w:top w:w="0" w:type="dxa"/>
              <w:left w:w="95" w:type="dxa"/>
              <w:bottom w:w="0" w:type="dxa"/>
              <w:right w:w="95" w:type="dxa"/>
            </w:tcMar>
            <w:vAlign w:val="center"/>
          </w:tcPr>
          <w:p w14:paraId="64FF7EB6">
            <w:pPr>
              <w:widowControl/>
              <w:spacing w:line="367" w:lineRule="atLeast"/>
              <w:jc w:val="center"/>
              <w:rPr>
                <w:rFonts w:ascii="仿宋_GB2312" w:hAnsi="宋体" w:eastAsia="仿宋_GB2312" w:cs="宋体"/>
                <w:kern w:val="0"/>
                <w:szCs w:val="21"/>
              </w:rPr>
            </w:pPr>
            <w:r>
              <w:rPr>
                <w:rFonts w:hint="eastAsia" w:ascii="仿宋_GB2312" w:hAnsi="宋体" w:eastAsia="仿宋_GB2312" w:cs="宋体"/>
                <w:szCs w:val="21"/>
                <w:shd w:val="clear" w:color="auto" w:fill="FFFFFF"/>
              </w:rPr>
              <w:t>其他酵母制品</w:t>
            </w:r>
          </w:p>
        </w:tc>
        <w:tc>
          <w:tcPr>
            <w:tcW w:w="1612" w:type="dxa"/>
            <w:tcBorders>
              <w:top w:val="nil"/>
              <w:left w:val="nil"/>
              <w:bottom w:val="single" w:color="auto" w:sz="6" w:space="0"/>
              <w:right w:val="single" w:color="auto" w:sz="6" w:space="0"/>
            </w:tcBorders>
            <w:tcMar>
              <w:top w:w="0" w:type="dxa"/>
              <w:left w:w="95" w:type="dxa"/>
              <w:bottom w:w="0" w:type="dxa"/>
              <w:right w:w="95" w:type="dxa"/>
            </w:tcMar>
            <w:vAlign w:val="center"/>
          </w:tcPr>
          <w:p w14:paraId="341FFA72">
            <w:pPr>
              <w:widowControl/>
              <w:spacing w:line="240" w:lineRule="atLeast"/>
              <w:jc w:val="left"/>
              <w:rPr>
                <w:rFonts w:ascii="仿宋_GB2312" w:hAnsi="Arial" w:eastAsia="仿宋_GB2312" w:cs="Arial"/>
                <w:kern w:val="0"/>
                <w:szCs w:val="21"/>
              </w:rPr>
            </w:pPr>
            <w:r>
              <w:rPr>
                <w:rFonts w:hint="eastAsia" w:ascii="仿宋_GB2312" w:hAnsi="Arial" w:eastAsia="仿宋_GB2312" w:cs="Arial"/>
                <w:kern w:val="0"/>
                <w:szCs w:val="21"/>
              </w:rPr>
              <w:t>原料外包装清洁间、原料/包材/成品仓库、外包装间、废弃物暂存间</w:t>
            </w:r>
          </w:p>
        </w:tc>
        <w:tc>
          <w:tcPr>
            <w:tcW w:w="2192" w:type="dxa"/>
            <w:tcBorders>
              <w:top w:val="nil"/>
              <w:left w:val="nil"/>
              <w:bottom w:val="single" w:color="auto" w:sz="6" w:space="0"/>
              <w:right w:val="single" w:color="auto" w:sz="6" w:space="0"/>
            </w:tcBorders>
            <w:tcMar>
              <w:top w:w="0" w:type="dxa"/>
              <w:left w:w="95" w:type="dxa"/>
              <w:bottom w:w="0" w:type="dxa"/>
              <w:right w:w="95" w:type="dxa"/>
            </w:tcMar>
            <w:vAlign w:val="center"/>
          </w:tcPr>
          <w:p w14:paraId="7320E595">
            <w:pPr>
              <w:widowControl/>
              <w:spacing w:line="367" w:lineRule="atLeast"/>
              <w:jc w:val="left"/>
              <w:rPr>
                <w:rFonts w:ascii="仿宋_GB2312" w:hAnsi="宋体" w:eastAsia="仿宋_GB2312" w:cs="宋体"/>
                <w:kern w:val="0"/>
                <w:szCs w:val="21"/>
              </w:rPr>
            </w:pPr>
            <w:r>
              <w:rPr>
                <w:rFonts w:hint="eastAsia" w:ascii="仿宋_GB2312" w:hAnsi="宋体" w:eastAsia="仿宋_GB2312" w:cs="宋体"/>
                <w:szCs w:val="21"/>
                <w:shd w:val="clear" w:color="auto" w:fill="FFFFFF"/>
              </w:rPr>
              <w:t>机械破壁区、投料区、萃取区、过滤区、烘干区</w:t>
            </w:r>
            <w:r>
              <w:rPr>
                <w:rFonts w:hint="eastAsia" w:ascii="仿宋_GB2312" w:hAnsi="Arial" w:eastAsia="仿宋_GB2312" w:cs="Arial"/>
                <w:kern w:val="0"/>
                <w:szCs w:val="21"/>
              </w:rPr>
              <w:t>（若生产区域为全程密闭容器及管道生产，可视为一般作业区）</w:t>
            </w:r>
          </w:p>
        </w:tc>
        <w:tc>
          <w:tcPr>
            <w:tcW w:w="2461" w:type="dxa"/>
            <w:tcBorders>
              <w:top w:val="nil"/>
              <w:left w:val="nil"/>
              <w:bottom w:val="single" w:color="auto" w:sz="6" w:space="0"/>
              <w:right w:val="single" w:color="auto" w:sz="6" w:space="0"/>
            </w:tcBorders>
            <w:tcMar>
              <w:top w:w="0" w:type="dxa"/>
              <w:left w:w="95" w:type="dxa"/>
              <w:bottom w:w="0" w:type="dxa"/>
              <w:right w:w="95" w:type="dxa"/>
            </w:tcMar>
            <w:vAlign w:val="center"/>
          </w:tcPr>
          <w:p w14:paraId="6726F22E">
            <w:pPr>
              <w:widowControl/>
              <w:spacing w:line="367" w:lineRule="atLeast"/>
              <w:jc w:val="center"/>
              <w:rPr>
                <w:rFonts w:ascii="仿宋_GB2312" w:hAnsi="宋体" w:eastAsia="仿宋_GB2312" w:cs="宋体"/>
                <w:kern w:val="0"/>
                <w:szCs w:val="21"/>
              </w:rPr>
            </w:pPr>
            <w:r>
              <w:rPr>
                <w:rFonts w:hint="eastAsia" w:ascii="仿宋_GB2312" w:hAnsi="Arial" w:eastAsia="仿宋_GB2312" w:cs="Arial"/>
                <w:kern w:val="0"/>
                <w:szCs w:val="21"/>
              </w:rPr>
              <w:t>内包装灌装车间、消毒后内包材存放间</w:t>
            </w:r>
          </w:p>
        </w:tc>
      </w:tr>
    </w:tbl>
    <w:p w14:paraId="396C7F7F">
      <w:pPr>
        <w:widowControl/>
        <w:spacing w:line="503" w:lineRule="atLeast"/>
        <w:jc w:val="left"/>
        <w:rPr>
          <w:rFonts w:ascii="仿宋_GB2312" w:hAnsi="宋体" w:eastAsia="仿宋_GB2312" w:cs="宋体"/>
          <w:kern w:val="0"/>
          <w:sz w:val="29"/>
          <w:szCs w:val="29"/>
        </w:rPr>
      </w:pPr>
      <w:r>
        <w:rPr>
          <w:rFonts w:hint="eastAsia" w:ascii="黑体" w:hAnsi="黑体" w:eastAsia="黑体" w:cs="宋体"/>
          <w:kern w:val="0"/>
          <w:sz w:val="29"/>
          <w:szCs w:val="29"/>
        </w:rPr>
        <w:t>第八条　</w:t>
      </w:r>
      <w:r>
        <w:rPr>
          <w:rFonts w:hint="eastAsia" w:ascii="仿宋_GB2312" w:hAnsi="宋体" w:eastAsia="仿宋_GB2312" w:cs="宋体"/>
          <w:kern w:val="0"/>
          <w:sz w:val="29"/>
          <w:szCs w:val="29"/>
        </w:rPr>
        <w:t>生产场所或生产车间入口处应设置更衣室，应配置足够数量的非手动式洗手设施、干手设施、消毒设施、换鞋（穿戴鞋套）设施或工作鞋靴消毒设施。临近洗手设施的显著位置应标示简明易懂的洗手方法。(一般作业区通常无此要求，准清洁作业区按照这个条件配置）。</w:t>
      </w:r>
    </w:p>
    <w:p w14:paraId="19A94F11">
      <w:pPr>
        <w:widowControl/>
        <w:spacing w:line="503" w:lineRule="atLeast"/>
        <w:jc w:val="left"/>
        <w:rPr>
          <w:rFonts w:ascii="宋体" w:hAnsi="宋体" w:eastAsia="宋体" w:cs="宋体"/>
          <w:kern w:val="0"/>
          <w:sz w:val="24"/>
          <w:szCs w:val="24"/>
        </w:rPr>
      </w:pPr>
      <w:r>
        <w:rPr>
          <w:rFonts w:hint="eastAsia" w:ascii="黑体" w:hAnsi="黑体" w:eastAsia="黑体" w:cs="宋体"/>
          <w:kern w:val="0"/>
          <w:sz w:val="29"/>
          <w:szCs w:val="29"/>
        </w:rPr>
        <w:t>第九条　</w:t>
      </w:r>
      <w:r>
        <w:rPr>
          <w:rFonts w:hint="eastAsia" w:ascii="仿宋_GB2312" w:hAnsi="宋体" w:eastAsia="仿宋_GB2312" w:cs="宋体"/>
          <w:kern w:val="0"/>
          <w:sz w:val="29"/>
          <w:szCs w:val="29"/>
        </w:rPr>
        <w:t>清洁作业区入口应设置二次更衣区，配置足够数量的非手动式洗手、干手、消毒设施，换鞋（穿戴鞋套）设施或工作鞋靴消毒设施。临近洗手设施的显著位置应标示简明易懂的洗手方法。</w:t>
      </w:r>
    </w:p>
    <w:p w14:paraId="7290EFE4">
      <w:pPr>
        <w:widowControl/>
        <w:spacing w:line="503" w:lineRule="atLeast"/>
        <w:jc w:val="left"/>
        <w:rPr>
          <w:rFonts w:ascii="仿宋_GB2312" w:hAnsi="宋体" w:eastAsia="仿宋_GB2312" w:cs="宋体"/>
          <w:kern w:val="0"/>
          <w:sz w:val="29"/>
          <w:szCs w:val="29"/>
        </w:rPr>
      </w:pPr>
      <w:r>
        <w:rPr>
          <w:rFonts w:hint="eastAsia" w:ascii="黑体" w:hAnsi="黑体" w:eastAsia="黑体" w:cs="宋体"/>
          <w:kern w:val="0"/>
          <w:sz w:val="29"/>
          <w:szCs w:val="29"/>
        </w:rPr>
        <w:t>第十条　</w:t>
      </w:r>
      <w:r>
        <w:rPr>
          <w:rFonts w:hint="eastAsia" w:ascii="仿宋_GB2312" w:hAnsi="宋体" w:eastAsia="仿宋_GB2312" w:cs="宋体"/>
          <w:kern w:val="0"/>
          <w:sz w:val="29"/>
          <w:szCs w:val="29"/>
        </w:rPr>
        <w:t>清洁作业区和准清洁作业区出入应有合理的限制和控制，进入清洁作业区和准清洁作业区的原辅料、包装材料等应有清洁消毒措施。对于通过风动管道运输的原料或产品进入清洁作业区，需要设计和安装适当的空气过滤系统。清洁作业区应当定期采用紫外线照射或臭氧等方式对生产环境消毒。</w:t>
      </w:r>
    </w:p>
    <w:p w14:paraId="3E422068">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第四节</w:t>
      </w:r>
      <w:r>
        <w:rPr>
          <w:rFonts w:hint="eastAsia" w:ascii="宋体" w:hAnsi="宋体" w:eastAsia="宋体" w:cs="宋体"/>
          <w:kern w:val="0"/>
          <w:sz w:val="29"/>
          <w:szCs w:val="29"/>
        </w:rPr>
        <w:t> </w:t>
      </w:r>
      <w:r>
        <w:rPr>
          <w:rFonts w:hint="eastAsia" w:ascii="黑体" w:hAnsi="黑体" w:eastAsia="黑体" w:cs="宋体"/>
          <w:kern w:val="0"/>
          <w:sz w:val="29"/>
          <w:szCs w:val="29"/>
        </w:rPr>
        <w:t>设备设施</w:t>
      </w:r>
    </w:p>
    <w:p w14:paraId="4E0E4639">
      <w:pPr>
        <w:widowControl/>
        <w:spacing w:line="503" w:lineRule="atLeast"/>
        <w:jc w:val="left"/>
        <w:rPr>
          <w:rFonts w:ascii="仿宋_GB2312" w:hAnsi="宋体" w:eastAsia="仿宋_GB2312" w:cs="宋体"/>
          <w:kern w:val="0"/>
          <w:sz w:val="29"/>
          <w:szCs w:val="29"/>
        </w:rPr>
      </w:pPr>
      <w:r>
        <w:rPr>
          <w:rFonts w:hint="eastAsia" w:ascii="黑体" w:hAnsi="黑体" w:eastAsia="黑体" w:cs="宋体"/>
          <w:kern w:val="0"/>
          <w:sz w:val="29"/>
          <w:szCs w:val="29"/>
        </w:rPr>
        <w:t>第十一条　</w:t>
      </w:r>
      <w:r>
        <w:rPr>
          <w:rFonts w:hint="eastAsia" w:ascii="仿宋_GB2312" w:hAnsi="宋体" w:eastAsia="仿宋_GB2312" w:cs="宋体"/>
          <w:kern w:val="0"/>
          <w:sz w:val="29"/>
          <w:szCs w:val="29"/>
        </w:rPr>
        <w:t>企业应配备与生产能力相适应的生产设备，并按工艺流程有序排列，避免引起交叉污染。酵母制品生产设备一般包括：</w:t>
      </w:r>
    </w:p>
    <w:p w14:paraId="480CFE85">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（一）酵母水解物</w:t>
      </w:r>
    </w:p>
    <w:p w14:paraId="29D5CC7C">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菌种制备设备（如恒温培养箱、超净工作台等）（不适用于以酵母为原料）、灭菌设备、发酵设备（如种子罐、发酵罐、营养液罐等）（不适用于以酵母为原料）、分离设备（如分离机）、酵母存储设备（带温控装置）、浓缩设备、干燥设备（仅适用于有干燥工艺产品）、金属探测设备、包装设备等</w:t>
      </w:r>
    </w:p>
    <w:p w14:paraId="7E92CE84">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（二）其他酵母制品</w:t>
      </w:r>
    </w:p>
    <w:p w14:paraId="2DD12A78">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发酵设备（如种子罐、发酵罐、营养液罐等）（不适用于以酵母为原料）、分离设备（如分离机）、浓缩设备、干燥设备（仅适用于有干燥工艺产品）、机械破壁设备、萃取设备（如二合一萃取罐，含溶剂回收系统）、过滤设备、烘干设备、金属探测设备、包装设备等。</w:t>
      </w:r>
    </w:p>
    <w:p w14:paraId="034B3E64">
      <w:pPr>
        <w:pStyle w:val="14"/>
        <w:ind w:firstLine="0" w:firstLineChars="0"/>
        <w:rPr>
          <w:rFonts w:ascii="仿宋_GB2312" w:hAnsi="仿宋_GB2312" w:eastAsia="仿宋_GB2312" w:cs="仿宋_GB2312"/>
          <w:sz w:val="32"/>
          <w:szCs w:val="32"/>
        </w:rPr>
      </w:pPr>
      <w:r>
        <w:rPr>
          <w:rFonts w:hint="eastAsia" w:ascii="黑体" w:hAnsi="黑体" w:eastAsia="黑体" w:cs="宋体"/>
          <w:kern w:val="0"/>
          <w:sz w:val="29"/>
          <w:szCs w:val="29"/>
        </w:rPr>
        <w:t xml:space="preserve">第十二条 </w:t>
      </w:r>
      <w:r>
        <w:rPr>
          <w:rFonts w:hint="eastAsia" w:ascii="仿宋_GB2312" w:hAnsi="宋体" w:eastAsia="仿宋_GB2312" w:cs="宋体"/>
          <w:kern w:val="0"/>
          <w:sz w:val="29"/>
          <w:szCs w:val="29"/>
        </w:rPr>
        <w:t>与原料、半成品、成品接触的设备与用具，应无毒、无味、抗腐蚀、不易脱落，并应易于清洁和保养。设备、工器具等与食品接触的表面应光滑、无吸收性、易于清洁保养和消毒，在正常生产条件下不会与食品、清洁剂和消毒剂发生反应，并应保持完好无损。</w:t>
      </w:r>
    </w:p>
    <w:p w14:paraId="17FAD140">
      <w:pPr>
        <w:pStyle w:val="14"/>
        <w:ind w:firstLine="0" w:firstLineChars="0"/>
        <w:rPr>
          <w:rFonts w:ascii="仿宋_GB2312" w:hAnsi="仿宋_GB2312" w:eastAsia="仿宋_GB2312" w:cs="仿宋_GB2312"/>
          <w:sz w:val="32"/>
          <w:szCs w:val="32"/>
        </w:rPr>
      </w:pPr>
      <w:r>
        <w:rPr>
          <w:rFonts w:hint="eastAsia" w:ascii="黑体" w:hAnsi="黑体" w:eastAsia="黑体" w:cs="宋体"/>
          <w:kern w:val="0"/>
          <w:sz w:val="29"/>
          <w:szCs w:val="29"/>
        </w:rPr>
        <w:t xml:space="preserve">第十三条 </w:t>
      </w:r>
      <w:r>
        <w:rPr>
          <w:rFonts w:hint="eastAsia" w:ascii="仿宋_GB2312" w:hAnsi="宋体" w:eastAsia="仿宋_GB2312" w:cs="宋体"/>
          <w:kern w:val="0"/>
          <w:sz w:val="29"/>
          <w:szCs w:val="29"/>
        </w:rPr>
        <w:t>用于监测、控制、记录的设备，如压力表、温度计等，应定期检定或校准、维护，确保准确有效</w:t>
      </w:r>
      <w:r>
        <w:rPr>
          <w:rFonts w:hint="eastAsia" w:ascii="仿宋_GB2312" w:hAnsi="仿宋_GB2312" w:eastAsia="仿宋_GB2312" w:cs="仿宋_GB2312"/>
          <w:sz w:val="32"/>
          <w:szCs w:val="32"/>
        </w:rPr>
        <w:t>。</w:t>
      </w:r>
    </w:p>
    <w:p w14:paraId="57651EBF">
      <w:pPr>
        <w:widowControl/>
        <w:spacing w:line="503" w:lineRule="atLeast"/>
        <w:jc w:val="left"/>
        <w:rPr>
          <w:rFonts w:ascii="宋体" w:hAnsi="宋体" w:eastAsia="宋体" w:cs="宋体"/>
          <w:kern w:val="0"/>
          <w:sz w:val="24"/>
          <w:szCs w:val="24"/>
        </w:rPr>
      </w:pPr>
      <w:r>
        <w:rPr>
          <w:rFonts w:hint="eastAsia" w:ascii="黑体" w:hAnsi="黑体" w:eastAsia="黑体" w:cs="宋体"/>
          <w:kern w:val="0"/>
          <w:sz w:val="29"/>
          <w:szCs w:val="29"/>
        </w:rPr>
        <w:t>第十四条　</w:t>
      </w:r>
      <w:r>
        <w:rPr>
          <w:rFonts w:hint="eastAsia" w:ascii="仿宋_GB2312" w:hAnsi="宋体" w:eastAsia="仿宋_GB2312" w:cs="宋体"/>
          <w:kern w:val="0"/>
          <w:sz w:val="29"/>
          <w:szCs w:val="29"/>
        </w:rPr>
        <w:t>生产加工用水的水质应符合《生活饮用水卫生标准》GB 5749的规定，对加工用水水质有特殊要求的应符合相应规定。</w:t>
      </w:r>
    </w:p>
    <w:p w14:paraId="0AE4171A">
      <w:pPr>
        <w:widowControl/>
        <w:spacing w:line="503" w:lineRule="atLeast"/>
        <w:jc w:val="left"/>
        <w:rPr>
          <w:rFonts w:ascii="宋体" w:hAnsi="宋体" w:eastAsia="宋体" w:cs="宋体"/>
          <w:kern w:val="0"/>
          <w:sz w:val="24"/>
          <w:szCs w:val="24"/>
        </w:rPr>
      </w:pPr>
      <w:r>
        <w:rPr>
          <w:rFonts w:hint="eastAsia" w:ascii="黑体" w:hAnsi="黑体" w:eastAsia="黑体" w:cs="宋体"/>
          <w:kern w:val="0"/>
          <w:sz w:val="29"/>
          <w:szCs w:val="29"/>
        </w:rPr>
        <w:t>第十五条　</w:t>
      </w:r>
      <w:r>
        <w:rPr>
          <w:rFonts w:hint="eastAsia" w:ascii="仿宋_GB2312" w:hAnsi="宋体" w:eastAsia="仿宋_GB2312" w:cs="宋体"/>
          <w:kern w:val="0"/>
          <w:sz w:val="29"/>
          <w:szCs w:val="29"/>
        </w:rPr>
        <w:t>室内排水的流向应由清洁程度要求高的区域流向清洁程度要求低的区域，且应有防止逆流的设计。污水在排放前应经适当方式处理，以符合国家污水排放的相关规定。</w:t>
      </w:r>
    </w:p>
    <w:p w14:paraId="0B8414BD">
      <w:pPr>
        <w:widowControl/>
        <w:spacing w:line="503" w:lineRule="atLeast"/>
        <w:jc w:val="left"/>
        <w:rPr>
          <w:rFonts w:ascii="宋体" w:hAnsi="宋体" w:eastAsia="宋体" w:cs="宋体"/>
          <w:kern w:val="0"/>
          <w:sz w:val="24"/>
          <w:szCs w:val="24"/>
        </w:rPr>
      </w:pPr>
      <w:r>
        <w:rPr>
          <w:rFonts w:hint="eastAsia" w:ascii="黑体" w:hAnsi="黑体" w:eastAsia="黑体" w:cs="宋体"/>
          <w:kern w:val="0"/>
          <w:sz w:val="29"/>
          <w:szCs w:val="29"/>
        </w:rPr>
        <w:t>第十六条　</w:t>
      </w:r>
      <w:r>
        <w:rPr>
          <w:rFonts w:hint="eastAsia" w:ascii="仿宋_GB2312" w:hAnsi="宋体" w:eastAsia="仿宋_GB2312" w:cs="宋体"/>
          <w:kern w:val="0"/>
          <w:sz w:val="29"/>
          <w:szCs w:val="29"/>
        </w:rPr>
        <w:t>应配备设计合理、防止渗漏、易于清洁的存放废弃物的专用设施，废弃物定期清除。</w:t>
      </w:r>
    </w:p>
    <w:p w14:paraId="0903CA3C">
      <w:pPr>
        <w:pStyle w:val="14"/>
        <w:ind w:firstLine="0" w:firstLineChars="0"/>
        <w:rPr>
          <w:rFonts w:ascii="仿宋_GB2312" w:hAnsi="宋体" w:eastAsia="仿宋_GB2312" w:cs="宋体"/>
          <w:kern w:val="0"/>
          <w:sz w:val="29"/>
          <w:szCs w:val="29"/>
        </w:rPr>
      </w:pPr>
      <w:r>
        <w:rPr>
          <w:rFonts w:hint="eastAsia" w:ascii="黑体" w:hAnsi="黑体" w:eastAsia="黑体" w:cs="宋体"/>
          <w:kern w:val="0"/>
          <w:sz w:val="29"/>
          <w:szCs w:val="29"/>
        </w:rPr>
        <w:t xml:space="preserve">第十七条 </w:t>
      </w:r>
      <w:r>
        <w:rPr>
          <w:rFonts w:hint="eastAsia" w:ascii="仿宋_GB2312" w:hAnsi="宋体" w:eastAsia="仿宋_GB2312" w:cs="宋体"/>
          <w:kern w:val="0"/>
          <w:sz w:val="29"/>
          <w:szCs w:val="29"/>
        </w:rPr>
        <w:t>企业自行检验的，应具备与所检项目适应的检验室和检验能力。检验室应当布局合理，检验设备的数量、性能、精度等应当满足相应的检验需求；检验仪器设备应按期检定或校准。</w:t>
      </w:r>
    </w:p>
    <w:p w14:paraId="370DE4B1">
      <w:pPr>
        <w:pStyle w:val="14"/>
        <w:ind w:firstLine="435" w:firstLineChars="150"/>
        <w:rPr>
          <w:rFonts w:ascii="仿宋_GB2312" w:hAnsi="宋体" w:eastAsia="仿宋_GB2312" w:cs="宋体"/>
          <w:kern w:val="0"/>
          <w:sz w:val="29"/>
          <w:szCs w:val="29"/>
        </w:rPr>
      </w:pPr>
      <w:r>
        <w:rPr>
          <w:rFonts w:hint="eastAsia" w:ascii="仿宋_GB2312" w:hAnsi="宋体" w:eastAsia="仿宋_GB2312" w:cs="宋体"/>
          <w:kern w:val="0"/>
          <w:sz w:val="29"/>
          <w:szCs w:val="29"/>
        </w:rPr>
        <w:t>检验设备一般应具有：分析天平（0.1mg）、蛋白测定装置、发酵仪或发酵力测定装装置（仅适用于活性酵母）、pH计、干燥箱、灭菌锅、微生物培养箱、生物显微镜、气相色谱仪、无菌室和超净工作台及相关的计量器具等设备。</w:t>
      </w:r>
    </w:p>
    <w:p w14:paraId="0F6E1128">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第五节</w:t>
      </w:r>
      <w:r>
        <w:rPr>
          <w:rFonts w:hint="eastAsia" w:ascii="宋体" w:hAnsi="宋体" w:eastAsia="宋体" w:cs="宋体"/>
          <w:kern w:val="0"/>
          <w:sz w:val="29"/>
          <w:szCs w:val="29"/>
        </w:rPr>
        <w:t> </w:t>
      </w:r>
      <w:r>
        <w:rPr>
          <w:rFonts w:hint="eastAsia" w:ascii="黑体" w:hAnsi="黑体" w:eastAsia="黑体" w:cs="宋体"/>
          <w:kern w:val="0"/>
          <w:sz w:val="29"/>
          <w:szCs w:val="29"/>
        </w:rPr>
        <w:t>设备布局和工艺流程</w:t>
      </w:r>
    </w:p>
    <w:p w14:paraId="60BA94E4">
      <w:pPr>
        <w:pStyle w:val="14"/>
        <w:ind w:firstLine="0" w:firstLineChars="0"/>
        <w:rPr>
          <w:rFonts w:ascii="仿宋_GB2312" w:hAnsi="宋体" w:eastAsia="仿宋_GB2312" w:cs="宋体"/>
          <w:kern w:val="0"/>
          <w:sz w:val="29"/>
          <w:szCs w:val="29"/>
        </w:rPr>
      </w:pPr>
      <w:r>
        <w:rPr>
          <w:rFonts w:hint="eastAsia" w:ascii="黑体" w:hAnsi="黑体" w:eastAsia="黑体" w:cs="宋体"/>
          <w:kern w:val="0"/>
          <w:sz w:val="29"/>
          <w:szCs w:val="29"/>
        </w:rPr>
        <w:t>第十八条　</w:t>
      </w:r>
      <w:r>
        <w:rPr>
          <w:rFonts w:hint="eastAsia" w:ascii="仿宋_GB2312" w:hAnsi="宋体" w:eastAsia="仿宋_GB2312" w:cs="宋体"/>
          <w:kern w:val="0"/>
          <w:sz w:val="29"/>
          <w:szCs w:val="29"/>
        </w:rPr>
        <w:t>设备布局应按工艺流程设计，工艺流程一般包括：</w:t>
      </w:r>
    </w:p>
    <w:p w14:paraId="74D7D986">
      <w:pPr>
        <w:pStyle w:val="14"/>
        <w:numPr>
          <w:ilvl w:val="0"/>
          <w:numId w:val="1"/>
        </w:numPr>
        <w:ind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酵母水解物：原辅料验收→清洗→自溶酶解→杀菌→浓缩或不浓缩→干燥或不干燥→包装→成品。</w:t>
      </w:r>
    </w:p>
    <w:p w14:paraId="43F1F31F">
      <w:pPr>
        <w:pStyle w:val="14"/>
        <w:numPr>
          <w:ilvl w:val="0"/>
          <w:numId w:val="1"/>
        </w:numPr>
        <w:ind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其他酵母加工制品：原辅料验收→发酵培养→分离→ 清洗→浓缩→干燥→机械破壁→萃取或不萃取→过滤→烘干 →包装→成品。</w:t>
      </w:r>
    </w:p>
    <w:p w14:paraId="706F6ED8">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具体产品按企业实际工艺流程生产，但其工艺流程必须科学合理，符合相关规定。</w:t>
      </w:r>
    </w:p>
    <w:p w14:paraId="0C2C6AD9">
      <w:pPr>
        <w:widowControl/>
        <w:spacing w:line="503" w:lineRule="atLeast"/>
        <w:rPr>
          <w:rFonts w:ascii="宋体" w:hAnsi="宋体" w:eastAsia="宋体" w:cs="宋体"/>
          <w:kern w:val="0"/>
          <w:sz w:val="24"/>
          <w:szCs w:val="24"/>
        </w:rPr>
      </w:pPr>
      <w:r>
        <w:rPr>
          <w:rFonts w:hint="eastAsia" w:ascii="黑体" w:hAnsi="黑体" w:eastAsia="黑体" w:cs="宋体"/>
          <w:kern w:val="0"/>
          <w:sz w:val="29"/>
          <w:szCs w:val="29"/>
        </w:rPr>
        <w:t>第十九条　</w:t>
      </w:r>
      <w:r>
        <w:rPr>
          <w:rFonts w:hint="eastAsia" w:ascii="仿宋_GB2312" w:hAnsi="宋体" w:eastAsia="仿宋_GB2312" w:cs="宋体"/>
          <w:kern w:val="0"/>
          <w:sz w:val="29"/>
          <w:szCs w:val="29"/>
        </w:rPr>
        <w:t>企业应明确影响产品质量的关键控制工序和环节，并对生产过程中的质量安全关键点进行控制，关键控制工序可设为：</w:t>
      </w:r>
    </w:p>
    <w:p w14:paraId="231E5BB5">
      <w:pPr>
        <w:rPr>
          <w:rFonts w:ascii="仿宋_GB2312" w:hAnsi="宋体" w:eastAsia="仿宋_GB2312" w:cs="宋体"/>
          <w:kern w:val="0"/>
          <w:sz w:val="29"/>
          <w:szCs w:val="29"/>
        </w:rPr>
      </w:pPr>
      <w:r>
        <w:rPr>
          <w:rFonts w:hint="eastAsia" w:ascii="仿宋_GB2312" w:hAnsi="宋体" w:eastAsia="仿宋_GB2312" w:cs="宋体"/>
          <w:kern w:val="0"/>
          <w:sz w:val="29"/>
          <w:szCs w:val="29"/>
        </w:rPr>
        <w:t>（一）酵母水解物：原辅料验收、自溶酶解、杀菌、包装等。</w:t>
      </w:r>
    </w:p>
    <w:p w14:paraId="18D581BF">
      <w:pPr>
        <w:rPr>
          <w:rFonts w:ascii="仿宋_GB2312" w:hAnsi="宋体" w:eastAsia="仿宋_GB2312" w:cs="宋体"/>
          <w:kern w:val="0"/>
          <w:sz w:val="29"/>
          <w:szCs w:val="29"/>
        </w:rPr>
      </w:pPr>
      <w:r>
        <w:rPr>
          <w:rFonts w:hint="eastAsia" w:ascii="仿宋_GB2312" w:hAnsi="宋体" w:eastAsia="仿宋_GB2312" w:cs="宋体"/>
          <w:kern w:val="0"/>
          <w:sz w:val="29"/>
          <w:szCs w:val="29"/>
        </w:rPr>
        <w:t>（二）其他酵母制品：原辅料验收、机械破壁、萃取及过滤、干燥工序、包装等。</w:t>
      </w:r>
    </w:p>
    <w:p w14:paraId="2394F5C3">
      <w:pPr>
        <w:widowControl/>
        <w:spacing w:line="503" w:lineRule="atLeast"/>
        <w:rPr>
          <w:rFonts w:ascii="宋体" w:hAnsi="宋体" w:eastAsia="宋体" w:cs="宋体"/>
          <w:kern w:val="0"/>
          <w:sz w:val="24"/>
          <w:szCs w:val="24"/>
        </w:rPr>
      </w:pPr>
      <w:r>
        <w:rPr>
          <w:rFonts w:hint="eastAsia" w:ascii="黑体" w:hAnsi="黑体" w:eastAsia="黑体" w:cs="宋体"/>
          <w:kern w:val="0"/>
          <w:sz w:val="29"/>
          <w:szCs w:val="29"/>
        </w:rPr>
        <w:t>第二十条　</w:t>
      </w:r>
      <w:r>
        <w:rPr>
          <w:rFonts w:hint="eastAsia" w:ascii="仿宋_GB2312" w:hAnsi="宋体" w:eastAsia="仿宋_GB2312" w:cs="宋体"/>
          <w:kern w:val="0"/>
          <w:sz w:val="29"/>
          <w:szCs w:val="29"/>
        </w:rPr>
        <w:t>食品添加剂的使用范围和使用量应符合《食品安全国家标准 食品添加剂使用标准》（GB 2760）的规定。</w:t>
      </w:r>
    </w:p>
    <w:p w14:paraId="7642559C">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第六节</w:t>
      </w:r>
      <w:r>
        <w:rPr>
          <w:rFonts w:hint="eastAsia" w:ascii="宋体" w:hAnsi="宋体" w:eastAsia="宋体" w:cs="宋体"/>
          <w:kern w:val="0"/>
          <w:sz w:val="29"/>
          <w:szCs w:val="29"/>
        </w:rPr>
        <w:t> </w:t>
      </w:r>
      <w:r>
        <w:rPr>
          <w:rFonts w:hint="eastAsia" w:ascii="黑体" w:hAnsi="黑体" w:eastAsia="黑体" w:cs="宋体"/>
          <w:kern w:val="0"/>
          <w:sz w:val="29"/>
          <w:szCs w:val="29"/>
        </w:rPr>
        <w:t>人员管理</w:t>
      </w:r>
    </w:p>
    <w:p w14:paraId="1472F254">
      <w:pPr>
        <w:rPr>
          <w:rFonts w:ascii="仿宋_GB2312" w:hAnsi="仿宋_GB2312" w:eastAsia="仿宋_GB2312" w:cs="仿宋_GB2312"/>
          <w:szCs w:val="32"/>
        </w:rPr>
      </w:pPr>
      <w:r>
        <w:rPr>
          <w:rFonts w:ascii="黑体" w:hAnsi="黑体" w:eastAsia="黑体" w:cs="宋体"/>
          <w:kern w:val="0"/>
          <w:sz w:val="29"/>
          <w:szCs w:val="29"/>
        </w:rPr>
        <w:t>第二十一条</w:t>
      </w:r>
      <w:r>
        <w:rPr>
          <w:rFonts w:hint="eastAsia" w:ascii="黑体" w:hAnsi="黑体" w:eastAsia="黑体" w:cs="宋体"/>
          <w:kern w:val="0"/>
          <w:sz w:val="29"/>
          <w:szCs w:val="29"/>
        </w:rPr>
        <w:t xml:space="preserve"> </w:t>
      </w:r>
      <w:r>
        <w:rPr>
          <w:rFonts w:hint="eastAsia" w:ascii="仿宋_GB2312" w:hAnsi="宋体" w:eastAsia="仿宋_GB2312" w:cs="宋体"/>
          <w:kern w:val="0"/>
          <w:sz w:val="29"/>
          <w:szCs w:val="29"/>
        </w:rPr>
        <w:t>应符合《中华人民共和国食品安全法》、《企业落实食品安全主体责任监督管理规定》、《食品生产许可审查通则》、《食品安全国家标准 食品生产通用卫生规范》（GB 14881）等相关法律法规及国家标准的要求，人员健康应符合国家卫生行政部门有关规定。</w:t>
      </w:r>
    </w:p>
    <w:p w14:paraId="3B0302B7">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第七节</w:t>
      </w:r>
      <w:r>
        <w:rPr>
          <w:rFonts w:hint="eastAsia" w:ascii="宋体" w:hAnsi="宋体" w:eastAsia="宋体" w:cs="宋体"/>
          <w:kern w:val="0"/>
          <w:sz w:val="29"/>
          <w:szCs w:val="29"/>
        </w:rPr>
        <w:t> </w:t>
      </w:r>
      <w:r>
        <w:rPr>
          <w:rFonts w:hint="eastAsia" w:ascii="黑体" w:hAnsi="黑体" w:eastAsia="黑体" w:cs="宋体"/>
          <w:kern w:val="0"/>
          <w:sz w:val="29"/>
          <w:szCs w:val="29"/>
        </w:rPr>
        <w:t>管理制度</w:t>
      </w:r>
    </w:p>
    <w:p w14:paraId="0C48C10B">
      <w:pPr>
        <w:rPr>
          <w:rFonts w:ascii="仿宋_GB2312" w:hAnsi="宋体" w:eastAsia="仿宋_GB2312" w:cs="宋体"/>
          <w:kern w:val="0"/>
          <w:sz w:val="29"/>
          <w:szCs w:val="29"/>
        </w:rPr>
      </w:pPr>
      <w:r>
        <w:rPr>
          <w:rFonts w:hint="eastAsia" w:ascii="黑体" w:hAnsi="黑体" w:eastAsia="黑体" w:cs="宋体"/>
          <w:kern w:val="0"/>
          <w:sz w:val="29"/>
          <w:szCs w:val="29"/>
        </w:rPr>
        <w:t xml:space="preserve">第二十二条 </w:t>
      </w:r>
      <w:r>
        <w:rPr>
          <w:rFonts w:hint="eastAsia" w:ascii="仿宋_GB2312" w:hAnsi="宋体" w:eastAsia="仿宋_GB2312" w:cs="宋体"/>
          <w:kern w:val="0"/>
          <w:sz w:val="29"/>
          <w:szCs w:val="29"/>
        </w:rPr>
        <w:t>建立并执行采购管理及进货查验记录制度。企业应规定食品原料、食品添加剂和食品相关产品的验收标准和验收规范，记录采购的食品原料、食品添加剂及食品相关产品名称、规格、数量、生产日期或者生产批号、保质期、进货日期以及供货者名称、地址、联系方式等信息，保存相关记录和凭证。定期对主要原料供应商进行评价、考核，确定合格供应商名单。</w:t>
      </w:r>
    </w:p>
    <w:p w14:paraId="1BDD3697">
      <w:pPr>
        <w:pStyle w:val="14"/>
        <w:ind w:firstLine="0" w:firstLineChars="0"/>
        <w:rPr>
          <w:rFonts w:ascii="仿宋_GB2312" w:hAnsi="宋体" w:eastAsia="仿宋_GB2312" w:cs="宋体"/>
          <w:kern w:val="0"/>
          <w:sz w:val="29"/>
          <w:szCs w:val="29"/>
        </w:rPr>
      </w:pPr>
      <w:r>
        <w:rPr>
          <w:rFonts w:hint="eastAsia" w:ascii="仿宋_GB2312" w:hAnsi="宋体" w:eastAsia="仿宋_GB2312" w:cs="宋体"/>
          <w:kern w:val="0"/>
          <w:sz w:val="29"/>
          <w:szCs w:val="29"/>
        </w:rPr>
        <w:t>食品相关产品应符合相关食品安全标准的规定，在加工、储藏和运输条件下不影响产品质量安全。</w:t>
      </w:r>
    </w:p>
    <w:p w14:paraId="1736CAA6">
      <w:pPr>
        <w:rPr>
          <w:rFonts w:ascii="仿宋_GB2312" w:hAnsi="宋体" w:eastAsia="仿宋_GB2312" w:cs="宋体"/>
          <w:kern w:val="0"/>
          <w:sz w:val="29"/>
          <w:szCs w:val="29"/>
        </w:rPr>
      </w:pPr>
      <w:r>
        <w:rPr>
          <w:rFonts w:ascii="黑体" w:hAnsi="黑体" w:eastAsia="黑体" w:cs="宋体"/>
          <w:kern w:val="0"/>
          <w:sz w:val="29"/>
          <w:szCs w:val="29"/>
        </w:rPr>
        <w:t>第二十</w:t>
      </w:r>
      <w:r>
        <w:rPr>
          <w:rFonts w:hint="eastAsia" w:ascii="黑体" w:hAnsi="黑体" w:eastAsia="黑体" w:cs="宋体"/>
          <w:kern w:val="0"/>
          <w:sz w:val="29"/>
          <w:szCs w:val="29"/>
        </w:rPr>
        <w:t>三</w:t>
      </w:r>
      <w:r>
        <w:rPr>
          <w:rFonts w:ascii="黑体" w:hAnsi="黑体" w:eastAsia="黑体" w:cs="宋体"/>
          <w:kern w:val="0"/>
          <w:sz w:val="29"/>
          <w:szCs w:val="29"/>
        </w:rPr>
        <w:t>条</w:t>
      </w:r>
      <w:r>
        <w:rPr>
          <w:rFonts w:hint="eastAsia" w:ascii="仿宋_GB2312" w:hAnsi="宋体" w:eastAsia="仿宋_GB2312" w:cs="宋体"/>
          <w:kern w:val="0"/>
          <w:sz w:val="29"/>
          <w:szCs w:val="29"/>
        </w:rPr>
        <w:t xml:space="preserve"> 企业应建立并执行生产过程控制制度，对生产过程中关键控制环节的质量安全进行管控：</w:t>
      </w:r>
    </w:p>
    <w:p w14:paraId="4DDBF22F">
      <w:pPr>
        <w:rPr>
          <w:rFonts w:ascii="仿宋_GB2312" w:hAnsi="宋体" w:eastAsia="仿宋_GB2312" w:cs="宋体"/>
          <w:kern w:val="0"/>
          <w:sz w:val="29"/>
          <w:szCs w:val="29"/>
        </w:rPr>
      </w:pPr>
      <w:r>
        <w:rPr>
          <w:rFonts w:hint="eastAsia" w:ascii="仿宋_GB2312" w:hAnsi="宋体" w:eastAsia="仿宋_GB2312" w:cs="宋体"/>
          <w:kern w:val="0"/>
          <w:sz w:val="29"/>
          <w:szCs w:val="29"/>
        </w:rPr>
        <w:t>（一）应当制定清场管理要求。各生产工序在生产结束后、更换品种或批次前，应当对现场进行清场并进行记录。清场工作包括剩余物料的处理，半成品、成品的处理，废弃物的处理，生产用工器具的清场，外包工序的清场。记录内容包括:序号、品名、生产批次、清场时间、检查项目及结果等，清场负责人及复查人应当在记录上签名，同时对清场的结果进行物料平衡的验证。</w:t>
      </w:r>
    </w:p>
    <w:p w14:paraId="7409CC9C">
      <w:pPr>
        <w:rPr>
          <w:rFonts w:ascii="仿宋_GB2312" w:hAnsi="宋体" w:eastAsia="仿宋_GB2312" w:cs="宋体"/>
          <w:kern w:val="0"/>
          <w:sz w:val="29"/>
          <w:szCs w:val="29"/>
        </w:rPr>
      </w:pPr>
      <w:r>
        <w:rPr>
          <w:rFonts w:hint="eastAsia" w:ascii="仿宋_GB2312" w:hAnsi="宋体" w:eastAsia="仿宋_GB2312" w:cs="宋体"/>
          <w:kern w:val="0"/>
          <w:sz w:val="29"/>
          <w:szCs w:val="29"/>
        </w:rPr>
        <w:t>（二）企业应根据原料、产品和生产工艺特点，针对生产设备和环境制定有效的清洁消毒管理制度，降低微生物污染风险。</w:t>
      </w:r>
    </w:p>
    <w:p w14:paraId="1872D54F">
      <w:pPr>
        <w:rPr>
          <w:rFonts w:ascii="仿宋_GB2312" w:hAnsi="宋体" w:eastAsia="仿宋_GB2312" w:cs="宋体"/>
          <w:kern w:val="0"/>
          <w:sz w:val="29"/>
          <w:szCs w:val="29"/>
        </w:rPr>
      </w:pPr>
      <w:r>
        <w:rPr>
          <w:rFonts w:hint="eastAsia" w:ascii="仿宋_GB2312" w:hAnsi="宋体" w:eastAsia="仿宋_GB2312" w:cs="宋体"/>
          <w:kern w:val="0"/>
          <w:sz w:val="29"/>
          <w:szCs w:val="29"/>
        </w:rPr>
        <w:t>应当制定清洁消毒管理要求。各生产工序在生产结束后、下次生产前，对车间环境、设备设施、工服和人员进行清洁消毒、验证并记录。记录内容包括：清洁消毒对象、清洁消毒方式、清洁消毒时间、效果确认等。</w:t>
      </w:r>
    </w:p>
    <w:p w14:paraId="4591A2ED">
      <w:pPr>
        <w:rPr>
          <w:rFonts w:ascii="仿宋_GB2312" w:hAnsi="宋体" w:eastAsia="仿宋_GB2312" w:cs="宋体"/>
          <w:kern w:val="0"/>
          <w:sz w:val="29"/>
          <w:szCs w:val="29"/>
        </w:rPr>
      </w:pPr>
      <w:r>
        <w:rPr>
          <w:rFonts w:hint="eastAsia" w:ascii="仿宋_GB2312" w:hAnsi="宋体" w:eastAsia="仿宋_GB2312" w:cs="宋体"/>
          <w:kern w:val="0"/>
          <w:sz w:val="29"/>
          <w:szCs w:val="29"/>
        </w:rPr>
        <w:t>（三）应当制定食品添加剂使用管理要求。食品添加剂的使用应根据酵母加工制品的用途，符合《食品安全国家标准食品添加剂使用标准》（GB 2760）关于相应类别食品的规定。应指定专人采购、专人保管食品添加剂，并在符合食品添加剂贮存要求的场所设立专库或专柜存放食品添加剂，进行专项管理。做好相应的采购、贮存及使用记录。</w:t>
      </w:r>
    </w:p>
    <w:p w14:paraId="7940A7C8">
      <w:pPr>
        <w:rPr>
          <w:rFonts w:ascii="仿宋_GB2312" w:hAnsi="宋体" w:eastAsia="仿宋_GB2312" w:cs="宋体"/>
          <w:kern w:val="0"/>
          <w:sz w:val="29"/>
          <w:szCs w:val="29"/>
        </w:rPr>
      </w:pPr>
      <w:r>
        <w:rPr>
          <w:rFonts w:hint="eastAsia" w:ascii="仿宋_GB2312" w:hAnsi="宋体" w:eastAsia="仿宋_GB2312" w:cs="宋体"/>
          <w:kern w:val="0"/>
          <w:sz w:val="29"/>
          <w:szCs w:val="29"/>
        </w:rPr>
        <w:t>（四）应当制定称量配料控制要求。称量、配料过程应保证物料种类、数量与产品配方的要求一致，并由他人独立进行复核和记录。建立称量、配料相关记录，记录、核算每批产品的投料量、产量及物料平衡情况，确保物料平衡情况符合设定的限度以及生产相关信息的可追溯。发现物料平衡情况异常时应查明原因，采取措施，防范食品安全风险。</w:t>
      </w:r>
    </w:p>
    <w:p w14:paraId="3DB5741A">
      <w:pPr>
        <w:rPr>
          <w:rFonts w:ascii="仿宋_GB2312" w:hAnsi="宋体" w:eastAsia="仿宋_GB2312" w:cs="宋体"/>
          <w:kern w:val="0"/>
          <w:sz w:val="29"/>
          <w:szCs w:val="29"/>
        </w:rPr>
      </w:pPr>
      <w:r>
        <w:rPr>
          <w:rFonts w:hint="eastAsia" w:ascii="黑体" w:hAnsi="黑体" w:eastAsia="黑体" w:cs="宋体"/>
          <w:kern w:val="0"/>
          <w:sz w:val="29"/>
          <w:szCs w:val="29"/>
        </w:rPr>
        <w:t>第二十四条</w:t>
      </w:r>
      <w:r>
        <w:rPr>
          <w:rFonts w:hint="eastAsia" w:ascii="仿宋_GB2312" w:hAnsi="宋体" w:eastAsia="仿宋_GB2312" w:cs="宋体"/>
          <w:kern w:val="0"/>
          <w:sz w:val="29"/>
          <w:szCs w:val="29"/>
        </w:rPr>
        <w:t xml:space="preserve"> 建立并执行检验管理及出厂检验记录制度。应包括原料检验、过程检验、出厂检验及产品留样的方式及要求。产品执行标准规定出厂检验要求的，应按标准规定执行。执行标准未规定出厂检验要求的，企业应综合考虑产品特性、工艺特点、生产过程控制等因素确定检验项目、检验频次、检验方法等检验要求。</w:t>
      </w:r>
    </w:p>
    <w:p w14:paraId="342B8CDF">
      <w:pPr>
        <w:rPr>
          <w:rFonts w:ascii="仿宋_GB2312" w:hAnsi="宋体" w:eastAsia="仿宋_GB2312" w:cs="宋体"/>
          <w:kern w:val="0"/>
          <w:sz w:val="29"/>
          <w:szCs w:val="29"/>
        </w:rPr>
      </w:pPr>
      <w:r>
        <w:rPr>
          <w:rFonts w:hint="eastAsia" w:ascii="仿宋_GB2312" w:hAnsi="宋体" w:eastAsia="仿宋_GB2312" w:cs="宋体"/>
          <w:kern w:val="0"/>
          <w:sz w:val="29"/>
          <w:szCs w:val="29"/>
        </w:rPr>
        <w:t>（一）自行检验的企业应具备与所检项目适应的检验室和检验能力，每年至少对所检项目进行1次检验能力验证。使用快速检测方法的，应定期与国家标准规定的检验方法进行比对或验证，保证检测结果准确。当快速检测方法检测结果显示异常时，应使用国家标准规定的检验方法进行验证。</w:t>
      </w:r>
    </w:p>
    <w:p w14:paraId="44F5B82B">
      <w:pPr>
        <w:ind w:firstLine="580" w:firstLineChars="200"/>
        <w:rPr>
          <w:rFonts w:ascii="仿宋_GB2312" w:hAnsi="宋体" w:eastAsia="仿宋_GB2312" w:cs="宋体"/>
          <w:kern w:val="0"/>
          <w:sz w:val="29"/>
          <w:szCs w:val="29"/>
        </w:rPr>
      </w:pPr>
      <w:r>
        <w:rPr>
          <w:rFonts w:hint="eastAsia" w:ascii="仿宋_GB2312" w:hAnsi="宋体" w:eastAsia="仿宋_GB2312" w:cs="宋体"/>
          <w:kern w:val="0"/>
          <w:sz w:val="29"/>
          <w:szCs w:val="29"/>
        </w:rPr>
        <w:t>其他食品[其他食品：酵母制品（酵母水解物、其他酵母制品）]生产企业的检验能力至少满足感官要求、水分、粗蛋白质、灰分、氨基酸态氮、乙酸乙酯残留量、菌落总数、大肠菌群、霉菌和酵母菌的项目检测。</w:t>
      </w:r>
    </w:p>
    <w:p w14:paraId="261A17C4">
      <w:pPr>
        <w:rPr>
          <w:rFonts w:ascii="仿宋_GB2312" w:hAnsi="宋体" w:eastAsia="仿宋_GB2312" w:cs="宋体"/>
          <w:kern w:val="0"/>
          <w:sz w:val="29"/>
          <w:szCs w:val="29"/>
        </w:rPr>
      </w:pPr>
      <w:r>
        <w:rPr>
          <w:rFonts w:hint="eastAsia" w:ascii="仿宋_GB2312" w:hAnsi="宋体" w:eastAsia="仿宋_GB2312" w:cs="宋体"/>
          <w:kern w:val="0"/>
          <w:sz w:val="29"/>
          <w:szCs w:val="29"/>
        </w:rPr>
        <w:t>（二）委托检验。不能自行检验的，可委托具有检验资质的第三方检测机构进行检验，并妥善保存检验报告。</w:t>
      </w:r>
    </w:p>
    <w:p w14:paraId="391648BF">
      <w:pPr>
        <w:rPr>
          <w:rFonts w:ascii="仿宋_GB2312" w:hAnsi="宋体" w:eastAsia="仿宋_GB2312" w:cs="宋体"/>
          <w:kern w:val="0"/>
          <w:sz w:val="29"/>
          <w:szCs w:val="29"/>
        </w:rPr>
      </w:pPr>
      <w:r>
        <w:rPr>
          <w:rFonts w:hint="eastAsia" w:ascii="仿宋_GB2312" w:hAnsi="宋体" w:eastAsia="仿宋_GB2312" w:cs="宋体"/>
          <w:kern w:val="0"/>
          <w:sz w:val="29"/>
          <w:szCs w:val="29"/>
        </w:rPr>
        <w:t>（三）产品留样。每批产品均应有留样，产品留样间应满足产品贮存条件要求，留样数量应满足复检要求，产品留样应保存至保质期满并有记录。对过期产品进行科学处置，如实、完整记录留样及过期产品处置相关信息。留样标签信息与销售包装标签信息对应。</w:t>
      </w:r>
    </w:p>
    <w:p w14:paraId="47C2B0F5">
      <w:pPr>
        <w:rPr>
          <w:rFonts w:ascii="仿宋_GB2312" w:hAnsi="宋体" w:eastAsia="仿宋_GB2312" w:cs="宋体"/>
          <w:kern w:val="0"/>
          <w:sz w:val="29"/>
          <w:szCs w:val="29"/>
        </w:rPr>
      </w:pPr>
      <w:r>
        <w:rPr>
          <w:rFonts w:hint="eastAsia" w:ascii="黑体" w:hAnsi="黑体" w:eastAsia="黑体" w:cs="宋体"/>
          <w:kern w:val="0"/>
          <w:sz w:val="29"/>
          <w:szCs w:val="29"/>
        </w:rPr>
        <w:t>第二十五条</w:t>
      </w:r>
      <w:r>
        <w:rPr>
          <w:rFonts w:hint="eastAsia" w:ascii="仿宋_GB2312" w:hAnsi="宋体" w:eastAsia="仿宋_GB2312" w:cs="宋体"/>
          <w:kern w:val="0"/>
          <w:sz w:val="29"/>
          <w:szCs w:val="29"/>
        </w:rPr>
        <w:t xml:space="preserve"> 建立并执行运输和交付管理制度。企业应根据食品及食品原料的特点和卫生需要规定运输、交付要求。不得与有毒、有害、有异味的物品一同运输。不应使用未经清洗的车辆和未经消毒的容器运输产品。运输过程中温度控制应符合产品运输的温度要求。</w:t>
      </w:r>
    </w:p>
    <w:p w14:paraId="2C017CB9">
      <w:pPr>
        <w:rPr>
          <w:rFonts w:ascii="仿宋_GB2312" w:hAnsi="宋体" w:eastAsia="仿宋_GB2312" w:cs="宋体"/>
          <w:kern w:val="0"/>
          <w:sz w:val="29"/>
          <w:szCs w:val="29"/>
        </w:rPr>
      </w:pPr>
      <w:r>
        <w:rPr>
          <w:rFonts w:hint="eastAsia" w:ascii="黑体" w:hAnsi="黑体" w:eastAsia="黑体" w:cs="宋体"/>
          <w:kern w:val="0"/>
          <w:sz w:val="29"/>
          <w:szCs w:val="29"/>
        </w:rPr>
        <w:t>第二十六条</w:t>
      </w:r>
      <w:r>
        <w:rPr>
          <w:rFonts w:hint="eastAsia" w:ascii="仿宋_GB2312" w:hAnsi="宋体" w:eastAsia="仿宋_GB2312" w:cs="宋体"/>
          <w:kern w:val="0"/>
          <w:sz w:val="29"/>
          <w:szCs w:val="29"/>
        </w:rPr>
        <w:t xml:space="preserve"> 建立并执行食品安全追溯制度。如实记录原料采购与验收、生产加工、产品检验、出厂销售等全过程信息，实现产品有效追溯。企业应合理设定产品批次，建立批生产记录，如实记录投料的原料名称、投料数量、产品批号、投料日期等信息。</w:t>
      </w:r>
    </w:p>
    <w:p w14:paraId="158CDECD">
      <w:pPr>
        <w:rPr>
          <w:rFonts w:ascii="仿宋_GB2312" w:hAnsi="宋体" w:eastAsia="仿宋_GB2312" w:cs="宋体"/>
          <w:kern w:val="0"/>
          <w:sz w:val="29"/>
          <w:szCs w:val="29"/>
        </w:rPr>
      </w:pPr>
      <w:r>
        <w:rPr>
          <w:rFonts w:hint="eastAsia" w:ascii="黑体" w:hAnsi="黑体" w:eastAsia="黑体" w:cs="宋体"/>
          <w:kern w:val="0"/>
          <w:sz w:val="29"/>
          <w:szCs w:val="29"/>
        </w:rPr>
        <w:t>第二十七条</w:t>
      </w:r>
      <w:r>
        <w:rPr>
          <w:rFonts w:hint="eastAsia" w:ascii="仿宋_GB2312" w:hAnsi="宋体" w:eastAsia="仿宋_GB2312" w:cs="宋体"/>
          <w:kern w:val="0"/>
          <w:sz w:val="29"/>
          <w:szCs w:val="29"/>
        </w:rPr>
        <w:t xml:space="preserve"> 建立并执行食品安全自查制度。企业应对酵母加工制品生产安全状况进行检查评价，并规定自查频次。</w:t>
      </w:r>
    </w:p>
    <w:p w14:paraId="6D2C8175">
      <w:pPr>
        <w:rPr>
          <w:rFonts w:ascii="仿宋_GB2312" w:hAnsi="宋体" w:eastAsia="仿宋_GB2312" w:cs="宋体"/>
          <w:kern w:val="0"/>
          <w:sz w:val="29"/>
          <w:szCs w:val="29"/>
        </w:rPr>
      </w:pPr>
      <w:r>
        <w:rPr>
          <w:rFonts w:hint="eastAsia" w:ascii="仿宋_GB2312" w:hAnsi="宋体" w:eastAsia="仿宋_GB2312" w:cs="宋体"/>
          <w:kern w:val="0"/>
          <w:sz w:val="29"/>
          <w:szCs w:val="29"/>
        </w:rPr>
        <w:t>自查内容应包括食品原料、食品添加剂、食品相关产品进货查验情况；生产过程控制情况；人员管理情况；检验管理情况；记录及文件管理情况等。</w:t>
      </w:r>
    </w:p>
    <w:p w14:paraId="21EC05A9">
      <w:pPr>
        <w:rPr>
          <w:rFonts w:ascii="仿宋_GB2312" w:hAnsi="宋体" w:eastAsia="仿宋_GB2312" w:cs="宋体"/>
          <w:kern w:val="0"/>
          <w:sz w:val="29"/>
          <w:szCs w:val="29"/>
        </w:rPr>
      </w:pPr>
      <w:r>
        <w:rPr>
          <w:rFonts w:hint="eastAsia" w:ascii="黑体" w:hAnsi="黑体" w:eastAsia="黑体" w:cs="宋体"/>
          <w:kern w:val="0"/>
          <w:sz w:val="29"/>
          <w:szCs w:val="29"/>
        </w:rPr>
        <w:t>第二十八条</w:t>
      </w:r>
      <w:r>
        <w:rPr>
          <w:rFonts w:hint="eastAsia" w:ascii="仿宋_GB2312" w:hAnsi="宋体" w:eastAsia="仿宋_GB2312" w:cs="宋体"/>
          <w:kern w:val="0"/>
          <w:sz w:val="29"/>
          <w:szCs w:val="29"/>
        </w:rPr>
        <w:t xml:space="preserve"> 建立并执行不合格品管理及不安全食品召回制度。企业应明确对在验收和生产过程中发现的不合格原料、半成品和成品进行标识、贮存和处置措施，不合格品应与合格品分开放置并明显标记。如实、完整记录不合格品保存和处理情况。企业应对召回的食品采取补救、无害化处置、销毁等措施，如实记录召回和处置情况，并向市市场监督管理部门报告。</w:t>
      </w:r>
    </w:p>
    <w:p w14:paraId="02E83D9F">
      <w:pPr>
        <w:rPr>
          <w:rFonts w:ascii="仿宋_GB2312" w:hAnsi="宋体" w:eastAsia="仿宋_GB2312" w:cs="宋体"/>
          <w:kern w:val="0"/>
          <w:sz w:val="29"/>
          <w:szCs w:val="29"/>
        </w:rPr>
      </w:pPr>
      <w:r>
        <w:rPr>
          <w:rFonts w:hint="eastAsia" w:ascii="黑体" w:hAnsi="黑体" w:eastAsia="黑体" w:cs="宋体"/>
          <w:kern w:val="0"/>
          <w:sz w:val="29"/>
          <w:szCs w:val="29"/>
        </w:rPr>
        <w:t>第二十九条</w:t>
      </w:r>
      <w:r>
        <w:rPr>
          <w:rFonts w:hint="eastAsia" w:ascii="仿宋_GB2312" w:hAnsi="宋体" w:eastAsia="仿宋_GB2312" w:cs="宋体"/>
          <w:kern w:val="0"/>
          <w:sz w:val="29"/>
          <w:szCs w:val="29"/>
        </w:rPr>
        <w:t xml:space="preserve"> 其他制度。</w:t>
      </w:r>
    </w:p>
    <w:p w14:paraId="5B67C2BA">
      <w:pPr>
        <w:rPr>
          <w:rFonts w:ascii="仿宋_GB2312" w:hAnsi="宋体" w:eastAsia="仿宋_GB2312" w:cs="宋体"/>
          <w:kern w:val="0"/>
          <w:sz w:val="29"/>
          <w:szCs w:val="29"/>
        </w:rPr>
      </w:pPr>
      <w:r>
        <w:rPr>
          <w:rFonts w:hint="eastAsia" w:ascii="仿宋_GB2312" w:hAnsi="宋体" w:eastAsia="仿宋_GB2312" w:cs="宋体"/>
          <w:kern w:val="0"/>
          <w:sz w:val="29"/>
          <w:szCs w:val="29"/>
        </w:rPr>
        <w:t>（一）建立并执行食品安全防护制度。应建立食品防护计划，最大限度降低因故意污染、蓄意破坏等人为因素造成食品受到生物、化学、物理方面的风险。</w:t>
      </w:r>
    </w:p>
    <w:p w14:paraId="1385F8FF">
      <w:pPr>
        <w:rPr>
          <w:rFonts w:ascii="仿宋_GB2312" w:hAnsi="宋体" w:eastAsia="仿宋_GB2312" w:cs="宋体"/>
          <w:kern w:val="0"/>
          <w:sz w:val="29"/>
          <w:szCs w:val="29"/>
        </w:rPr>
      </w:pPr>
      <w:r>
        <w:rPr>
          <w:rFonts w:hint="eastAsia" w:ascii="仿宋_GB2312" w:hAnsi="宋体" w:eastAsia="仿宋_GB2312" w:cs="宋体"/>
          <w:kern w:val="0"/>
          <w:sz w:val="29"/>
          <w:szCs w:val="29"/>
        </w:rPr>
        <w:t>（二）建立并执行仓储管理制度，原料、半成品、成品、包装材料等应依据性质的不同分设贮存场所或分区域码放，并有明确标识。</w:t>
      </w:r>
    </w:p>
    <w:p w14:paraId="60D6DCD2">
      <w:pPr>
        <w:rPr>
          <w:rFonts w:ascii="仿宋_GB2312" w:hAnsi="宋体" w:eastAsia="仿宋_GB2312" w:cs="宋体"/>
          <w:kern w:val="0"/>
          <w:sz w:val="29"/>
          <w:szCs w:val="29"/>
        </w:rPr>
      </w:pPr>
      <w:r>
        <w:rPr>
          <w:rFonts w:hint="eastAsia" w:ascii="仿宋_GB2312" w:hAnsi="宋体" w:eastAsia="仿宋_GB2312" w:cs="宋体"/>
          <w:kern w:val="0"/>
          <w:sz w:val="29"/>
          <w:szCs w:val="29"/>
        </w:rPr>
        <w:t>不得将原料、半成品、成品与有毒有害物品在同一场所存放，不得将原料与成品在同一场所存放，防止交叉污染。清洁剂、消毒剂等应采用适宜的器具妥善保存，包装标识完整，应与原料、半成品、成品、包装材料等分隔放置。</w:t>
      </w:r>
    </w:p>
    <w:p w14:paraId="5DD4CA2A">
      <w:pPr>
        <w:rPr>
          <w:rFonts w:ascii="仿宋_GB2312" w:hAnsi="宋体" w:eastAsia="仿宋_GB2312" w:cs="宋体"/>
          <w:kern w:val="0"/>
          <w:sz w:val="29"/>
          <w:szCs w:val="29"/>
        </w:rPr>
      </w:pPr>
      <w:r>
        <w:rPr>
          <w:rFonts w:hint="eastAsia" w:ascii="仿宋_GB2312" w:hAnsi="宋体" w:eastAsia="仿宋_GB2312" w:cs="宋体"/>
          <w:kern w:val="0"/>
          <w:sz w:val="29"/>
          <w:szCs w:val="29"/>
        </w:rPr>
        <w:t>对不合格、变质、超过保质期或者回收的产品进行显著标示或者单独存放在有明确标志的场所，及时采取无害化处理、销毁等措施并如实记录。</w:t>
      </w:r>
    </w:p>
    <w:p w14:paraId="2A5650AF">
      <w:pPr>
        <w:rPr>
          <w:rFonts w:ascii="仿宋_GB2312" w:hAnsi="宋体" w:eastAsia="仿宋_GB2312" w:cs="宋体"/>
          <w:kern w:val="0"/>
          <w:sz w:val="29"/>
          <w:szCs w:val="29"/>
        </w:rPr>
      </w:pPr>
      <w:r>
        <w:rPr>
          <w:rFonts w:hint="eastAsia" w:ascii="仿宋_GB2312" w:hAnsi="宋体" w:eastAsia="仿宋_GB2312" w:cs="宋体"/>
          <w:kern w:val="0"/>
          <w:sz w:val="29"/>
          <w:szCs w:val="29"/>
        </w:rPr>
        <w:t>（三）建立并执行废弃物存放和清除制度。应规定废弃物清除频次；必要时应及时清除废弃物；易腐败的废弃物应尽快清除。</w:t>
      </w:r>
    </w:p>
    <w:p w14:paraId="2D31E1D1">
      <w:pPr>
        <w:rPr>
          <w:rFonts w:ascii="仿宋_GB2312" w:hAnsi="宋体" w:eastAsia="仿宋_GB2312" w:cs="宋体"/>
          <w:kern w:val="0"/>
          <w:sz w:val="29"/>
          <w:szCs w:val="29"/>
        </w:rPr>
      </w:pPr>
      <w:r>
        <w:rPr>
          <w:rFonts w:hint="eastAsia" w:ascii="仿宋_GB2312" w:hAnsi="宋体" w:eastAsia="仿宋_GB2312" w:cs="宋体"/>
          <w:kern w:val="0"/>
          <w:sz w:val="29"/>
          <w:szCs w:val="29"/>
        </w:rPr>
        <w:t>（四）建立并执行工作服清洗保洁制度。工作服及其他工作服配套物品（以下简称工作服）应符合相应的作业区卫生要求。不同清洁作业区的工作服应分开放置，与个人服装、其他物品分开放置。员工不得在相关作业区以外穿着工作服。</w:t>
      </w:r>
    </w:p>
    <w:p w14:paraId="043F52CA">
      <w:pPr>
        <w:rPr>
          <w:rFonts w:ascii="仿宋_GB2312" w:hAnsi="宋体" w:eastAsia="仿宋_GB2312" w:cs="宋体"/>
          <w:kern w:val="0"/>
          <w:sz w:val="29"/>
          <w:szCs w:val="29"/>
        </w:rPr>
      </w:pPr>
      <w:r>
        <w:rPr>
          <w:rFonts w:hint="eastAsia" w:ascii="仿宋_GB2312" w:hAnsi="宋体" w:eastAsia="仿宋_GB2312" w:cs="宋体"/>
          <w:kern w:val="0"/>
          <w:sz w:val="29"/>
          <w:szCs w:val="29"/>
        </w:rPr>
        <w:t>不同清洁作业区的工作服应从标识上加以明显区分并分开清洗。准清洁作业区和清洁作业区的工作服应每日进行清洗、更换，一般作业区的工作服可根据实际情况制定清洗、更换的频次。清洗消毒后仍然不能达到预期用途的工作服应及时更换。</w:t>
      </w:r>
    </w:p>
    <w:p w14:paraId="11192D95">
      <w:pPr>
        <w:rPr>
          <w:rFonts w:ascii="仿宋_GB2312" w:hAnsi="宋体" w:eastAsia="仿宋_GB2312" w:cs="宋体"/>
          <w:kern w:val="0"/>
          <w:sz w:val="29"/>
          <w:szCs w:val="29"/>
        </w:rPr>
      </w:pPr>
      <w:r>
        <w:rPr>
          <w:rFonts w:hint="eastAsia" w:ascii="仿宋_GB2312" w:hAnsi="宋体" w:eastAsia="仿宋_GB2312" w:cs="宋体"/>
          <w:kern w:val="0"/>
          <w:sz w:val="29"/>
          <w:szCs w:val="29"/>
        </w:rPr>
        <w:t>（五）建立并执行文件管理制度。对文件进行有效管理，确保各相关场所使用的文件均为有效版本。</w:t>
      </w:r>
    </w:p>
    <w:p w14:paraId="168FB01E">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第八节</w:t>
      </w:r>
      <w:r>
        <w:rPr>
          <w:rFonts w:hint="eastAsia" w:ascii="宋体" w:hAnsi="宋体" w:eastAsia="宋体" w:cs="宋体"/>
          <w:kern w:val="0"/>
          <w:sz w:val="29"/>
          <w:szCs w:val="29"/>
        </w:rPr>
        <w:t> </w:t>
      </w:r>
      <w:r>
        <w:rPr>
          <w:rFonts w:hint="eastAsia" w:ascii="黑体" w:hAnsi="黑体" w:eastAsia="黑体" w:cs="宋体"/>
          <w:kern w:val="0"/>
          <w:sz w:val="29"/>
          <w:szCs w:val="29"/>
        </w:rPr>
        <w:t>试制产品检验</w:t>
      </w:r>
    </w:p>
    <w:p w14:paraId="7E492020">
      <w:pPr>
        <w:widowControl/>
        <w:spacing w:line="503" w:lineRule="atLeast"/>
        <w:jc w:val="left"/>
        <w:rPr>
          <w:rFonts w:ascii="宋体" w:hAnsi="宋体" w:eastAsia="宋体" w:cs="宋体"/>
          <w:kern w:val="0"/>
          <w:sz w:val="24"/>
          <w:szCs w:val="24"/>
        </w:rPr>
      </w:pPr>
      <w:r>
        <w:rPr>
          <w:rFonts w:hint="eastAsia" w:ascii="黑体" w:hAnsi="黑体" w:eastAsia="黑体" w:cs="宋体"/>
          <w:kern w:val="0"/>
          <w:sz w:val="29"/>
          <w:szCs w:val="29"/>
        </w:rPr>
        <w:t xml:space="preserve">第三十条 </w:t>
      </w:r>
      <w:r>
        <w:rPr>
          <w:rFonts w:hint="eastAsia" w:ascii="仿宋_GB2312" w:hAnsi="宋体" w:eastAsia="仿宋_GB2312" w:cs="宋体"/>
          <w:kern w:val="0"/>
          <w:sz w:val="29"/>
          <w:szCs w:val="29"/>
        </w:rPr>
        <w:t>企业按所申报其他食品[其他食品：酵母制品（酵母水解物、其他酵母制品）]的品种和执行标准，分别从同一规格、同一批次的试制产品中抽取样品检验。</w:t>
      </w:r>
    </w:p>
    <w:p w14:paraId="2143961B">
      <w:pPr>
        <w:widowControl/>
        <w:spacing w:line="503" w:lineRule="atLeast"/>
        <w:jc w:val="left"/>
        <w:rPr>
          <w:rFonts w:ascii="宋体" w:hAnsi="宋体" w:eastAsia="宋体" w:cs="宋体"/>
          <w:kern w:val="0"/>
          <w:sz w:val="24"/>
          <w:szCs w:val="24"/>
        </w:rPr>
      </w:pPr>
      <w:r>
        <w:rPr>
          <w:rFonts w:hint="eastAsia" w:ascii="黑体" w:hAnsi="黑体" w:eastAsia="黑体" w:cs="宋体"/>
          <w:kern w:val="0"/>
          <w:sz w:val="29"/>
          <w:szCs w:val="29"/>
        </w:rPr>
        <w:t xml:space="preserve">第三十一条 </w:t>
      </w:r>
      <w:r>
        <w:rPr>
          <w:rFonts w:hint="eastAsia" w:ascii="仿宋_GB2312" w:hAnsi="宋体" w:eastAsia="仿宋_GB2312" w:cs="宋体"/>
          <w:kern w:val="0"/>
          <w:sz w:val="29"/>
          <w:szCs w:val="29"/>
        </w:rPr>
        <w:t>企业应对提供的检验报告真实性负责；检验项目按产品适用的食品安全国家标准、行业标准、企业标准及国务院卫生行政部门的相关公告要求进行。</w:t>
      </w:r>
    </w:p>
    <w:p w14:paraId="30343284">
      <w:pPr>
        <w:widowControl/>
        <w:spacing w:line="503" w:lineRule="atLeast"/>
        <w:jc w:val="center"/>
        <w:outlineLvl w:val="2"/>
        <w:rPr>
          <w:rFonts w:ascii="宋体" w:hAnsi="宋体" w:eastAsia="宋体" w:cs="宋体"/>
          <w:b/>
          <w:bCs/>
          <w:kern w:val="0"/>
          <w:sz w:val="27"/>
          <w:szCs w:val="27"/>
        </w:rPr>
      </w:pPr>
      <w:r>
        <w:rPr>
          <w:rFonts w:hint="eastAsia" w:ascii="黑体" w:hAnsi="黑体" w:eastAsia="黑体" w:cs="宋体"/>
          <w:kern w:val="0"/>
          <w:sz w:val="29"/>
          <w:szCs w:val="29"/>
        </w:rPr>
        <w:t>第九节</w:t>
      </w:r>
      <w:r>
        <w:rPr>
          <w:rFonts w:hint="eastAsia" w:ascii="宋体" w:hAnsi="宋体" w:eastAsia="宋体" w:cs="宋体"/>
          <w:kern w:val="0"/>
          <w:sz w:val="29"/>
          <w:szCs w:val="29"/>
        </w:rPr>
        <w:t> </w:t>
      </w:r>
      <w:r>
        <w:rPr>
          <w:rFonts w:hint="eastAsia" w:ascii="黑体" w:hAnsi="黑体" w:eastAsia="黑体" w:cs="宋体"/>
          <w:kern w:val="0"/>
          <w:sz w:val="29"/>
          <w:szCs w:val="29"/>
        </w:rPr>
        <w:t>附则</w:t>
      </w:r>
    </w:p>
    <w:p w14:paraId="62D2CE9E">
      <w:pPr>
        <w:rPr>
          <w:rFonts w:ascii="仿宋_GB2312" w:hAnsi="仿宋_GB2312" w:eastAsia="仿宋_GB2312" w:cs="仿宋_GB2312"/>
          <w:sz w:val="32"/>
          <w:szCs w:val="32"/>
        </w:rPr>
      </w:pPr>
      <w:r>
        <w:rPr>
          <w:rFonts w:ascii="黑体" w:hAnsi="黑体" w:eastAsia="黑体" w:cs="宋体"/>
          <w:kern w:val="0"/>
          <w:sz w:val="29"/>
          <w:szCs w:val="29"/>
        </w:rPr>
        <w:t>第三十二条</w:t>
      </w:r>
      <w:r>
        <w:rPr>
          <w:rFonts w:hint="eastAsia" w:ascii="黑体" w:hAnsi="黑体" w:eastAsia="黑体" w:cs="宋体"/>
          <w:kern w:val="0"/>
          <w:sz w:val="29"/>
          <w:szCs w:val="29"/>
        </w:rPr>
        <w:t xml:space="preserve"> </w:t>
      </w:r>
      <w:r>
        <w:rPr>
          <w:rFonts w:hint="eastAsia" w:ascii="仿宋_GB2312" w:hAnsi="宋体" w:eastAsia="仿宋_GB2312" w:cs="宋体"/>
          <w:kern w:val="0"/>
          <w:sz w:val="29"/>
          <w:szCs w:val="29"/>
        </w:rPr>
        <w:t>本方案由淮南市场监督管理局负责解释。</w:t>
      </w:r>
    </w:p>
    <w:p w14:paraId="69981FF1">
      <w:pPr>
        <w:rPr>
          <w:rFonts w:ascii="仿宋_GB2312" w:hAnsi="仿宋_GB2312" w:eastAsia="仿宋_GB2312" w:cs="仿宋_GB2312"/>
          <w:sz w:val="32"/>
          <w:szCs w:val="32"/>
        </w:rPr>
      </w:pPr>
      <w:r>
        <w:rPr>
          <w:rFonts w:hint="eastAsia" w:ascii="黑体" w:hAnsi="黑体" w:eastAsia="黑体" w:cs="宋体"/>
          <w:kern w:val="0"/>
          <w:sz w:val="29"/>
          <w:szCs w:val="29"/>
        </w:rPr>
        <w:t xml:space="preserve">第三十三条 </w:t>
      </w:r>
      <w:r>
        <w:rPr>
          <w:rFonts w:hint="eastAsia" w:ascii="仿宋_GB2312" w:hAnsi="宋体" w:eastAsia="仿宋_GB2312" w:cs="宋体"/>
          <w:kern w:val="0"/>
          <w:sz w:val="29"/>
          <w:szCs w:val="29"/>
        </w:rPr>
        <w:t>本方案自发布之日起施行,相关法律法规及公告若有更新，按照最新要求执行</w:t>
      </w:r>
      <w:r>
        <w:rPr>
          <w:rFonts w:hint="eastAsia" w:ascii="仿宋_GB2312" w:hAnsi="仿宋_GB2312" w:eastAsia="仿宋_GB2312" w:cs="仿宋_GB2312"/>
          <w:sz w:val="32"/>
          <w:szCs w:val="32"/>
        </w:rPr>
        <w:t>。</w:t>
      </w:r>
    </w:p>
    <w:p w14:paraId="15522571">
      <w:pPr>
        <w:pStyle w:val="7"/>
        <w:widowControl/>
        <w:spacing w:before="0" w:beforeAutospacing="0" w:after="0" w:afterAutospacing="0" w:line="560" w:lineRule="exact"/>
        <w:ind w:firstLine="580" w:firstLineChars="200"/>
        <w:rPr>
          <w:rFonts w:ascii="仿宋_GB2312" w:hAnsi="宋体" w:eastAsia="仿宋_GB2312" w:cs="宋体"/>
          <w:sz w:val="29"/>
          <w:szCs w:val="29"/>
        </w:rPr>
      </w:pPr>
      <w:r>
        <w:rPr>
          <w:rFonts w:hint="eastAsia" w:ascii="仿宋_GB2312" w:hAnsi="宋体" w:eastAsia="仿宋_GB2312" w:cs="宋体"/>
          <w:sz w:val="29"/>
          <w:szCs w:val="29"/>
        </w:rPr>
        <w:t>附件： 1.酵母制品引用的文件与标准</w:t>
      </w:r>
    </w:p>
    <w:p w14:paraId="486CFCD9">
      <w:pPr>
        <w:pStyle w:val="7"/>
        <w:widowControl/>
        <w:spacing w:before="0" w:beforeAutospacing="0" w:after="0" w:afterAutospacing="0" w:line="560" w:lineRule="exact"/>
        <w:ind w:firstLine="1595" w:firstLineChars="550"/>
        <w:rPr>
          <w:rFonts w:ascii="仿宋_GB2312" w:hAnsi="宋体" w:eastAsia="仿宋_GB2312" w:cs="宋体"/>
          <w:sz w:val="29"/>
          <w:szCs w:val="29"/>
        </w:rPr>
      </w:pPr>
      <w:r>
        <w:rPr>
          <w:rFonts w:hint="eastAsia" w:ascii="仿宋_GB2312" w:hAnsi="宋体" w:eastAsia="仿宋_GB2312" w:cs="宋体"/>
          <w:sz w:val="29"/>
          <w:szCs w:val="29"/>
        </w:rPr>
        <w:t>2. 酵母制品的检验项目与方法</w:t>
      </w:r>
    </w:p>
    <w:p w14:paraId="00EB25B0">
      <w:pPr>
        <w:rPr>
          <w:rFonts w:ascii="仿宋_GB2312" w:hAnsi="仿宋_GB2312" w:eastAsia="仿宋_GB2312" w:cs="仿宋_GB2312"/>
          <w:szCs w:val="32"/>
        </w:rPr>
      </w:pPr>
    </w:p>
    <w:p w14:paraId="3E3AD87F">
      <w:pPr>
        <w:rPr>
          <w:rFonts w:ascii="仿宋_GB2312" w:hAnsi="仿宋_GB2312" w:eastAsia="仿宋_GB2312" w:cs="仿宋_GB2312"/>
          <w:szCs w:val="32"/>
        </w:rPr>
      </w:pPr>
    </w:p>
    <w:p w14:paraId="332324EA">
      <w:pPr>
        <w:rPr>
          <w:rFonts w:ascii="仿宋_GB2312" w:hAnsi="仿宋_GB2312" w:eastAsia="仿宋_GB2312" w:cs="仿宋_GB2312"/>
          <w:szCs w:val="32"/>
        </w:rPr>
      </w:pPr>
    </w:p>
    <w:p w14:paraId="4F85A79D">
      <w:pPr>
        <w:rPr>
          <w:rFonts w:ascii="仿宋_GB2312" w:hAnsi="仿宋_GB2312" w:eastAsia="仿宋_GB2312" w:cs="仿宋_GB2312"/>
          <w:szCs w:val="32"/>
        </w:rPr>
      </w:pPr>
    </w:p>
    <w:p w14:paraId="5A200A74">
      <w:pPr>
        <w:rPr>
          <w:rFonts w:ascii="仿宋_GB2312" w:hAnsi="仿宋_GB2312" w:eastAsia="仿宋_GB2312" w:cs="仿宋_GB2312"/>
          <w:szCs w:val="32"/>
        </w:rPr>
      </w:pPr>
    </w:p>
    <w:p w14:paraId="5050815A">
      <w:pPr>
        <w:rPr>
          <w:rFonts w:ascii="仿宋_GB2312" w:hAnsi="仿宋_GB2312" w:eastAsia="仿宋_GB2312" w:cs="仿宋_GB2312"/>
          <w:szCs w:val="32"/>
        </w:rPr>
      </w:pPr>
    </w:p>
    <w:p w14:paraId="4579A108">
      <w:pPr>
        <w:rPr>
          <w:rFonts w:ascii="仿宋_GB2312" w:hAnsi="仿宋_GB2312" w:eastAsia="仿宋_GB2312" w:cs="仿宋_GB2312"/>
          <w:szCs w:val="32"/>
        </w:rPr>
      </w:pPr>
    </w:p>
    <w:p w14:paraId="7D42E966">
      <w:pPr>
        <w:rPr>
          <w:rFonts w:ascii="仿宋_GB2312" w:hAnsi="仿宋_GB2312" w:eastAsia="仿宋_GB2312" w:cs="仿宋_GB2312"/>
          <w:szCs w:val="32"/>
        </w:rPr>
      </w:pPr>
    </w:p>
    <w:p w14:paraId="63B44AE9">
      <w:pPr>
        <w:rPr>
          <w:rFonts w:ascii="仿宋_GB2312" w:hAnsi="仿宋_GB2312" w:eastAsia="仿宋_GB2312" w:cs="仿宋_GB2312"/>
          <w:szCs w:val="32"/>
        </w:rPr>
      </w:pPr>
    </w:p>
    <w:p w14:paraId="457764C4">
      <w:pPr>
        <w:rPr>
          <w:rFonts w:ascii="仿宋_GB2312" w:hAnsi="仿宋_GB2312" w:eastAsia="仿宋_GB2312" w:cs="仿宋_GB2312"/>
          <w:szCs w:val="32"/>
        </w:rPr>
      </w:pPr>
    </w:p>
    <w:p w14:paraId="63A24995">
      <w:pPr>
        <w:rPr>
          <w:rFonts w:ascii="仿宋_GB2312" w:hAnsi="仿宋_GB2312" w:eastAsia="仿宋_GB2312" w:cs="仿宋_GB2312"/>
          <w:szCs w:val="32"/>
        </w:rPr>
      </w:pPr>
    </w:p>
    <w:p w14:paraId="4AA279F8">
      <w:pPr>
        <w:rPr>
          <w:rFonts w:ascii="仿宋_GB2312" w:hAnsi="仿宋_GB2312" w:eastAsia="仿宋_GB2312" w:cs="仿宋_GB2312"/>
          <w:szCs w:val="32"/>
        </w:rPr>
      </w:pPr>
    </w:p>
    <w:p w14:paraId="742A0F95">
      <w:pPr>
        <w:rPr>
          <w:rFonts w:ascii="仿宋_GB2312" w:hAnsi="仿宋_GB2312" w:eastAsia="仿宋_GB2312" w:cs="仿宋_GB2312"/>
          <w:szCs w:val="32"/>
        </w:rPr>
      </w:pPr>
    </w:p>
    <w:p w14:paraId="536FD633">
      <w:pPr>
        <w:pStyle w:val="7"/>
        <w:widowControl/>
        <w:spacing w:before="0" w:beforeAutospacing="0" w:after="0" w:afterAutospacing="0" w:line="560" w:lineRule="exact"/>
        <w:rPr>
          <w:rFonts w:ascii="仿宋_GB2312" w:hAnsi="仿宋_GB2312" w:eastAsia="仿宋_GB2312" w:cs="仿宋_GB2312"/>
          <w:sz w:val="32"/>
          <w:szCs w:val="32"/>
        </w:rPr>
      </w:pPr>
      <w:r>
        <w:rPr>
          <w:rFonts w:hint="eastAsia" w:ascii="仿宋_GB2312" w:hAnsi="黑体" w:eastAsia="仿宋_GB2312" w:cs="黑体"/>
          <w:sz w:val="32"/>
          <w:szCs w:val="32"/>
        </w:rPr>
        <w:t>附件</w:t>
      </w:r>
    </w:p>
    <w:p w14:paraId="4B7EC41F">
      <w:pPr>
        <w:pStyle w:val="7"/>
        <w:widowControl/>
        <w:spacing w:before="0" w:beforeAutospacing="0" w:after="0" w:afterAutospacing="0" w:line="560" w:lineRule="exact"/>
        <w:jc w:val="center"/>
        <w:rPr>
          <w:rFonts w:ascii="仿宋_GB2312" w:hAnsi="仿宋_GB2312" w:eastAsia="仿宋_GB2312" w:cs="仿宋_GB2312"/>
          <w:sz w:val="32"/>
          <w:szCs w:val="32"/>
        </w:rPr>
      </w:pPr>
      <w:r>
        <w:rPr>
          <w:rFonts w:hint="eastAsia" w:ascii="仿宋_GB2312" w:hAnsi="仿宋_GB2312" w:eastAsia="仿宋_GB2312" w:cs="仿宋_GB2312"/>
          <w:sz w:val="32"/>
          <w:szCs w:val="32"/>
        </w:rPr>
        <w:t>1.酵母制品引用的文件与标准</w:t>
      </w:r>
    </w:p>
    <w:tbl>
      <w:tblPr>
        <w:tblStyle w:val="8"/>
        <w:tblW w:w="8088"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fixed"/>
        <w:tblCellMar>
          <w:top w:w="0" w:type="dxa"/>
          <w:left w:w="0" w:type="dxa"/>
          <w:bottom w:w="0" w:type="dxa"/>
          <w:right w:w="0" w:type="dxa"/>
        </w:tblCellMar>
      </w:tblPr>
      <w:tblGrid>
        <w:gridCol w:w="627"/>
        <w:gridCol w:w="2250"/>
        <w:gridCol w:w="5211"/>
      </w:tblGrid>
      <w:tr w14:paraId="65FF630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2F30E53">
            <w:pPr>
              <w:pStyle w:val="7"/>
              <w:widowControl/>
              <w:wordWrap w:val="0"/>
              <w:spacing w:before="0" w:beforeAutospacing="0" w:after="0" w:afterAutospacing="0" w:line="560" w:lineRule="exact"/>
              <w:jc w:val="center"/>
              <w:rPr>
                <w:rFonts w:ascii="仿宋_GB2312" w:hAnsi="仿宋_GB2312" w:eastAsia="仿宋_GB2312" w:cs="仿宋_GB2312"/>
                <w:sz w:val="29"/>
                <w:szCs w:val="29"/>
              </w:rPr>
            </w:pPr>
            <w:r>
              <w:rPr>
                <w:rFonts w:hint="eastAsia" w:ascii="仿宋_GB2312" w:hAnsi="仿宋_GB2312" w:eastAsia="仿宋_GB2312" w:cs="仿宋_GB2312"/>
                <w:sz w:val="29"/>
                <w:szCs w:val="29"/>
              </w:rPr>
              <w:t>序号</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0ED1CB6">
            <w:pPr>
              <w:pStyle w:val="7"/>
              <w:widowControl/>
              <w:wordWrap w:val="0"/>
              <w:spacing w:before="0" w:beforeAutospacing="0" w:after="0" w:afterAutospacing="0" w:line="560" w:lineRule="exact"/>
              <w:ind w:firstLine="580" w:firstLineChars="200"/>
              <w:jc w:val="both"/>
              <w:rPr>
                <w:rFonts w:ascii="仿宋_GB2312" w:hAnsi="仿宋_GB2312" w:eastAsia="仿宋_GB2312" w:cs="仿宋_GB2312"/>
                <w:sz w:val="29"/>
                <w:szCs w:val="29"/>
              </w:rPr>
            </w:pPr>
            <w:r>
              <w:rPr>
                <w:rFonts w:hint="eastAsia" w:ascii="仿宋_GB2312" w:hAnsi="仿宋_GB2312" w:eastAsia="仿宋_GB2312" w:cs="仿宋_GB2312"/>
                <w:sz w:val="29"/>
                <w:szCs w:val="29"/>
              </w:rPr>
              <w:t>标准号</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4785432">
            <w:pPr>
              <w:pStyle w:val="7"/>
              <w:widowControl/>
              <w:wordWrap w:val="0"/>
              <w:spacing w:before="0" w:beforeAutospacing="0" w:after="0" w:afterAutospacing="0" w:line="560" w:lineRule="exact"/>
              <w:ind w:firstLine="580" w:firstLineChars="200"/>
              <w:jc w:val="center"/>
              <w:rPr>
                <w:rFonts w:ascii="仿宋_GB2312" w:hAnsi="仿宋_GB2312" w:eastAsia="仿宋_GB2312" w:cs="仿宋_GB2312"/>
                <w:sz w:val="29"/>
                <w:szCs w:val="29"/>
              </w:rPr>
            </w:pPr>
            <w:r>
              <w:rPr>
                <w:rFonts w:hint="eastAsia" w:ascii="仿宋_GB2312" w:hAnsi="仿宋_GB2312" w:eastAsia="仿宋_GB2312" w:cs="仿宋_GB2312"/>
                <w:sz w:val="29"/>
                <w:szCs w:val="29"/>
              </w:rPr>
              <w:t>标准名称</w:t>
            </w:r>
          </w:p>
        </w:tc>
      </w:tr>
      <w:tr w14:paraId="0DE3C11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54DB176">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B53DF75">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GB/T 191</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AC1350">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包装储运图示标志</w:t>
            </w:r>
          </w:p>
        </w:tc>
      </w:tr>
      <w:tr w14:paraId="152C68A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7FF7BC5">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2</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108F890">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31639</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D510FB">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食品加工用菌种制剂</w:t>
            </w:r>
          </w:p>
        </w:tc>
      </w:tr>
      <w:tr w14:paraId="2CCB199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D41D47F">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3</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B2CCE4A">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GB/T 20886.1</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E0905CB">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酵母产品质量要求 第1部分：食品加工用酵母</w:t>
            </w:r>
          </w:p>
        </w:tc>
      </w:tr>
      <w:tr w14:paraId="53F637E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B1CA1A2">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4</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D4E9AB8">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GB/T 20886.2</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D7B3BB8">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酵母产品质量要求 第2部分：酵母加工制品</w:t>
            </w:r>
          </w:p>
        </w:tc>
      </w:tr>
      <w:tr w14:paraId="720C093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FA1AE24">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5</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B84BD5">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2721</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B6C5A8C">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食用盐</w:t>
            </w:r>
          </w:p>
        </w:tc>
      </w:tr>
      <w:tr w14:paraId="4BF862E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5F58D91">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6</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7F6982A">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GB/T 20882.6</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CA82D4">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淀粉糖质量要求 第6部分：麦芽糊精</w:t>
            </w:r>
          </w:p>
        </w:tc>
      </w:tr>
      <w:tr w14:paraId="72FEFC9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D28B04C">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7</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825BADD">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GB/T 20882.2</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AB5AD22">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淀粉糖质量要求 第2部分：葡萄糖浆（粉）</w:t>
            </w:r>
          </w:p>
        </w:tc>
      </w:tr>
      <w:tr w14:paraId="5AE2A70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82DB83F">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8</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A00FF27">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1886.306</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F74BD4">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食品添加剂 谷氨酸钠</w:t>
            </w:r>
          </w:p>
        </w:tc>
      </w:tr>
      <w:tr w14:paraId="712E7BD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53B6FB3">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9</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6C0DB37">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1886.171</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516DF634">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食品添加剂 5′-呈味核苷酸二钠（又名呈味核苷酸二钠）</w:t>
            </w:r>
          </w:p>
        </w:tc>
      </w:tr>
      <w:tr w14:paraId="00CD98F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5329084">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10</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DA5EBFD">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2760</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B75ABE5">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食品添加剂使用标准</w:t>
            </w:r>
          </w:p>
        </w:tc>
      </w:tr>
      <w:tr w14:paraId="110123D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FE3D27B">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11</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6561AEE">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2761</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66C152B">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食品中真菌毒素限量</w:t>
            </w:r>
          </w:p>
        </w:tc>
      </w:tr>
      <w:tr w14:paraId="523CE30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1E15CE3A">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12</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451B631">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2762</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4FF8834">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食品中污染物限量</w:t>
            </w:r>
          </w:p>
        </w:tc>
      </w:tr>
      <w:tr w14:paraId="6035A3AF">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F12FD9B">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13</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66F2DCB">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2763</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7D1A7C5">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食品中农药最大残留限量</w:t>
            </w:r>
          </w:p>
        </w:tc>
      </w:tr>
      <w:tr w14:paraId="17022C7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B616CF8">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14</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1C36FAD">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4806.1</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3A1B241">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食品接触材料及制品通用安全要求</w:t>
            </w:r>
          </w:p>
        </w:tc>
      </w:tr>
      <w:tr w14:paraId="22D6B7D9">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FC85F0F">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15</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A48F060">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4806.7</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05A5064">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食品接触用塑料材料及制品</w:t>
            </w:r>
          </w:p>
        </w:tc>
      </w:tr>
      <w:tr w14:paraId="20FA7AF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C2D3EE9">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16</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1C054F8">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7718</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3EA349E">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预包装食品标签通则</w:t>
            </w:r>
          </w:p>
        </w:tc>
      </w:tr>
      <w:tr w14:paraId="48C951A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25118D17">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17</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702D763">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14880</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03D444D">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食品营养强化剂使用标准</w:t>
            </w:r>
          </w:p>
        </w:tc>
      </w:tr>
      <w:tr w14:paraId="059E80F3">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A46B5FF">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18</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B261ED2">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14881</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45A612E">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食品生产通用卫生规范</w:t>
            </w:r>
          </w:p>
        </w:tc>
      </w:tr>
      <w:tr w14:paraId="0C39DAB2">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810F1A9">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19</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5D8E307">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28050</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CFBC782">
            <w:pPr>
              <w:pStyle w:val="7"/>
              <w:widowControl/>
              <w:wordWrap w:val="0"/>
              <w:spacing w:before="0" w:beforeAutospacing="0" w:after="0" w:afterAutospacing="0" w:line="560" w:lineRule="exact"/>
              <w:jc w:val="both"/>
              <w:rPr>
                <w:rFonts w:ascii="仿宋_GB2312" w:hAnsi="仿宋_GB2312" w:eastAsia="仿宋_GB2312" w:cs="仿宋_GB2312"/>
                <w:sz w:val="26"/>
                <w:szCs w:val="26"/>
              </w:rPr>
            </w:pPr>
            <w:r>
              <w:rPr>
                <w:rFonts w:hint="eastAsia" w:ascii="仿宋_GB2312" w:hAnsi="仿宋_GB2312" w:eastAsia="仿宋_GB2312" w:cs="仿宋_GB2312"/>
                <w:sz w:val="26"/>
                <w:szCs w:val="26"/>
              </w:rPr>
              <w:t>食品安全国家标准 预包装食品营养标签通则</w:t>
            </w:r>
          </w:p>
        </w:tc>
      </w:tr>
      <w:tr w14:paraId="68BB0AB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74033204">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20</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0677B29D">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1886.190</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6E593B8C">
            <w:pPr>
              <w:pStyle w:val="7"/>
              <w:widowControl/>
              <w:wordWrap w:val="0"/>
              <w:spacing w:before="0" w:beforeAutospacing="0" w:after="0" w:afterAutospacing="0" w:line="560" w:lineRule="exact"/>
              <w:jc w:val="both"/>
              <w:rPr>
                <w:rFonts w:ascii="仿宋_GB2312" w:hAnsi="仿宋" w:eastAsia="仿宋_GB2312" w:cs="仿宋"/>
                <w:sz w:val="26"/>
                <w:szCs w:val="26"/>
              </w:rPr>
            </w:pPr>
            <w:r>
              <w:rPr>
                <w:rFonts w:hint="eastAsia" w:ascii="仿宋_GB2312" w:hAnsi="仿宋" w:eastAsia="仿宋_GB2312" w:cs="仿宋"/>
                <w:sz w:val="26"/>
                <w:szCs w:val="26"/>
              </w:rPr>
              <w:t>食品安全国家标准 食品添加剂 乙酸乙酯</w:t>
            </w:r>
          </w:p>
        </w:tc>
      </w:tr>
      <w:tr w14:paraId="63CD231D">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627"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2F1C402">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21</w:t>
            </w:r>
          </w:p>
        </w:tc>
        <w:tc>
          <w:tcPr>
            <w:tcW w:w="2250"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33DC48F3">
            <w:pPr>
              <w:pStyle w:val="7"/>
              <w:widowControl/>
              <w:wordWrap w:val="0"/>
              <w:spacing w:before="0" w:beforeAutospacing="0" w:after="0" w:afterAutospacing="0" w:line="560" w:lineRule="exact"/>
              <w:jc w:val="center"/>
              <w:rPr>
                <w:rFonts w:ascii="仿宋_GB2312" w:hAnsi="仿宋_GB2312" w:eastAsia="仿宋_GB2312" w:cs="仿宋_GB2312"/>
              </w:rPr>
            </w:pPr>
            <w:r>
              <w:rPr>
                <w:rFonts w:hint="eastAsia" w:ascii="仿宋_GB2312" w:hAnsi="仿宋_GB2312" w:eastAsia="仿宋_GB2312" w:cs="仿宋_GB2312"/>
              </w:rPr>
              <w:t>GB 31604.60</w:t>
            </w:r>
          </w:p>
        </w:tc>
        <w:tc>
          <w:tcPr>
            <w:tcW w:w="5211" w:type="dxa"/>
            <w:tcBorders>
              <w:top w:val="single" w:color="000000" w:sz="6" w:space="0"/>
              <w:left w:val="single" w:color="000000" w:sz="6" w:space="0"/>
              <w:bottom w:val="single" w:color="000000" w:sz="6" w:space="0"/>
              <w:right w:val="single" w:color="000000" w:sz="6" w:space="0"/>
            </w:tcBorders>
            <w:shd w:val="clear" w:color="auto" w:fill="FFFFFF"/>
            <w:tcMar>
              <w:top w:w="75" w:type="dxa"/>
              <w:left w:w="150" w:type="dxa"/>
              <w:bottom w:w="75" w:type="dxa"/>
              <w:right w:w="150" w:type="dxa"/>
            </w:tcMar>
            <w:vAlign w:val="center"/>
          </w:tcPr>
          <w:p w14:paraId="4841CAB7">
            <w:pPr>
              <w:pStyle w:val="7"/>
              <w:widowControl/>
              <w:wordWrap w:val="0"/>
              <w:spacing w:before="0" w:beforeAutospacing="0" w:after="0" w:afterAutospacing="0" w:line="560" w:lineRule="exact"/>
              <w:jc w:val="both"/>
              <w:rPr>
                <w:rFonts w:ascii="仿宋_GB2312" w:hAnsi="仿宋" w:eastAsia="仿宋_GB2312" w:cs="仿宋"/>
                <w:sz w:val="26"/>
                <w:szCs w:val="26"/>
              </w:rPr>
            </w:pPr>
            <w:r>
              <w:rPr>
                <w:rFonts w:hint="eastAsia" w:ascii="仿宋_GB2312" w:hAnsi="仿宋" w:eastAsia="仿宋_GB2312" w:cs="仿宋"/>
                <w:sz w:val="26"/>
                <w:szCs w:val="26"/>
                <w:shd w:val="clear" w:color="auto" w:fill="FFFFFF"/>
              </w:rPr>
              <w:t>食品安全国家标准 食品接触材料及制品 溶剂残留量的测定</w:t>
            </w:r>
          </w:p>
        </w:tc>
      </w:tr>
    </w:tbl>
    <w:p w14:paraId="784B9948">
      <w:pPr>
        <w:rPr>
          <w:rFonts w:ascii="仿宋_GB2312" w:hAnsi="仿宋_GB2312" w:eastAsia="仿宋_GB2312" w:cs="仿宋_GB2312"/>
          <w:szCs w:val="32"/>
        </w:rPr>
      </w:pPr>
    </w:p>
    <w:p w14:paraId="7E176FC5">
      <w:pPr>
        <w:rPr>
          <w:rFonts w:ascii="仿宋_GB2312" w:hAnsi="仿宋_GB2312" w:eastAsia="仿宋_GB2312" w:cs="仿宋_GB2312"/>
          <w:szCs w:val="32"/>
        </w:rPr>
      </w:pPr>
    </w:p>
    <w:p w14:paraId="139A3F72">
      <w:pPr>
        <w:rPr>
          <w:rFonts w:ascii="仿宋_GB2312" w:hAnsi="仿宋_GB2312" w:eastAsia="仿宋_GB2312" w:cs="仿宋_GB2312"/>
          <w:szCs w:val="32"/>
        </w:rPr>
      </w:pPr>
    </w:p>
    <w:p w14:paraId="6BF9C67C">
      <w:pPr>
        <w:rPr>
          <w:rFonts w:ascii="仿宋_GB2312" w:hAnsi="仿宋_GB2312" w:eastAsia="仿宋_GB2312" w:cs="仿宋_GB2312"/>
          <w:szCs w:val="32"/>
        </w:rPr>
      </w:pPr>
    </w:p>
    <w:p w14:paraId="2250A657">
      <w:pPr>
        <w:rPr>
          <w:rFonts w:ascii="仿宋_GB2312" w:hAnsi="仿宋_GB2312" w:eastAsia="仿宋_GB2312" w:cs="仿宋_GB2312"/>
          <w:szCs w:val="32"/>
        </w:rPr>
      </w:pPr>
    </w:p>
    <w:p w14:paraId="3E030A42">
      <w:pPr>
        <w:rPr>
          <w:rFonts w:ascii="仿宋_GB2312" w:hAnsi="仿宋_GB2312" w:eastAsia="仿宋_GB2312" w:cs="仿宋_GB2312"/>
          <w:szCs w:val="32"/>
        </w:rPr>
      </w:pPr>
    </w:p>
    <w:p w14:paraId="4D7CD71E">
      <w:pPr>
        <w:rPr>
          <w:rFonts w:ascii="仿宋_GB2312" w:hAnsi="仿宋_GB2312" w:eastAsia="仿宋_GB2312" w:cs="仿宋_GB2312"/>
          <w:szCs w:val="32"/>
        </w:rPr>
      </w:pPr>
    </w:p>
    <w:p w14:paraId="5EAF2BD6">
      <w:pPr>
        <w:rPr>
          <w:rFonts w:ascii="仿宋_GB2312" w:hAnsi="仿宋_GB2312" w:eastAsia="仿宋_GB2312" w:cs="仿宋_GB2312"/>
          <w:szCs w:val="32"/>
        </w:rPr>
      </w:pPr>
    </w:p>
    <w:p w14:paraId="00AB49F4">
      <w:pPr>
        <w:rPr>
          <w:rFonts w:ascii="仿宋_GB2312" w:hAnsi="仿宋_GB2312" w:eastAsia="仿宋_GB2312" w:cs="仿宋_GB2312"/>
          <w:szCs w:val="32"/>
        </w:rPr>
      </w:pPr>
    </w:p>
    <w:p w14:paraId="374DE3DF">
      <w:pPr>
        <w:rPr>
          <w:rFonts w:ascii="仿宋_GB2312" w:hAnsi="仿宋_GB2312" w:eastAsia="仿宋_GB2312" w:cs="仿宋_GB2312"/>
          <w:szCs w:val="32"/>
        </w:rPr>
      </w:pPr>
    </w:p>
    <w:p w14:paraId="6F30D707">
      <w:pPr>
        <w:rPr>
          <w:rFonts w:ascii="仿宋_GB2312" w:hAnsi="仿宋_GB2312" w:eastAsia="仿宋_GB2312" w:cs="仿宋_GB2312"/>
          <w:szCs w:val="32"/>
        </w:rPr>
      </w:pPr>
    </w:p>
    <w:p w14:paraId="4166886F">
      <w:pPr>
        <w:rPr>
          <w:rFonts w:ascii="仿宋_GB2312" w:hAnsi="仿宋_GB2312" w:eastAsia="仿宋_GB2312" w:cs="仿宋_GB2312"/>
          <w:szCs w:val="32"/>
        </w:rPr>
      </w:pPr>
    </w:p>
    <w:p w14:paraId="3CED58BF">
      <w:pPr>
        <w:rPr>
          <w:rFonts w:ascii="仿宋_GB2312" w:hAnsi="仿宋_GB2312" w:eastAsia="仿宋_GB2312" w:cs="仿宋_GB2312"/>
          <w:szCs w:val="32"/>
        </w:rPr>
      </w:pPr>
    </w:p>
    <w:p w14:paraId="349F61C5">
      <w:pPr>
        <w:rPr>
          <w:rFonts w:hint="eastAsia" w:ascii="仿宋_GB2312" w:hAnsi="仿宋_GB2312" w:eastAsia="仿宋_GB2312" w:cs="仿宋_GB2312"/>
          <w:szCs w:val="32"/>
        </w:rPr>
      </w:pPr>
    </w:p>
    <w:p w14:paraId="1D86763A">
      <w:pPr>
        <w:rPr>
          <w:rFonts w:ascii="仿宋_GB2312" w:hAnsi="仿宋_GB2312" w:eastAsia="仿宋_GB2312" w:cs="仿宋_GB2312"/>
          <w:szCs w:val="32"/>
        </w:rPr>
      </w:pPr>
    </w:p>
    <w:p w14:paraId="2833A73C">
      <w:pPr>
        <w:widowControl/>
        <w:spacing w:line="326" w:lineRule="atLeast"/>
        <w:jc w:val="center"/>
        <w:rPr>
          <w:rFonts w:ascii="仿宋_GB2312" w:hAnsi="宋体" w:eastAsia="仿宋_GB2312" w:cs="宋体"/>
          <w:kern w:val="0"/>
          <w:sz w:val="29"/>
          <w:szCs w:val="29"/>
        </w:rPr>
      </w:pPr>
      <w:r>
        <w:rPr>
          <w:rFonts w:hint="eastAsia" w:ascii="仿宋_GB2312" w:hAnsi="宋体" w:eastAsia="仿宋_GB2312" w:cs="宋体"/>
          <w:kern w:val="0"/>
          <w:sz w:val="29"/>
          <w:szCs w:val="29"/>
        </w:rPr>
        <w:t>2、酵母制品的检验项目与方法</w:t>
      </w:r>
    </w:p>
    <w:tbl>
      <w:tblPr>
        <w:tblStyle w:val="8"/>
        <w:tblW w:w="8056" w:type="dxa"/>
        <w:tblInd w:w="0" w:type="dxa"/>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856"/>
        <w:gridCol w:w="3485"/>
        <w:gridCol w:w="3715"/>
      </w:tblGrid>
      <w:tr w14:paraId="3C360F4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shd w:val="clear" w:color="auto" w:fill="FFFFFF"/>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A283448">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序号</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7B557F1">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检验项目</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502F38CE">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方法标准</w:t>
            </w:r>
          </w:p>
        </w:tc>
      </w:tr>
      <w:tr w14:paraId="195FDA6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1D9503B0">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1</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DC77764">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感官要求</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147D252C">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31639</w:t>
            </w:r>
          </w:p>
        </w:tc>
      </w:tr>
      <w:tr w14:paraId="15989EC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423A25AB">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2</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B3EA5A9">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水分</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29910450">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5009.3</w:t>
            </w:r>
          </w:p>
        </w:tc>
      </w:tr>
      <w:tr w14:paraId="1CC5A88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2423AE8">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3</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26472E2">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总灰分（以干基计）</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9DD3E83">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5009.4</w:t>
            </w:r>
          </w:p>
        </w:tc>
      </w:tr>
      <w:tr w14:paraId="0DBA645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26D14586">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4</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79491577">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氨基酸态氮</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0DB1D35E">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GB/T 20886.2-2021 附录C</w:t>
            </w:r>
          </w:p>
        </w:tc>
      </w:tr>
      <w:tr w14:paraId="60CEC40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2223B27C">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5</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167ACA83">
            <w:pPr>
              <w:widowControl/>
              <w:wordWrap w:val="0"/>
              <w:spacing w:line="326" w:lineRule="atLeast"/>
              <w:jc w:val="left"/>
              <w:rPr>
                <w:rFonts w:ascii="仿宋_GB2312" w:hAnsi="宋体" w:eastAsia="仿宋_GB2312" w:cs="宋体"/>
                <w:sz w:val="29"/>
                <w:szCs w:val="29"/>
              </w:rPr>
            </w:pPr>
            <w:r>
              <w:rPr>
                <w:rFonts w:hint="eastAsia" w:ascii="仿宋_GB2312" w:hAnsi="宋体" w:eastAsia="仿宋_GB2312" w:cs="宋体"/>
                <w:sz w:val="29"/>
                <w:szCs w:val="29"/>
              </w:rPr>
              <w:t>乙酸乙酯残留量</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43C751C7">
            <w:pPr>
              <w:widowControl/>
              <w:wordWrap w:val="0"/>
              <w:spacing w:line="326" w:lineRule="atLeast"/>
              <w:jc w:val="left"/>
              <w:rPr>
                <w:rFonts w:ascii="仿宋_GB2312" w:hAnsi="宋体" w:eastAsia="仿宋_GB2312" w:cs="宋体"/>
                <w:sz w:val="29"/>
                <w:szCs w:val="29"/>
              </w:rPr>
            </w:pPr>
            <w:r>
              <w:rPr>
                <w:rFonts w:hint="eastAsia" w:ascii="仿宋_GB2312" w:hAnsi="宋体" w:eastAsia="仿宋_GB2312" w:cs="宋体"/>
                <w:sz w:val="29"/>
                <w:szCs w:val="29"/>
              </w:rPr>
              <w:t>《中国药典》2025年版四部通则0861残留溶剂指导原则</w:t>
            </w:r>
          </w:p>
        </w:tc>
      </w:tr>
      <w:tr w14:paraId="0EEA5BC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9A8BAA2">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6</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7AE5090B">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粗蛋白质（以干基计）</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03746EB0">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GB 5009.5</w:t>
            </w:r>
          </w:p>
        </w:tc>
      </w:tr>
      <w:tr w14:paraId="21ADB766">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EC7ECFB">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7</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443C8E3D">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铅（以Pb计，干基计）</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4B2C35F">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GB 5009.12</w:t>
            </w:r>
          </w:p>
        </w:tc>
      </w:tr>
      <w:tr w14:paraId="6E36EC51">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77E062AF">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6</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4B7771B0">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总砷（以As计，干基计）</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0A2C8779">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sz w:val="29"/>
                <w:szCs w:val="29"/>
              </w:rPr>
              <w:t>GB 5009.11</w:t>
            </w:r>
          </w:p>
        </w:tc>
      </w:tr>
      <w:tr w14:paraId="718C8F1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1EA4350">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7</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EF13118">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菌落总数</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78C581B">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4789.2</w:t>
            </w:r>
          </w:p>
        </w:tc>
      </w:tr>
      <w:tr w14:paraId="25A227B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FFC8153">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8</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5E5F6963">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大肠菌群</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056F34E9">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4789.3</w:t>
            </w:r>
          </w:p>
        </w:tc>
      </w:tr>
      <w:tr w14:paraId="2FD37B9B">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1800E532">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9</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59D6309A">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霉菌</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0D3295D6">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4789.15</w:t>
            </w:r>
          </w:p>
        </w:tc>
      </w:tr>
      <w:tr w14:paraId="7A0CC9D8">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22E1B21F">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10</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39C71AB">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酵母</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4EC56972">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4789.15</w:t>
            </w:r>
          </w:p>
        </w:tc>
      </w:tr>
      <w:tr w14:paraId="20DE3A1C">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807" w:hRule="atLeast"/>
        </w:trPr>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5C15E123">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11</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3FC67927">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金黄色葡萄球菌</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6DEE2A4F">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4789.10</w:t>
            </w:r>
          </w:p>
        </w:tc>
      </w:tr>
      <w:tr w14:paraId="52819125">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0" w:type="dxa"/>
            <w:left w:w="0" w:type="dxa"/>
            <w:bottom w:w="0" w:type="dxa"/>
            <w:right w:w="0" w:type="dxa"/>
          </w:tblCellMar>
        </w:tblPrEx>
        <w:trPr>
          <w:trHeight w:val="521" w:hRule="atLeast"/>
        </w:trPr>
        <w:tc>
          <w:tcPr>
            <w:tcW w:w="856"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51728106">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12</w:t>
            </w:r>
          </w:p>
        </w:tc>
        <w:tc>
          <w:tcPr>
            <w:tcW w:w="348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2509FA38">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沙门氏菌</w:t>
            </w:r>
          </w:p>
        </w:tc>
        <w:tc>
          <w:tcPr>
            <w:tcW w:w="3715" w:type="dxa"/>
            <w:tcBorders>
              <w:top w:val="single" w:color="000000" w:sz="6" w:space="0"/>
              <w:left w:val="single" w:color="000000" w:sz="6" w:space="0"/>
              <w:bottom w:val="single" w:color="000000" w:sz="6" w:space="0"/>
              <w:right w:val="single" w:color="000000" w:sz="6" w:space="0"/>
            </w:tcBorders>
            <w:shd w:val="clear" w:color="auto" w:fill="FFFFFF"/>
            <w:tcMar>
              <w:top w:w="14" w:type="dxa"/>
              <w:left w:w="27" w:type="dxa"/>
              <w:bottom w:w="14" w:type="dxa"/>
              <w:right w:w="27" w:type="dxa"/>
            </w:tcMar>
            <w:vAlign w:val="center"/>
          </w:tcPr>
          <w:p w14:paraId="01D30112">
            <w:pPr>
              <w:widowControl/>
              <w:wordWrap w:val="0"/>
              <w:spacing w:line="326" w:lineRule="atLeast"/>
              <w:jc w:val="left"/>
              <w:rPr>
                <w:rFonts w:ascii="仿宋_GB2312" w:hAnsi="宋体" w:eastAsia="仿宋_GB2312" w:cs="宋体"/>
                <w:kern w:val="0"/>
                <w:sz w:val="29"/>
                <w:szCs w:val="29"/>
              </w:rPr>
            </w:pPr>
            <w:r>
              <w:rPr>
                <w:rFonts w:hint="eastAsia" w:ascii="仿宋_GB2312" w:hAnsi="宋体" w:eastAsia="仿宋_GB2312" w:cs="宋体"/>
                <w:kern w:val="0"/>
                <w:sz w:val="29"/>
                <w:szCs w:val="29"/>
              </w:rPr>
              <w:t>GB 4789.4</w:t>
            </w:r>
          </w:p>
        </w:tc>
      </w:tr>
    </w:tbl>
    <w:p w14:paraId="1F2E5981">
      <w:pPr>
        <w:widowControl/>
        <w:wordWrap w:val="0"/>
        <w:spacing w:line="326" w:lineRule="atLeast"/>
        <w:jc w:val="left"/>
        <w:rPr>
          <w:rFonts w:ascii="仿宋_GB2312" w:hAnsi="宋体" w:eastAsia="仿宋_GB2312" w:cs="宋体"/>
          <w:kern w:val="0"/>
          <w:sz w:val="29"/>
          <w:szCs w:val="29"/>
        </w:rPr>
      </w:pPr>
    </w:p>
    <w:p w14:paraId="2BAAC363">
      <w:pPr>
        <w:rPr>
          <w:rFonts w:ascii="仿宋_GB2312" w:hAnsi="宋体" w:eastAsia="仿宋_GB2312" w:cs="宋体"/>
          <w:kern w:val="0"/>
          <w:sz w:val="29"/>
          <w:szCs w:val="29"/>
        </w:rPr>
      </w:pPr>
    </w:p>
    <w:p w14:paraId="3663D8C8">
      <w:pPr>
        <w:rPr>
          <w:rFonts w:ascii="仿宋_GB2312" w:hAnsi="仿宋_GB2312" w:eastAsia="仿宋_GB2312" w:cs="仿宋_GB231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AFF" w:usb1="C0007843"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6010BBC"/>
    <w:multiLevelType w:val="multilevel"/>
    <w:tmpl w:val="36010BBC"/>
    <w:lvl w:ilvl="0" w:tentative="0">
      <w:start w:val="1"/>
      <w:numFmt w:val="decimal"/>
      <w:lvlText w:val="（%1）"/>
      <w:lvlJc w:val="left"/>
      <w:pPr>
        <w:ind w:left="567" w:hanging="567"/>
      </w:pPr>
      <w:rPr>
        <w:rFonts w:hint="default"/>
      </w:rPr>
    </w:lvl>
    <w:lvl w:ilvl="1" w:tentative="0">
      <w:start w:val="1"/>
      <w:numFmt w:val="lowerLetter"/>
      <w:lvlText w:val="%2)"/>
      <w:lvlJc w:val="left"/>
      <w:pPr>
        <w:ind w:left="840" w:hanging="42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0CE8"/>
    <w:rsid w:val="00030E30"/>
    <w:rsid w:val="000348CD"/>
    <w:rsid w:val="000A7BD5"/>
    <w:rsid w:val="000F7B5B"/>
    <w:rsid w:val="00130FEC"/>
    <w:rsid w:val="00132F3E"/>
    <w:rsid w:val="00147BA9"/>
    <w:rsid w:val="001958BC"/>
    <w:rsid w:val="001F567D"/>
    <w:rsid w:val="00203EA6"/>
    <w:rsid w:val="00270EF9"/>
    <w:rsid w:val="002D71BF"/>
    <w:rsid w:val="003C0CE8"/>
    <w:rsid w:val="00402069"/>
    <w:rsid w:val="00466B05"/>
    <w:rsid w:val="00491C42"/>
    <w:rsid w:val="004C622C"/>
    <w:rsid w:val="004E6037"/>
    <w:rsid w:val="005025B0"/>
    <w:rsid w:val="00557D3F"/>
    <w:rsid w:val="00582419"/>
    <w:rsid w:val="005974E4"/>
    <w:rsid w:val="00635E07"/>
    <w:rsid w:val="00643C8B"/>
    <w:rsid w:val="0065247B"/>
    <w:rsid w:val="006A234C"/>
    <w:rsid w:val="006A341C"/>
    <w:rsid w:val="00744906"/>
    <w:rsid w:val="00827890"/>
    <w:rsid w:val="00857BAE"/>
    <w:rsid w:val="00860F1E"/>
    <w:rsid w:val="00896D26"/>
    <w:rsid w:val="008B5B31"/>
    <w:rsid w:val="008C6DD1"/>
    <w:rsid w:val="00921C4C"/>
    <w:rsid w:val="009351BB"/>
    <w:rsid w:val="009526F2"/>
    <w:rsid w:val="00990798"/>
    <w:rsid w:val="009935B2"/>
    <w:rsid w:val="009B5725"/>
    <w:rsid w:val="009C2033"/>
    <w:rsid w:val="00A12E4F"/>
    <w:rsid w:val="00A46347"/>
    <w:rsid w:val="00AA3500"/>
    <w:rsid w:val="00AF6CFA"/>
    <w:rsid w:val="00B13909"/>
    <w:rsid w:val="00B17DDD"/>
    <w:rsid w:val="00B23514"/>
    <w:rsid w:val="00B51062"/>
    <w:rsid w:val="00B53278"/>
    <w:rsid w:val="00B55A7F"/>
    <w:rsid w:val="00B7682B"/>
    <w:rsid w:val="00BE3407"/>
    <w:rsid w:val="00BF1D2C"/>
    <w:rsid w:val="00C20A07"/>
    <w:rsid w:val="00C55C31"/>
    <w:rsid w:val="00C718A8"/>
    <w:rsid w:val="00C768CD"/>
    <w:rsid w:val="00C95FEF"/>
    <w:rsid w:val="00D04567"/>
    <w:rsid w:val="00D045DB"/>
    <w:rsid w:val="00D07618"/>
    <w:rsid w:val="00D55CAD"/>
    <w:rsid w:val="00D95D88"/>
    <w:rsid w:val="00DA05F1"/>
    <w:rsid w:val="00DE565F"/>
    <w:rsid w:val="00E72874"/>
    <w:rsid w:val="00E73418"/>
    <w:rsid w:val="00E92DAA"/>
    <w:rsid w:val="00EA3C26"/>
    <w:rsid w:val="00EA73D3"/>
    <w:rsid w:val="00EF1B62"/>
    <w:rsid w:val="00EF337F"/>
    <w:rsid w:val="00EF5873"/>
    <w:rsid w:val="00F70C2B"/>
    <w:rsid w:val="00F72650"/>
    <w:rsid w:val="00F76102"/>
    <w:rsid w:val="00F801E7"/>
    <w:rsid w:val="00F80763"/>
    <w:rsid w:val="00FC39D8"/>
    <w:rsid w:val="00FD4CC7"/>
    <w:rsid w:val="015E2122"/>
    <w:rsid w:val="095567BF"/>
    <w:rsid w:val="27D50D9F"/>
    <w:rsid w:val="3A756A3B"/>
    <w:rsid w:val="3C6B3628"/>
    <w:rsid w:val="3C8A7746"/>
    <w:rsid w:val="48384D06"/>
    <w:rsid w:val="6AA91303"/>
    <w:rsid w:val="7D943E8D"/>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3"/>
    <w:basedOn w:val="1"/>
    <w:link w:val="16"/>
    <w:qFormat/>
    <w:uiPriority w:val="9"/>
    <w:pPr>
      <w:widowControl/>
      <w:spacing w:before="100" w:beforeAutospacing="1" w:after="100" w:afterAutospacing="1"/>
      <w:jc w:val="left"/>
      <w:outlineLvl w:val="2"/>
    </w:pPr>
    <w:rPr>
      <w:rFonts w:ascii="宋体" w:hAnsi="宋体" w:eastAsia="宋体" w:cs="宋体"/>
      <w:b/>
      <w:bCs/>
      <w:kern w:val="0"/>
      <w:sz w:val="27"/>
      <w:szCs w:val="27"/>
    </w:rPr>
  </w:style>
  <w:style w:type="character" w:default="1" w:styleId="9">
    <w:name w:val="Default Paragraph Font"/>
    <w:semiHidden/>
    <w:unhideWhenUsed/>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3"/>
    <w:semiHidden/>
    <w:unhideWhenUsed/>
    <w:qFormat/>
    <w:uiPriority w:val="99"/>
    <w:pPr>
      <w:tabs>
        <w:tab w:val="center" w:pos="4153"/>
        <w:tab w:val="right" w:pos="8306"/>
      </w:tabs>
      <w:snapToGrid w:val="0"/>
      <w:jc w:val="left"/>
    </w:pPr>
    <w:rPr>
      <w:sz w:val="18"/>
      <w:szCs w:val="18"/>
    </w:rPr>
  </w:style>
  <w:style w:type="paragraph" w:styleId="6">
    <w:name w:val="header"/>
    <w:basedOn w:val="1"/>
    <w:link w:val="12"/>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qFormat/>
    <w:uiPriority w:val="0"/>
    <w:pPr>
      <w:spacing w:before="100" w:beforeAutospacing="1" w:after="100" w:afterAutospacing="1"/>
      <w:jc w:val="left"/>
    </w:pPr>
    <w:rPr>
      <w:rFonts w:ascii="Calibri" w:hAnsi="Calibri" w:eastAsia="宋体" w:cs="Times New Roman"/>
      <w:kern w:val="0"/>
      <w:sz w:val="24"/>
      <w:szCs w:val="24"/>
    </w:rPr>
  </w:style>
  <w:style w:type="character" w:styleId="10">
    <w:name w:val="Strong"/>
    <w:basedOn w:val="9"/>
    <w:qFormat/>
    <w:uiPriority w:val="0"/>
    <w:rPr>
      <w:b/>
    </w:rPr>
  </w:style>
  <w:style w:type="character" w:styleId="11">
    <w:name w:val="annotation reference"/>
    <w:basedOn w:val="9"/>
    <w:semiHidden/>
    <w:unhideWhenUsed/>
    <w:uiPriority w:val="99"/>
    <w:rPr>
      <w:sz w:val="21"/>
      <w:szCs w:val="21"/>
    </w:rPr>
  </w:style>
  <w:style w:type="character" w:customStyle="1" w:styleId="12">
    <w:name w:val="页眉 Char"/>
    <w:basedOn w:val="9"/>
    <w:link w:val="6"/>
    <w:semiHidden/>
    <w:qFormat/>
    <w:uiPriority w:val="99"/>
    <w:rPr>
      <w:sz w:val="18"/>
      <w:szCs w:val="18"/>
    </w:rPr>
  </w:style>
  <w:style w:type="character" w:customStyle="1" w:styleId="13">
    <w:name w:val="页脚 Char"/>
    <w:basedOn w:val="9"/>
    <w:link w:val="5"/>
    <w:semiHidden/>
    <w:qFormat/>
    <w:uiPriority w:val="99"/>
    <w:rPr>
      <w:sz w:val="18"/>
      <w:szCs w:val="18"/>
    </w:rPr>
  </w:style>
  <w:style w:type="paragraph" w:styleId="14">
    <w:name w:val="List Paragraph"/>
    <w:basedOn w:val="1"/>
    <w:qFormat/>
    <w:uiPriority w:val="34"/>
    <w:pPr>
      <w:ind w:firstLine="420" w:firstLineChars="200"/>
    </w:pPr>
  </w:style>
  <w:style w:type="character" w:customStyle="1" w:styleId="15">
    <w:name w:val="批注框文本 Char"/>
    <w:basedOn w:val="9"/>
    <w:link w:val="4"/>
    <w:semiHidden/>
    <w:qFormat/>
    <w:uiPriority w:val="99"/>
    <w:rPr>
      <w:rFonts w:asciiTheme="minorHAnsi" w:hAnsiTheme="minorHAnsi" w:eastAsiaTheme="minorEastAsia" w:cstheme="minorBidi"/>
      <w:kern w:val="2"/>
      <w:sz w:val="18"/>
      <w:szCs w:val="18"/>
    </w:rPr>
  </w:style>
  <w:style w:type="character" w:customStyle="1" w:styleId="16">
    <w:name w:val="标题 3 Char"/>
    <w:basedOn w:val="9"/>
    <w:link w:val="2"/>
    <w:qFormat/>
    <w:uiPriority w:val="9"/>
    <w:rPr>
      <w:rFonts w:ascii="宋体" w:hAnsi="宋体" w:cs="宋体"/>
      <w:b/>
      <w:bCs/>
      <w:sz w:val="27"/>
      <w:szCs w:val="27"/>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P R C</Company>
  <Pages>14</Pages>
  <Words>1044</Words>
  <Characters>1052</Characters>
  <Lines>48</Lines>
  <Paragraphs>13</Paragraphs>
  <TotalTime>7</TotalTime>
  <ScaleCrop>false</ScaleCrop>
  <LinksUpToDate>false</LinksUpToDate>
  <CharactersWithSpaces>1066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2026-07-22T08:27:00Z</dcterms:created>
  <dc:creator>Windows User</dc:creator>
  <cp:lastModifiedBy>hh</cp:lastModifiedBy>
  <dcterms:modified xsi:type="dcterms:W3CDTF">2026-07-31T01:20:18Z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eyJoZGlkIjoiNTFhZjMwZDU0NDIzZTIzMzFlOWMxYTk2MDhmNzAxMTIiLCJ1c2VySWQiOiIxMjA1ODQ0MzQ3In0=</vt:lpwstr>
  </property>
  <property fmtid="{D5CDD505-2E9C-101B-9397-08002B2CF9AE}" pid="3" name="KSOProductBuildVer">
    <vt:lpwstr>2052-12.1.0.26895</vt:lpwstr>
  </property>
  <property fmtid="{D5CDD505-2E9C-101B-9397-08002B2CF9AE}" pid="4" name="ICV">
    <vt:lpwstr>8828D5249B2F428FBCFFA6C3BD39D204_13</vt:lpwstr>
  </property>
</Properties>
</file>